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2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August 20, 2002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333-90600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Resorts, Limited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4400" w:type="dxa"/>
            <w:vAlign w:val="bottom"/>
          </w:tcPr>
          <w:p>
            <w:pPr>
              <w:jc w:val="center"/>
              <w:ind w:right="2572"/>
              <w:spacing w:after="0"/>
              <w:rPr>
                <w:sz w:val="20"/>
                <w:szCs w:val="20"/>
                <w:color w:val="auto"/>
              </w:rPr>
            </w:pPr>
            <w:r>
              <w:rPr>
                <w:rFonts w:ascii="Arial" w:cs="Arial" w:eastAsia="Arial" w:hAnsi="Arial"/>
                <w:sz w:val="14"/>
                <w:szCs w:val="14"/>
                <w:b w:val="1"/>
                <w:bCs w:val="1"/>
                <w:color w:val="auto"/>
                <w:w w:val="88"/>
              </w:rPr>
              <w:t>Nevada</w:t>
            </w:r>
          </w:p>
        </w:tc>
        <w:tc>
          <w:tcPr>
            <w:tcW w:w="1640" w:type="dxa"/>
            <w:vAlign w:val="bottom"/>
          </w:tcPr>
          <w:p>
            <w:pPr>
              <w:jc w:val="center"/>
              <w:ind w:left="32"/>
              <w:spacing w:after="0"/>
              <w:rPr>
                <w:sz w:val="20"/>
                <w:szCs w:val="20"/>
                <w:color w:val="auto"/>
              </w:rPr>
            </w:pPr>
            <w:r>
              <w:rPr>
                <w:rFonts w:ascii="Arial" w:cs="Arial" w:eastAsia="Arial" w:hAnsi="Arial"/>
                <w:sz w:val="14"/>
                <w:szCs w:val="14"/>
                <w:b w:val="1"/>
                <w:bCs w:val="1"/>
                <w:color w:val="auto"/>
                <w:w w:val="83"/>
              </w:rPr>
              <w:t>7990</w:t>
            </w:r>
          </w:p>
        </w:tc>
        <w:tc>
          <w:tcPr>
            <w:tcW w:w="1620" w:type="dxa"/>
            <w:vAlign w:val="bottom"/>
          </w:tcPr>
          <w:p>
            <w:pPr>
              <w:spacing w:after="0"/>
              <w:rPr>
                <w:sz w:val="14"/>
                <w:szCs w:val="14"/>
                <w:color w:val="auto"/>
              </w:rPr>
            </w:pPr>
          </w:p>
        </w:tc>
        <w:tc>
          <w:tcPr>
            <w:tcW w:w="2860" w:type="dxa"/>
            <w:vAlign w:val="bottom"/>
          </w:tcPr>
          <w:p>
            <w:pPr>
              <w:jc w:val="center"/>
              <w:ind w:left="1532"/>
              <w:spacing w:after="0"/>
              <w:rPr>
                <w:sz w:val="20"/>
                <w:szCs w:val="20"/>
                <w:color w:val="auto"/>
              </w:rPr>
            </w:pPr>
            <w:r>
              <w:rPr>
                <w:rFonts w:ascii="Arial" w:cs="Arial" w:eastAsia="Arial" w:hAnsi="Arial"/>
                <w:sz w:val="14"/>
                <w:szCs w:val="14"/>
                <w:b w:val="1"/>
                <w:bCs w:val="1"/>
                <w:color w:val="auto"/>
                <w:w w:val="88"/>
              </w:rPr>
              <w:t>46-0484987</w:t>
            </w:r>
          </w:p>
        </w:tc>
      </w:tr>
      <w:tr>
        <w:trPr>
          <w:trHeight w:val="149"/>
        </w:trPr>
        <w:tc>
          <w:tcPr>
            <w:tcW w:w="4400" w:type="dxa"/>
            <w:vAlign w:val="bottom"/>
          </w:tcPr>
          <w:p>
            <w:pPr>
              <w:jc w:val="center"/>
              <w:ind w:right="2592"/>
              <w:spacing w:after="0" w:line="149" w:lineRule="exact"/>
              <w:rPr>
                <w:sz w:val="20"/>
                <w:szCs w:val="20"/>
                <w:color w:val="auto"/>
              </w:rPr>
            </w:pPr>
            <w:r>
              <w:rPr>
                <w:rFonts w:ascii="Arial" w:cs="Arial" w:eastAsia="Arial" w:hAnsi="Arial"/>
                <w:sz w:val="14"/>
                <w:szCs w:val="14"/>
                <w:color w:val="auto"/>
                <w:w w:val="88"/>
              </w:rPr>
              <w:t>(State or other jurisdiction</w:t>
            </w:r>
          </w:p>
        </w:tc>
        <w:tc>
          <w:tcPr>
            <w:tcW w:w="3260" w:type="dxa"/>
            <w:vAlign w:val="bottom"/>
            <w:gridSpan w:val="2"/>
          </w:tcPr>
          <w:p>
            <w:pPr>
              <w:jc w:val="center"/>
              <w:ind w:right="1520"/>
              <w:spacing w:after="0" w:line="149" w:lineRule="exact"/>
              <w:rPr>
                <w:sz w:val="20"/>
                <w:szCs w:val="20"/>
                <w:color w:val="auto"/>
              </w:rPr>
            </w:pPr>
            <w:r>
              <w:rPr>
                <w:rFonts w:ascii="Arial" w:cs="Arial" w:eastAsia="Arial" w:hAnsi="Arial"/>
                <w:sz w:val="14"/>
                <w:szCs w:val="14"/>
                <w:color w:val="auto"/>
                <w:w w:val="88"/>
              </w:rPr>
              <w:t>(Primary Standard Industrial</w:t>
            </w:r>
          </w:p>
        </w:tc>
        <w:tc>
          <w:tcPr>
            <w:tcW w:w="2860" w:type="dxa"/>
            <w:vAlign w:val="bottom"/>
          </w:tcPr>
          <w:p>
            <w:pPr>
              <w:jc w:val="center"/>
              <w:ind w:left="15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400" w:type="dxa"/>
            <w:vAlign w:val="bottom"/>
          </w:tcPr>
          <w:p>
            <w:pPr>
              <w:jc w:val="center"/>
              <w:ind w:right="2572"/>
              <w:spacing w:after="0"/>
              <w:rPr>
                <w:sz w:val="20"/>
                <w:szCs w:val="20"/>
                <w:color w:val="auto"/>
              </w:rPr>
            </w:pPr>
            <w:r>
              <w:rPr>
                <w:rFonts w:ascii="Arial" w:cs="Arial" w:eastAsia="Arial" w:hAnsi="Arial"/>
                <w:sz w:val="14"/>
                <w:szCs w:val="14"/>
                <w:color w:val="auto"/>
                <w:w w:val="89"/>
              </w:rPr>
              <w:t>of incorporation or organization)</w:t>
            </w:r>
          </w:p>
        </w:tc>
        <w:tc>
          <w:tcPr>
            <w:tcW w:w="3260" w:type="dxa"/>
            <w:vAlign w:val="bottom"/>
            <w:gridSpan w:val="2"/>
          </w:tcPr>
          <w:p>
            <w:pPr>
              <w:jc w:val="center"/>
              <w:ind w:right="1520"/>
              <w:spacing w:after="0"/>
              <w:rPr>
                <w:sz w:val="20"/>
                <w:szCs w:val="20"/>
                <w:color w:val="auto"/>
              </w:rPr>
            </w:pPr>
            <w:r>
              <w:rPr>
                <w:rFonts w:ascii="Arial" w:cs="Arial" w:eastAsia="Arial" w:hAnsi="Arial"/>
                <w:sz w:val="14"/>
                <w:szCs w:val="14"/>
                <w:color w:val="auto"/>
                <w:w w:val="88"/>
              </w:rPr>
              <w:t>Classification Code Number)</w:t>
            </w:r>
          </w:p>
        </w:tc>
        <w:tc>
          <w:tcPr>
            <w:tcW w:w="2860" w:type="dxa"/>
            <w:vAlign w:val="bottom"/>
          </w:tcPr>
          <w:p>
            <w:pPr>
              <w:jc w:val="center"/>
              <w:ind w:left="1532"/>
              <w:spacing w:after="0"/>
              <w:rPr>
                <w:sz w:val="20"/>
                <w:szCs w:val="20"/>
                <w:color w:val="auto"/>
              </w:rPr>
            </w:pPr>
            <w:r>
              <w:rPr>
                <w:rFonts w:ascii="Arial" w:cs="Arial" w:eastAsia="Arial" w:hAnsi="Arial"/>
                <w:sz w:val="14"/>
                <w:szCs w:val="14"/>
                <w:color w:val="auto"/>
                <w:w w:val="91"/>
              </w:rPr>
              <w:t>Identification Number)</w:t>
            </w:r>
          </w:p>
        </w:tc>
      </w:tr>
      <w:tr>
        <w:trPr>
          <w:trHeight w:val="105"/>
        </w:trPr>
        <w:tc>
          <w:tcPr>
            <w:tcW w:w="44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20" w:type="dxa"/>
            <w:vAlign w:val="bottom"/>
          </w:tcPr>
          <w:p>
            <w:pPr>
              <w:spacing w:after="0"/>
              <w:rPr>
                <w:sz w:val="9"/>
                <w:szCs w:val="9"/>
                <w:color w:val="auto"/>
              </w:rPr>
            </w:pPr>
          </w:p>
        </w:tc>
        <w:tc>
          <w:tcPr>
            <w:tcW w:w="28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President</w:t>
      </w:r>
    </w:p>
    <w:p>
      <w:pPr>
        <w:jc w:val="center"/>
        <w:spacing w:after="0" w:line="222"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1"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2940" w:type="dxa"/>
            <w:vAlign w:val="bottom"/>
            <w:gridSpan w:val="2"/>
          </w:tcPr>
          <w:p>
            <w:pPr>
              <w:jc w:val="center"/>
              <w:ind w:right="1300"/>
              <w:spacing w:after="0"/>
              <w:rPr>
                <w:sz w:val="20"/>
                <w:szCs w:val="20"/>
                <w:color w:val="auto"/>
              </w:rPr>
            </w:pPr>
            <w:r>
              <w:rPr>
                <w:rFonts w:ascii="Arial" w:cs="Arial" w:eastAsia="Arial" w:hAnsi="Arial"/>
                <w:sz w:val="14"/>
                <w:szCs w:val="14"/>
                <w:b w:val="1"/>
                <w:bCs w:val="1"/>
                <w:i w:val="1"/>
                <w:iCs w:val="1"/>
                <w:color w:val="auto"/>
                <w:w w:val="81"/>
              </w:rPr>
              <w:t>Copies to:</w:t>
            </w:r>
          </w:p>
        </w:tc>
        <w:tc>
          <w:tcPr>
            <w:tcW w:w="1900" w:type="dxa"/>
            <w:vAlign w:val="bottom"/>
          </w:tcPr>
          <w:p>
            <w:pPr>
              <w:spacing w:after="0"/>
              <w:rPr>
                <w:sz w:val="14"/>
                <w:szCs w:val="14"/>
                <w:color w:val="auto"/>
              </w:rPr>
            </w:pPr>
          </w:p>
        </w:tc>
      </w:tr>
      <w:tr>
        <w:trPr>
          <w:trHeight w:val="339"/>
        </w:trPr>
        <w:tc>
          <w:tcPr>
            <w:tcW w:w="62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w w:val="89"/>
              </w:rPr>
              <w:t>C. Kevin McGeehan, Esq.</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3280" w:type="dxa"/>
            <w:vAlign w:val="bottom"/>
          </w:tcPr>
          <w:p>
            <w:pPr>
              <w:jc w:val="center"/>
              <w:ind w:right="1172"/>
              <w:spacing w:after="0"/>
              <w:rPr>
                <w:sz w:val="20"/>
                <w:szCs w:val="20"/>
                <w:color w:val="auto"/>
              </w:rPr>
            </w:pPr>
            <w:r>
              <w:rPr>
                <w:rFonts w:ascii="Arial" w:cs="Arial" w:eastAsia="Arial" w:hAnsi="Arial"/>
                <w:sz w:val="14"/>
                <w:szCs w:val="14"/>
                <w:b w:val="1"/>
                <w:bCs w:val="1"/>
                <w:color w:val="auto"/>
                <w:w w:val="87"/>
              </w:rPr>
              <w:t>(310) 277-1010</w:t>
            </w: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9"/>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5"/>
              </w:rPr>
              <w:t>Approximate date of commencement of proposed sale to the public:</w:t>
            </w:r>
          </w:p>
        </w:tc>
        <w:tc>
          <w:tcPr>
            <w:tcW w:w="1900" w:type="dxa"/>
            <w:vAlign w:val="bottom"/>
          </w:tcPr>
          <w:p>
            <w:pPr>
              <w:spacing w:after="0"/>
              <w:rPr>
                <w:sz w:val="24"/>
                <w:szCs w:val="24"/>
                <w:color w:val="auto"/>
              </w:rPr>
            </w:pPr>
          </w:p>
        </w:tc>
      </w:tr>
      <w:tr>
        <w:trPr>
          <w:trHeight w:val="174"/>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4"/>
              </w:rPr>
              <w:t>As soon as practicable after this registration statement becomes effective.</w:t>
            </w:r>
          </w:p>
        </w:tc>
        <w:tc>
          <w:tcPr>
            <w:tcW w:w="1900" w:type="dxa"/>
            <w:vAlign w:val="bottom"/>
          </w:tcPr>
          <w:p>
            <w:pPr>
              <w:spacing w:after="0"/>
              <w:rPr>
                <w:sz w:val="15"/>
                <w:szCs w:val="15"/>
                <w:color w:val="auto"/>
              </w:rPr>
            </w:pPr>
          </w:p>
        </w:tc>
      </w:tr>
      <w:tr>
        <w:trPr>
          <w:trHeight w:val="213"/>
        </w:trPr>
        <w:tc>
          <w:tcPr>
            <w:tcW w:w="328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18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88"/>
              </w:rPr>
              <w:t>Number of</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218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83"/>
              </w:rPr>
              <w:t>Shares to be</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 Price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202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80" w:type="dxa"/>
            <w:vAlign w:val="bottom"/>
          </w:tcPr>
          <w:p>
            <w:pPr>
              <w:jc w:val="center"/>
              <w:ind w:left="232"/>
              <w:spacing w:after="0"/>
              <w:rPr>
                <w:sz w:val="20"/>
                <w:szCs w:val="20"/>
                <w:color w:val="auto"/>
              </w:rPr>
            </w:pPr>
            <w:r>
              <w:rPr>
                <w:rFonts w:ascii="Arial" w:cs="Arial" w:eastAsia="Arial" w:hAnsi="Arial"/>
                <w:sz w:val="14"/>
                <w:szCs w:val="14"/>
                <w:b w:val="1"/>
                <w:bCs w:val="1"/>
                <w:color w:val="auto"/>
                <w:w w:val="84"/>
              </w:rPr>
              <w:t>Securities to be Registered</w:t>
            </w:r>
          </w:p>
        </w:tc>
        <w:tc>
          <w:tcPr>
            <w:tcW w:w="2180" w:type="dxa"/>
            <w:vAlign w:val="bottom"/>
          </w:tcPr>
          <w:p>
            <w:pPr>
              <w:jc w:val="center"/>
              <w:ind w:left="312"/>
              <w:spacing w:after="0"/>
              <w:rPr>
                <w:sz w:val="20"/>
                <w:szCs w:val="20"/>
                <w:color w:val="auto"/>
              </w:rPr>
            </w:pPr>
            <w:r>
              <w:rPr>
                <w:rFonts w:ascii="Arial" w:cs="Arial" w:eastAsia="Arial" w:hAnsi="Arial"/>
                <w:sz w:val="14"/>
                <w:szCs w:val="14"/>
                <w:b w:val="1"/>
                <w:bCs w:val="1"/>
                <w:color w:val="auto"/>
                <w:w w:val="84"/>
              </w:rPr>
              <w:t>Registered(1)</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9"/>
              </w:rPr>
              <w:t>Per Share(2)</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Price(1)(2)</w:t>
            </w:r>
          </w:p>
        </w:tc>
        <w:tc>
          <w:tcPr>
            <w:tcW w:w="2020" w:type="dxa"/>
            <w:vAlign w:val="bottom"/>
          </w:tcPr>
          <w:p>
            <w:pPr>
              <w:jc w:val="center"/>
              <w:ind w:left="12"/>
              <w:spacing w:after="0"/>
              <w:rPr>
                <w:sz w:val="20"/>
                <w:szCs w:val="20"/>
                <w:color w:val="auto"/>
              </w:rPr>
            </w:pPr>
            <w:r>
              <w:rPr>
                <w:rFonts w:ascii="Arial" w:cs="Arial" w:eastAsia="Arial" w:hAnsi="Arial"/>
                <w:sz w:val="14"/>
                <w:szCs w:val="14"/>
                <w:b w:val="1"/>
                <w:bCs w:val="1"/>
                <w:color w:val="auto"/>
                <w:w w:val="86"/>
              </w:rPr>
              <w:t>Registration Fee(3)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par value $0.01 per share</w:t>
            </w:r>
          </w:p>
        </w:tc>
        <w:tc>
          <w:tcPr>
            <w:tcW w:w="21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$454,250,000</w:t>
            </w: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$41,791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4"/>
          <w:szCs w:val="24"/>
          <w:color w:val="auto"/>
        </w:rPr>
      </w:pPr>
    </w:p>
    <w:p>
      <w:pPr>
        <w:ind w:left="540" w:hanging="532"/>
        <w:spacing w:after="0"/>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Includes</w:t>
      </w:r>
      <w:r>
        <w:rPr>
          <w:rFonts w:ascii="Arial" w:cs="Arial" w:eastAsia="Arial" w:hAnsi="Arial"/>
          <w:sz w:val="12"/>
          <w:szCs w:val="12"/>
          <w:color w:val="auto"/>
        </w:rPr>
        <w:t>shares of common stock that may be sold pursuant to the underwriters' over-allotment options.</w:t>
      </w:r>
    </w:p>
    <w:p>
      <w:pPr>
        <w:ind w:left="540" w:hanging="532"/>
        <w:spacing w:after="0" w:line="197" w:lineRule="auto"/>
        <w:tabs>
          <w:tab w:leader="none" w:pos="540" w:val="left"/>
        </w:tabs>
        <w:numPr>
          <w:ilvl w:val="0"/>
          <w:numId w:val="1"/>
        </w:numPr>
        <w:rPr>
          <w:rFonts w:ascii="Arial" w:cs="Arial" w:eastAsia="Arial" w:hAnsi="Arial"/>
          <w:sz w:val="10"/>
          <w:szCs w:val="10"/>
          <w:color w:val="auto"/>
          <w:vertAlign w:val="subscript"/>
        </w:rPr>
      </w:pPr>
      <w:r>
        <w:rPr>
          <w:rFonts w:ascii="Arial" w:cs="Arial" w:eastAsia="Arial" w:hAnsi="Arial"/>
          <w:sz w:val="8"/>
          <w:szCs w:val="8"/>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Includes $4,232 paid with the filing of this Amendment No. 1 and $37,559 previously paid with the Registrant's June 17, 2002 filing on Form 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350520</wp:posOffset>
            </wp:positionV>
            <wp:extent cx="10502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ectPr>
          <w:pgSz w:w="11900" w:h="16838" w:orient="portrait"/>
          <w:cols w:equalWidth="0" w:num="1">
            <w:col w:w="11420"/>
          </w:cols>
          <w:pgMar w:left="240" w:top="469" w:right="239" w:bottom="388" w:gutter="0" w:footer="0" w:header="0"/>
        </w:sectPr>
      </w:pPr>
    </w:p>
    <w:bookmarkStart w:id="1" w:name="page2"/>
    <w:bookmarkEnd w:id="1"/>
    <w:p>
      <w:pPr>
        <w:ind w:right="120" w:firstLine="27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FF4040"/>
        </w:rPr>
        <w:t>Subject to Completion, Dated August 20, 2002</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213"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auto"/>
        </w:rPr>
        <w:t>Shares</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is the initial public offering of Wynn Resorts, Limited. We are offering shares of our common stock. We anticipate that the initial public offering price will be between $ and $ per share. We have filed an application to have our common stock approved for quotation on The Nasdaq National Market under the symbol "WYNN."</w:t>
      </w:r>
    </w:p>
    <w:p>
      <w:pPr>
        <w:spacing w:after="0" w:line="19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Concurrent with this offering, our wholly owned subsidiaries, Wynn Las Vegas, LLC and Wynn Las Vegas Capital Corp., are jointly offering $350 million in aggregate principal amount of second mortgage notes.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9.</w:t>
      </w:r>
    </w:p>
    <w:p>
      <w:pPr>
        <w:spacing w:after="0" w:line="219" w:lineRule="exact"/>
        <w:rPr>
          <w:sz w:val="20"/>
          <w:szCs w:val="20"/>
          <w:color w:val="auto"/>
        </w:rPr>
      </w:pPr>
    </w:p>
    <w:p>
      <w:pPr>
        <w:ind w:right="220"/>
        <w:spacing w:after="0" w:line="339" w:lineRule="auto"/>
        <w:rPr>
          <w:sz w:val="20"/>
          <w:szCs w:val="20"/>
          <w:color w:val="auto"/>
        </w:rPr>
      </w:pPr>
      <w:r>
        <w:rPr>
          <w:rFonts w:ascii="Arial" w:cs="Arial" w:eastAsia="Arial" w:hAnsi="Arial"/>
          <w:sz w:val="15"/>
          <w:szCs w:val="15"/>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2280" w:type="dxa"/>
            <w:vAlign w:val="bottom"/>
          </w:tcPr>
          <w:p>
            <w:pPr>
              <w:ind w:left="1160"/>
              <w:spacing w:after="0"/>
              <w:rPr>
                <w:sz w:val="20"/>
                <w:szCs w:val="20"/>
                <w:color w:val="auto"/>
              </w:rPr>
            </w:pPr>
            <w:r>
              <w:rPr>
                <w:rFonts w:ascii="Arial" w:cs="Arial" w:eastAsia="Arial" w:hAnsi="Arial"/>
                <w:sz w:val="14"/>
                <w:szCs w:val="14"/>
                <w:b w:val="1"/>
                <w:bCs w:val="1"/>
                <w:color w:val="auto"/>
              </w:rPr>
              <w:t>Per Share</w:t>
            </w:r>
          </w:p>
        </w:tc>
        <w:tc>
          <w:tcPr>
            <w:tcW w:w="820" w:type="dxa"/>
            <w:vAlign w:val="bottom"/>
          </w:tcPr>
          <w:p>
            <w:pPr>
              <w:ind w:left="540"/>
              <w:spacing w:after="0"/>
              <w:rPr>
                <w:sz w:val="20"/>
                <w:szCs w:val="20"/>
                <w:color w:val="auto"/>
              </w:rPr>
            </w:pPr>
            <w:r>
              <w:rPr>
                <w:rFonts w:ascii="Arial" w:cs="Arial" w:eastAsia="Arial" w:hAnsi="Arial"/>
                <w:sz w:val="14"/>
                <w:szCs w:val="14"/>
                <w:b w:val="1"/>
                <w:bCs w:val="1"/>
                <w:color w:val="auto"/>
                <w:w w:val="77"/>
              </w:rPr>
              <w:t>Total</w:t>
            </w:r>
          </w:p>
        </w:tc>
      </w:tr>
      <w:tr>
        <w:trPr>
          <w:trHeight w:val="438"/>
        </w:trPr>
        <w:tc>
          <w:tcPr>
            <w:tcW w:w="4920" w:type="dxa"/>
            <w:vAlign w:val="bottom"/>
          </w:tcPr>
          <w:p>
            <w:pPr>
              <w:spacing w:after="0"/>
              <w:rPr>
                <w:sz w:val="20"/>
                <w:szCs w:val="20"/>
                <w:color w:val="auto"/>
              </w:rPr>
            </w:pPr>
            <w:r>
              <w:rPr>
                <w:rFonts w:ascii="Arial" w:cs="Arial" w:eastAsia="Arial" w:hAnsi="Arial"/>
                <w:sz w:val="18"/>
                <w:szCs w:val="18"/>
                <w:color w:val="auto"/>
              </w:rPr>
              <w:t>Public offering price</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Proceeds, before expenses, to Wynn Resorts, Limited</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w w:val="96"/>
              </w:rPr>
              <w:t>We have granted to the underwriters the right to purchase up to</w:t>
            </w:r>
          </w:p>
        </w:tc>
        <w:tc>
          <w:tcPr>
            <w:tcW w:w="6520" w:type="dxa"/>
            <w:vAlign w:val="bottom"/>
            <w:gridSpan w:val="2"/>
          </w:tcPr>
          <w:p>
            <w:pPr>
              <w:ind w:left="680"/>
              <w:spacing w:after="0"/>
              <w:rPr>
                <w:sz w:val="20"/>
                <w:szCs w:val="20"/>
                <w:color w:val="auto"/>
              </w:rPr>
            </w:pPr>
            <w:r>
              <w:rPr>
                <w:rFonts w:ascii="Arial" w:cs="Arial" w:eastAsia="Arial" w:hAnsi="Arial"/>
                <w:sz w:val="18"/>
                <w:szCs w:val="18"/>
                <w:color w:val="auto"/>
              </w:rPr>
              <w:t>additional shares of common stock to cover over-allotments.</w:t>
            </w:r>
          </w:p>
        </w:tc>
      </w:tr>
      <w:tr>
        <w:trPr>
          <w:trHeight w:val="228"/>
        </w:trPr>
        <w:tc>
          <w:tcPr>
            <w:tcW w:w="26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80" w:type="dxa"/>
            <w:vAlign w:val="bottom"/>
          </w:tcPr>
          <w:p>
            <w:pPr>
              <w:spacing w:after="0"/>
              <w:rPr>
                <w:sz w:val="19"/>
                <w:szCs w:val="19"/>
                <w:color w:val="auto"/>
              </w:rPr>
            </w:pPr>
          </w:p>
        </w:tc>
      </w:tr>
      <w:tr>
        <w:trPr>
          <w:trHeight w:val="427"/>
        </w:trPr>
        <w:tc>
          <w:tcPr>
            <w:tcW w:w="2640" w:type="dxa"/>
            <w:vAlign w:val="bottom"/>
          </w:tcPr>
          <w:p>
            <w:pPr>
              <w:spacing w:after="0"/>
              <w:rPr>
                <w:sz w:val="24"/>
                <w:szCs w:val="24"/>
                <w:color w:val="auto"/>
              </w:rPr>
            </w:pPr>
          </w:p>
        </w:tc>
        <w:tc>
          <w:tcPr>
            <w:tcW w:w="8780" w:type="dxa"/>
            <w:vAlign w:val="bottom"/>
            <w:gridSpan w:val="3"/>
          </w:tcPr>
          <w:p>
            <w:pPr>
              <w:jc w:val="center"/>
              <w:ind w:right="2620"/>
              <w:spacing w:after="0"/>
              <w:rPr>
                <w:sz w:val="20"/>
                <w:szCs w:val="20"/>
                <w:color w:val="auto"/>
              </w:rPr>
            </w:pPr>
            <w:r>
              <w:rPr>
                <w:rFonts w:ascii="Arial" w:cs="Arial" w:eastAsia="Arial" w:hAnsi="Arial"/>
                <w:sz w:val="18"/>
                <w:szCs w:val="18"/>
                <w:i w:val="1"/>
                <w:iCs w:val="1"/>
                <w:color w:val="auto"/>
                <w:w w:val="89"/>
              </w:rPr>
              <w:t>Joint Book-Running Managers</w:t>
            </w:r>
          </w:p>
        </w:tc>
      </w:tr>
      <w:tr>
        <w:trPr>
          <w:trHeight w:val="471"/>
        </w:trPr>
        <w:tc>
          <w:tcPr>
            <w:tcW w:w="11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91"/>
              </w:rPr>
              <w:t>Deutsche Bank Securities  Bear, Stearns &amp; Co. Inc.  Banc of America Securities LLC</w:t>
            </w:r>
          </w:p>
        </w:tc>
      </w:tr>
      <w:tr>
        <w:trPr>
          <w:trHeight w:val="216"/>
        </w:trPr>
        <w:tc>
          <w:tcPr>
            <w:tcW w:w="2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880" w:type="dxa"/>
            <w:vAlign w:val="bottom"/>
          </w:tcPr>
          <w:p>
            <w:pPr>
              <w:spacing w:after="0"/>
              <w:rPr>
                <w:sz w:val="18"/>
                <w:szCs w:val="18"/>
                <w:color w:val="auto"/>
              </w:rPr>
            </w:pPr>
          </w:p>
        </w:tc>
      </w:tr>
      <w:tr>
        <w:trPr>
          <w:trHeight w:val="427"/>
        </w:trPr>
        <w:tc>
          <w:tcPr>
            <w:tcW w:w="2640" w:type="dxa"/>
            <w:vAlign w:val="bottom"/>
          </w:tcPr>
          <w:p>
            <w:pPr>
              <w:spacing w:after="0"/>
              <w:rPr>
                <w:sz w:val="24"/>
                <w:szCs w:val="24"/>
                <w:color w:val="auto"/>
              </w:rPr>
            </w:pPr>
          </w:p>
        </w:tc>
        <w:tc>
          <w:tcPr>
            <w:tcW w:w="2260" w:type="dxa"/>
            <w:vAlign w:val="bottom"/>
          </w:tcPr>
          <w:p>
            <w:pPr>
              <w:jc w:val="right"/>
              <w:ind w:right="12"/>
              <w:spacing w:after="0"/>
              <w:rPr>
                <w:sz w:val="20"/>
                <w:szCs w:val="20"/>
                <w:color w:val="auto"/>
              </w:rPr>
            </w:pPr>
            <w:r>
              <w:rPr>
                <w:rFonts w:ascii="Arial" w:cs="Arial" w:eastAsia="Arial" w:hAnsi="Arial"/>
                <w:sz w:val="18"/>
                <w:szCs w:val="18"/>
                <w:b w:val="1"/>
                <w:bCs w:val="1"/>
                <w:color w:val="auto"/>
              </w:rPr>
              <w:t>JPMorgan</w:t>
            </w:r>
          </w:p>
        </w:tc>
        <w:tc>
          <w:tcPr>
            <w:tcW w:w="6520" w:type="dxa"/>
            <w:vAlign w:val="bottom"/>
            <w:gridSpan w:val="2"/>
          </w:tcPr>
          <w:p>
            <w:pPr>
              <w:ind w:left="80"/>
              <w:spacing w:after="0"/>
              <w:rPr>
                <w:sz w:val="20"/>
                <w:szCs w:val="20"/>
                <w:color w:val="auto"/>
              </w:rPr>
            </w:pPr>
            <w:r>
              <w:rPr>
                <w:rFonts w:ascii="Arial" w:cs="Arial" w:eastAsia="Arial" w:hAnsi="Arial"/>
                <w:sz w:val="18"/>
                <w:szCs w:val="18"/>
                <w:b w:val="1"/>
                <w:bCs w:val="1"/>
                <w:color w:val="auto"/>
              </w:rPr>
              <w:t>Dresdner Kleinwort Wasserstein</w:t>
            </w:r>
          </w:p>
        </w:tc>
      </w:tr>
      <w:tr>
        <w:trPr>
          <w:trHeight w:val="432"/>
        </w:trPr>
        <w:tc>
          <w:tcPr>
            <w:tcW w:w="264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2260" w:type="dxa"/>
            <w:vAlign w:val="bottom"/>
          </w:tcPr>
          <w:p>
            <w:pPr>
              <w:jc w:val="right"/>
              <w:ind w:right="1212"/>
              <w:spacing w:after="0"/>
              <w:rPr>
                <w:sz w:val="20"/>
                <w:szCs w:val="20"/>
                <w:color w:val="auto"/>
              </w:rPr>
            </w:pPr>
            <w:r>
              <w:rPr>
                <w:rFonts w:ascii="Arial" w:cs="Arial" w:eastAsia="Arial" w:hAnsi="Arial"/>
                <w:sz w:val="18"/>
                <w:szCs w:val="18"/>
                <w:color w:val="auto"/>
              </w:rPr>
              <w:t>2002.</w:t>
            </w:r>
          </w:p>
        </w:tc>
        <w:tc>
          <w:tcPr>
            <w:tcW w:w="1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28"/>
        </w:trPr>
        <w:tc>
          <w:tcPr>
            <w:tcW w:w="264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-1437640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-1437640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-717550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-717550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ARTWORK</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[artist's renderings of Le Rêve]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9 before making an investment decision.</w:t>
      </w:r>
    </w:p>
    <w:p>
      <w:pPr>
        <w:spacing w:after="0" w:line="213" w:lineRule="exact"/>
        <w:rPr>
          <w:sz w:val="20"/>
          <w:szCs w:val="20"/>
          <w:color w:val="auto"/>
        </w:rPr>
      </w:pPr>
    </w:p>
    <w:p>
      <w:pPr>
        <w:ind w:right="220" w:firstLine="432"/>
        <w:spacing w:after="0" w:line="298" w:lineRule="auto"/>
        <w:rPr>
          <w:sz w:val="20"/>
          <w:szCs w:val="20"/>
          <w:color w:val="auto"/>
        </w:rPr>
      </w:pPr>
      <w:r>
        <w:rPr>
          <w:rFonts w:ascii="Arial" w:cs="Arial" w:eastAsia="Arial" w:hAnsi="Arial"/>
          <w:sz w:val="16"/>
          <w:szCs w:val="16"/>
          <w:i w:val="1"/>
          <w:iCs w:val="1"/>
          <w:color w:val="auto"/>
        </w:rPr>
        <w:t>Wynn Resorts, Limited was recently organized as a Nevada corporation in preparation for this offering. Our assets and operations are currently held by and conducted through Valvino Lamore, LLC, a Nevada limited liability company, and its subsidiaries. Before the closing of this offering, all of the members of Valvino Lamore, LLC will contribute their membership interests in Valvino Lamore, LLC to Wynn Resorts, Limited in exchange for 40,000,000 shares of the common stock of Wynn Resorts, Limited, and Valvino Lamore, LLC will become a wholly owned subsidiary of Wynn Resorts, Limited.</w:t>
      </w:r>
    </w:p>
    <w:p>
      <w:pPr>
        <w:spacing w:after="0" w:line="19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i w:val="1"/>
          <w:iCs w:val="1"/>
          <w:color w:val="auto"/>
        </w:rPr>
        <w:t>Unless otherwise indicated, information in this prospectus gives effect to the contribution of membership interests in Valvino Lamore, LLC to Wynn Resorts, Limited in exchange for shares of common stock of Wynn Resorts, Limited. Unless the context otherwise requires, the terms "we," "our" and "us," as used in this prospectus, mean Wynn Resorts, Limited and its consolidated subsidiaries, after giving effect to the contribution of membership interests in Valvino Lamore, LLC to Wynn Resorts, Limited. References to Wynn Resorts mean Wynn Resorts, Limited, excluding any subsidiaries, references to Valvino mean Valvino Lamore, LLC, excluding any subsidiaries, references to Wynn Las Vegas mean Wynn Las Vegas, LLC, references to Wynn Capital mean Wynn Las Vegas Capital Corp., references to Wynn Golf Course mean Wynn Resorts Holdings, LLC, and references to Wynn Macau mean Wynn Resorts (Macau), S.A. Certain statements in this prospectus, including in this summary, constitute "forward-looking statements." See "Forward-Looking Statements."</w:t>
      </w:r>
    </w:p>
    <w:p>
      <w:pPr>
        <w:sectPr>
          <w:pgSz w:w="11900" w:h="16838" w:orient="portrait"/>
          <w:cols w:equalWidth="0" w:num="1">
            <w:col w:w="11420"/>
          </w:cols>
          <w:pgMar w:left="240" w:top="127" w:right="239" w:bottom="0" w:gutter="0" w:footer="0" w:header="0"/>
        </w:sectPr>
      </w:pPr>
    </w:p>
    <w:bookmarkStart w:id="2" w:name="page3"/>
    <w:bookmarkEnd w:id="2"/>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to design and construct, including the cost of the land, capitalized interest, pre-opening expenses and all financing fees. We expect Le Rêve to feature approximately 2,700 luxurious guest rooms, a casually elegant 111,500 square foot casino, 18 distinctive dining establishments, an exclusive on-site 18-hole championship golf course and a new water-based entertainment production. We have scheduled groundbreaking to occur in September 2002, with an opening to the general public scheduled for March 2005.</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19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addition, Wynn Macau, a majority-owned indirect subsidiary of Wynn Resorts, recently entered into a 20-year concession agreement with the government of the Macau Special Administrative Region of the People's Republic of China. The concession agreement permits Wynn Macau to construct and operate one or more casino gaming properties in Macau,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including, at a minimum, one full-service casino resort. Macau has been an established gaming market for at least 40 years and, according to the U.S. &amp; Foreign Commercial Service American Consulate General, Hong Kong, generated approximately US $2.1 billion in gaming revenue in 2000. Wynn Macau currently is one of three concessionaires permitted to operate a casino gaming business in Macau. The concession agreement into which Wynn Macau has entered with the Macau government obligates Wynn Macau to open its first permanent casino resort by the end of December 2006 and invest not less than a total of 4 billion patacas (approximately $500 million at the August 11, 2002 exchange rate of approximately eight Macau patacas to one U.S. dollar) on Macau-related projects by June 26, 2009. Wynn Macau may begin casino operations in Macau prior to the opening of Le Rêve. Wynn Macau has not yet decided how many casinos to build or the construction budget or schedule for the Macau opportunity and there remain a number of objectives to be met by Wynn Macau and the Macau government before Wynn Macau can pursue the Macau opportunity. Moreover, Wynn Macau would need to obtain financing for these projects.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Company Strategy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80" w:right="16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Showcase the "Wynn Brand." </w:t>
      </w:r>
      <w:r>
        <w:rPr>
          <w:rFonts w:ascii="Arial" w:cs="Arial" w:eastAsia="Arial" w:hAnsi="Arial"/>
          <w:sz w:val="18"/>
          <w:szCs w:val="18"/>
          <w:color w:val="auto"/>
        </w:rPr>
        <w:t>We believe that Mr. Wynn is widely viewed as the premier designer, developer and operator of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in Las Vegas. We believe that Le Rêve will represent a natural extension of the concepts Mr. Wynn has utilized in developing other major destination casino resorts.</w:t>
      </w:r>
    </w:p>
    <w:p>
      <w:pPr>
        <w:spacing w:after="0" w:line="221" w:lineRule="exact"/>
        <w:rPr>
          <w:rFonts w:ascii="Arial" w:cs="Arial" w:eastAsia="Arial" w:hAnsi="Arial"/>
          <w:sz w:val="18"/>
          <w:szCs w:val="18"/>
          <w:color w:val="auto"/>
        </w:rPr>
      </w:pPr>
    </w:p>
    <w:p>
      <w:pPr>
        <w:ind w:left="1080" w:right="180" w:hanging="532"/>
        <w:spacing w:after="0" w:line="25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w:t>
      </w:r>
      <w:r>
        <w:rPr>
          <w:rFonts w:ascii="Arial" w:cs="Arial" w:eastAsia="Arial" w:hAnsi="Arial"/>
          <w:sz w:val="18"/>
          <w:szCs w:val="18"/>
          <w:i w:val="1"/>
          <w:iCs w:val="1"/>
          <w:color w:val="auto"/>
        </w:rPr>
        <w:t xml:space="preserve"> </w:t>
      </w:r>
      <w:r>
        <w:rPr>
          <w:rFonts w:ascii="Arial" w:cs="Arial" w:eastAsia="Arial" w:hAnsi="Arial"/>
          <w:sz w:val="18"/>
          <w:szCs w:val="18"/>
          <w:color w:val="auto"/>
        </w:rPr>
        <w:t>guests a luxurious experience at a premier destination casino resort in Las Vegas. We believe that the quality of our hotel, the gaming experience that we intend to offer and the restaurants, retail outlets, entertainment offerings, golf course and other amenities at Le Rêve will enable us to create a first-class environment of elegance, sophistication and luxury.</w:t>
      </w:r>
    </w:p>
    <w:p>
      <w:pPr>
        <w:spacing w:after="0" w:line="210"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Pursue the Opportunity to be One of Three Casino Operators in Macau. </w:t>
      </w:r>
      <w:r>
        <w:rPr>
          <w:rFonts w:ascii="Arial" w:cs="Arial" w:eastAsia="Arial" w:hAnsi="Arial"/>
          <w:sz w:val="18"/>
          <w:szCs w:val="18"/>
          <w:color w:val="auto"/>
        </w:rPr>
        <w:t>Currently, Wynn Macau is one of only three concessionaires permitted to</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casinos in Macau, an established gaming market with access to gaming patrons principally from Hong Kong and mainland China. Wynn Macau is in the preliminary stages of formulating its strategy to capitalize on this opportunity while managing the risks of developing and operating gaming facilities in Macau.</w:t>
      </w:r>
    </w:p>
    <w:p>
      <w:pPr>
        <w:spacing w:after="0" w:line="210" w:lineRule="exact"/>
        <w:rPr>
          <w:rFonts w:ascii="Arial" w:cs="Arial" w:eastAsia="Arial" w:hAnsi="Arial"/>
          <w:sz w:val="18"/>
          <w:szCs w:val="18"/>
          <w:color w:val="auto"/>
        </w:rPr>
      </w:pPr>
    </w:p>
    <w:p>
      <w:pPr>
        <w:ind w:left="1080" w:hanging="532"/>
        <w:spacing w:after="0" w:line="25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Explore Opportunities for Future Growth. </w:t>
      </w:r>
      <w:r>
        <w:rPr>
          <w:rFonts w:ascii="Arial" w:cs="Arial" w:eastAsia="Arial" w:hAnsi="Arial"/>
          <w:sz w:val="18"/>
          <w:szCs w:val="18"/>
          <w:color w:val="auto"/>
        </w:rPr>
        <w:t>Our site in Las Vegas includes a parcel of approximately 20 acres fronting Las Vegas Boulevard next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Le Rêve site and an approximately 137-acre plot located behind the hotel on which the new golf course will be built. If, after commencing operations at Le Rêve, the 20-acre parcel and/or the golf course parcel are released from the liens under our indebtedness, those parcels would provide the opportunity to expand our business in Las Vegas and the potential for future projects, including a possible second hotel casino as a Phase II development on the 20-acre parcel. In addition, we continue to explore opportunities to develop additional gaming or related businesses in Las Vegas or other markets, whether through acquisition, investment or development. Any such development would require us to obtain additional financing.</w:t>
      </w:r>
    </w:p>
    <w:p>
      <w:pPr>
        <w:spacing w:after="0" w:line="228" w:lineRule="exact"/>
        <w:rPr>
          <w:rFonts w:ascii="Arial" w:cs="Arial" w:eastAsia="Arial" w:hAnsi="Arial"/>
          <w:sz w:val="18"/>
          <w:szCs w:val="18"/>
          <w:color w:val="auto"/>
        </w:rPr>
      </w:pPr>
    </w:p>
    <w:p>
      <w:pPr>
        <w:ind w:left="1080" w:right="240" w:hanging="532"/>
        <w:spacing w:after="0" w:line="306"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Our Experienced Management Team. </w:t>
      </w:r>
      <w:r>
        <w:rPr>
          <w:rFonts w:ascii="Arial" w:cs="Arial" w:eastAsia="Arial" w:hAnsi="Arial"/>
          <w:sz w:val="16"/>
          <w:szCs w:val="16"/>
          <w:color w:val="auto"/>
        </w:rPr>
        <w:t>The members of our management team have extensive experience in the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and operation of major destination casino resorts, such as Bellagio, The Mirage and Treasure Island at The Mirage. Mr. Wynn, together with Wynn Design &amp; Development, LLC, a wholly owned indirect subsidiary of Wynn Resorts, is designing Le Rêve. Wynn Design &amp;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Development will supervise construction of the resort. Many of the people on the Wynn Design &amp; Development team worked with Mr. Wynn at Mirage Resorts to develop Bellagio.</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 Rêve Strategy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20" w:right="260" w:hanging="532"/>
        <w:spacing w:after="0" w:line="370" w:lineRule="auto"/>
        <w:tabs>
          <w:tab w:leader="none" w:pos="162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Create a "Must-Visit" Destination Casino Resort on the Las Vegas Strip. </w:t>
      </w:r>
      <w:r>
        <w:rPr>
          <w:rFonts w:ascii="Arial" w:cs="Arial" w:eastAsia="Arial" w:hAnsi="Arial"/>
          <w:sz w:val="15"/>
          <w:szCs w:val="15"/>
          <w:color w:val="auto"/>
        </w:rPr>
        <w:t>Rather than focusing on a highly themed experience like many</w:t>
      </w:r>
      <w:r>
        <w:rPr>
          <w:rFonts w:ascii="Arial" w:cs="Arial" w:eastAsia="Arial" w:hAnsi="Arial"/>
          <w:sz w:val="15"/>
          <w:szCs w:val="15"/>
          <w:i w:val="1"/>
          <w:iCs w:val="1"/>
          <w:color w:val="auto"/>
        </w:rPr>
        <w:t xml:space="preserve"> </w:t>
      </w:r>
      <w:r>
        <w:rPr>
          <w:rFonts w:ascii="Arial" w:cs="Arial" w:eastAsia="Arial" w:hAnsi="Arial"/>
          <w:sz w:val="15"/>
          <w:szCs w:val="15"/>
          <w:color w:val="auto"/>
        </w:rPr>
        <w:t>other hotel casino resorts on the Las Vegas Strip, Le Rêve will offer richly furnished, spacious guest rooms, fine dining, premier retail</w:t>
      </w:r>
    </w:p>
    <w:p>
      <w:pPr>
        <w:sectPr>
          <w:pgSz w:w="11900" w:h="16989" w:orient="portrait"/>
          <w:cols w:equalWidth="0" w:num="1">
            <w:col w:w="11420"/>
          </w:cols>
          <w:pgMar w:left="240" w:top="341" w:right="239" w:bottom="0" w:gutter="0" w:footer="0" w:header="0"/>
        </w:sectPr>
      </w:pPr>
    </w:p>
    <w:bookmarkStart w:id="3" w:name="page4"/>
    <w:bookmarkEnd w:id="3"/>
    <w:p>
      <w:pPr>
        <w:spacing w:after="0" w:line="55" w:lineRule="exact"/>
        <w:rPr>
          <w:sz w:val="20"/>
          <w:szCs w:val="20"/>
          <w:color w:val="auto"/>
        </w:rPr>
      </w:pPr>
    </w:p>
    <w:p>
      <w:pPr>
        <w:ind w:left="532" w:right="60"/>
        <w:spacing w:after="0" w:line="259" w:lineRule="auto"/>
        <w:rPr>
          <w:sz w:val="20"/>
          <w:szCs w:val="20"/>
          <w:color w:val="auto"/>
        </w:rPr>
      </w:pPr>
      <w:r>
        <w:rPr>
          <w:rFonts w:ascii="Arial" w:cs="Arial" w:eastAsia="Arial" w:hAnsi="Arial"/>
          <w:sz w:val="18"/>
          <w:szCs w:val="18"/>
          <w:color w:val="auto"/>
        </w:rPr>
        <w:t>shopping, distinctive entertainment and other high-quality non-gaming amenities in a luxurious environment having a sophisticated, casually elegant ambience. In this manner, we believe that the property, rather than a theme, will be the attraction and, therefore, will have greater lasting appeal to customers.</w:t>
      </w:r>
    </w:p>
    <w:p>
      <w:pPr>
        <w:spacing w:after="0" w:line="208" w:lineRule="exact"/>
        <w:rPr>
          <w:sz w:val="20"/>
          <w:szCs w:val="20"/>
          <w:color w:val="auto"/>
        </w:rPr>
      </w:pPr>
    </w:p>
    <w:p>
      <w:pPr>
        <w:ind w:left="532" w:right="160" w:hanging="532"/>
        <w:spacing w:after="0" w:line="306" w:lineRule="auto"/>
        <w:tabs>
          <w:tab w:leader="none" w:pos="532"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Open the First New Major Hotel Casino Resort on the Las Vegas Strip in Almost Five Years. </w:t>
      </w:r>
      <w:r>
        <w:rPr>
          <w:rFonts w:ascii="Arial" w:cs="Arial" w:eastAsia="Arial" w:hAnsi="Arial"/>
          <w:sz w:val="16"/>
          <w:szCs w:val="16"/>
          <w:color w:val="auto"/>
        </w:rPr>
        <w:t>We believe that, at the time of Le Rêve's</w:t>
      </w:r>
      <w:r>
        <w:rPr>
          <w:rFonts w:ascii="Arial" w:cs="Arial" w:eastAsia="Arial" w:hAnsi="Arial"/>
          <w:sz w:val="16"/>
          <w:szCs w:val="16"/>
          <w:i w:val="1"/>
          <w:iCs w:val="1"/>
          <w:color w:val="auto"/>
        </w:rPr>
        <w:t xml:space="preserve"> </w:t>
      </w:r>
      <w:r>
        <w:rPr>
          <w:rFonts w:ascii="Arial" w:cs="Arial" w:eastAsia="Arial" w:hAnsi="Arial"/>
          <w:sz w:val="16"/>
          <w:szCs w:val="16"/>
          <w:color w:val="auto"/>
        </w:rPr>
        <w:t>planned opening in March 2005, it will have been almost five years since a major new hotel casino resort opened on the Las Vegas Strip. As a result, we expect that there will be a high level of customer anticipation for Le Rêve.</w:t>
      </w:r>
    </w:p>
    <w:p>
      <w:pPr>
        <w:spacing w:after="0" w:line="187" w:lineRule="exact"/>
        <w:rPr>
          <w:rFonts w:ascii="Arial" w:cs="Arial" w:eastAsia="Arial" w:hAnsi="Arial"/>
          <w:sz w:val="16"/>
          <w:szCs w:val="16"/>
          <w:color w:val="auto"/>
        </w:rPr>
      </w:pPr>
    </w:p>
    <w:p>
      <w:pPr>
        <w:ind w:left="532" w:right="40" w:hanging="532"/>
        <w:spacing w:after="0" w:line="259" w:lineRule="auto"/>
        <w:tabs>
          <w:tab w:leader="none" w:pos="53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Provide an Experience at Le Rêve of the Highest Standard of Luxury in an Atmosphere of Casual Elegance. </w:t>
      </w:r>
      <w:r>
        <w:rPr>
          <w:rFonts w:ascii="Arial" w:cs="Arial" w:eastAsia="Arial" w:hAnsi="Arial"/>
          <w:sz w:val="18"/>
          <w:szCs w:val="18"/>
          <w:color w:val="auto"/>
        </w:rPr>
        <w:t>We will seek to attract a range</w:t>
      </w:r>
      <w:r>
        <w:rPr>
          <w:rFonts w:ascii="Arial" w:cs="Arial" w:eastAsia="Arial" w:hAnsi="Arial"/>
          <w:sz w:val="18"/>
          <w:szCs w:val="18"/>
          <w:i w:val="1"/>
          <w:iCs w:val="1"/>
          <w:color w:val="auto"/>
        </w:rPr>
        <w:t xml:space="preserve"> </w:t>
      </w:r>
      <w:r>
        <w:rPr>
          <w:rFonts w:ascii="Arial" w:cs="Arial" w:eastAsia="Arial" w:hAnsi="Arial"/>
          <w:sz w:val="18"/>
          <w:szCs w:val="18"/>
          <w:color w:val="auto"/>
        </w:rPr>
        <w:t>of customers to Le Rêve, including middle market customers and high roller and premium gaming patrons, by providing guests with a premium level of luxury, amenities and service, such as: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72" w:hanging="531"/>
        <w:spacing w:after="0"/>
        <w:tabs>
          <w:tab w:leader="none" w:pos="1072" w:val="left"/>
        </w:tabs>
        <w:numPr>
          <w:ilvl w:val="1"/>
          <w:numId w:val="4"/>
        </w:numPr>
        <w:rPr>
          <w:rFonts w:ascii="Arial" w:cs="Arial" w:eastAsia="Arial" w:hAnsi="Arial"/>
          <w:sz w:val="18"/>
          <w:szCs w:val="18"/>
          <w:color w:val="auto"/>
        </w:rPr>
      </w:pPr>
      <w:r>
        <w:rPr>
          <w:rFonts w:ascii="Arial" w:cs="Arial" w:eastAsia="Arial" w:hAnsi="Arial"/>
          <w:sz w:val="18"/>
          <w:szCs w:val="18"/>
          <w:color w:val="auto"/>
        </w:rPr>
        <w:t>approximately 2,700 richly furnished, spacious guest rooms and suites;</w:t>
      </w:r>
    </w:p>
    <w:p>
      <w:pPr>
        <w:spacing w:after="0" w:line="238" w:lineRule="exact"/>
        <w:rPr>
          <w:rFonts w:ascii="Arial" w:cs="Arial" w:eastAsia="Arial" w:hAnsi="Arial"/>
          <w:sz w:val="18"/>
          <w:szCs w:val="18"/>
          <w:color w:val="auto"/>
        </w:rPr>
      </w:pPr>
    </w:p>
    <w:p>
      <w:pPr>
        <w:ind w:left="1072" w:right="140" w:hanging="531"/>
        <w:spacing w:after="0" w:line="268" w:lineRule="auto"/>
        <w:tabs>
          <w:tab w:leader="none" w:pos="1072" w:val="left"/>
        </w:tabs>
        <w:numPr>
          <w:ilvl w:val="1"/>
          <w:numId w:val="4"/>
        </w:numPr>
        <w:rPr>
          <w:rFonts w:ascii="Arial" w:cs="Arial" w:eastAsia="Arial" w:hAnsi="Arial"/>
          <w:sz w:val="18"/>
          <w:szCs w:val="18"/>
          <w:color w:val="auto"/>
        </w:rPr>
      </w:pPr>
      <w:r>
        <w:rPr>
          <w:rFonts w:ascii="Arial" w:cs="Arial" w:eastAsia="Arial" w:hAnsi="Arial"/>
          <w:sz w:val="18"/>
          <w:szCs w:val="18"/>
          <w:color w:val="auto"/>
        </w:rPr>
        <w:t>a casually elegant casino featuring an estimated 136 table games and 2,000 slot machines, a distinctive baccarat salon and private high-limit gaming rooms;</w:t>
      </w:r>
    </w:p>
    <w:p>
      <w:pPr>
        <w:spacing w:after="0" w:line="212" w:lineRule="exact"/>
        <w:rPr>
          <w:rFonts w:ascii="Arial" w:cs="Arial" w:eastAsia="Arial" w:hAnsi="Arial"/>
          <w:sz w:val="18"/>
          <w:szCs w:val="18"/>
          <w:color w:val="auto"/>
        </w:rPr>
      </w:pPr>
    </w:p>
    <w:p>
      <w:pPr>
        <w:ind w:left="1072" w:right="40" w:hanging="531"/>
        <w:spacing w:after="0" w:line="259" w:lineRule="auto"/>
        <w:tabs>
          <w:tab w:leader="none" w:pos="1072"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 New York's DANIEL and Café Boulud restaurants;</w:t>
      </w:r>
    </w:p>
    <w:p>
      <w:pPr>
        <w:spacing w:after="0" w:line="207" w:lineRule="exact"/>
        <w:rPr>
          <w:rFonts w:ascii="Arial" w:cs="Arial" w:eastAsia="Arial" w:hAnsi="Arial"/>
          <w:sz w:val="18"/>
          <w:szCs w:val="18"/>
          <w:color w:val="auto"/>
        </w:rPr>
      </w:pPr>
    </w:p>
    <w:p>
      <w:pPr>
        <w:ind w:left="1072" w:hanging="531"/>
        <w:spacing w:after="0"/>
        <w:tabs>
          <w:tab w:leader="none" w:pos="1072"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exclusive 18-hole championship golf course on the premises of Le Rêve;</w:t>
      </w:r>
    </w:p>
    <w:p>
      <w:pPr>
        <w:spacing w:after="0" w:line="238" w:lineRule="exact"/>
        <w:rPr>
          <w:rFonts w:ascii="Arial" w:cs="Arial" w:eastAsia="Arial" w:hAnsi="Arial"/>
          <w:sz w:val="18"/>
          <w:szCs w:val="18"/>
          <w:color w:val="auto"/>
        </w:rPr>
      </w:pPr>
    </w:p>
    <w:p>
      <w:pPr>
        <w:ind w:left="1072" w:right="80" w:hanging="531"/>
        <w:spacing w:after="0" w:line="268" w:lineRule="auto"/>
        <w:tabs>
          <w:tab w:leader="none" w:pos="1072" w:val="left"/>
        </w:tabs>
        <w:numPr>
          <w:ilvl w:val="1"/>
          <w:numId w:val="4"/>
        </w:numPr>
        <w:rPr>
          <w:rFonts w:ascii="Arial" w:cs="Arial" w:eastAsia="Arial" w:hAnsi="Arial"/>
          <w:sz w:val="18"/>
          <w:szCs w:val="18"/>
          <w:color w:val="auto"/>
        </w:rPr>
      </w:pPr>
      <w:r>
        <w:rPr>
          <w:rFonts w:ascii="Arial" w:cs="Arial" w:eastAsia="Arial" w:hAnsi="Arial"/>
          <w:sz w:val="18"/>
          <w:szCs w:val="18"/>
          <w:color w:val="auto"/>
        </w:rPr>
        <w:t>a new water-based entertainment production developed by Franco Dragone, the creative force behind Bellagio's production of "O" and Treasure Island at The Mirage's production of "Mystère;"</w:t>
      </w:r>
    </w:p>
    <w:p>
      <w:pPr>
        <w:spacing w:after="0" w:line="212" w:lineRule="exact"/>
        <w:rPr>
          <w:rFonts w:ascii="Arial" w:cs="Arial" w:eastAsia="Arial" w:hAnsi="Arial"/>
          <w:sz w:val="18"/>
          <w:szCs w:val="18"/>
          <w:color w:val="auto"/>
        </w:rPr>
      </w:pPr>
    </w:p>
    <w:p>
      <w:pPr>
        <w:ind w:left="1072" w:hanging="531"/>
        <w:spacing w:after="0"/>
        <w:tabs>
          <w:tab w:leader="none" w:pos="1072"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on-site, full-service Ferrari and Maserati dealership; and</w:t>
      </w:r>
    </w:p>
    <w:p>
      <w:pPr>
        <w:spacing w:after="0" w:line="238" w:lineRule="exact"/>
        <w:rPr>
          <w:rFonts w:ascii="Arial" w:cs="Arial" w:eastAsia="Arial" w:hAnsi="Arial"/>
          <w:sz w:val="18"/>
          <w:szCs w:val="18"/>
          <w:color w:val="auto"/>
        </w:rPr>
      </w:pPr>
    </w:p>
    <w:p>
      <w:pPr>
        <w:ind w:left="1072" w:hanging="531"/>
        <w:spacing w:after="0"/>
        <w:tabs>
          <w:tab w:leader="none" w:pos="1072"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art gallery displaying works from the private art collection of Mr. Wynn and his wife, Elaine Wynn.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32" w:right="40" w:hanging="532"/>
        <w:spacing w:after="0" w:line="268" w:lineRule="auto"/>
        <w:tabs>
          <w:tab w:leader="none" w:pos="53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Generate Substantial Revenue from Le Rêve's Non-Gaming Facilities. </w:t>
      </w:r>
      <w:r>
        <w:rPr>
          <w:rFonts w:ascii="Arial" w:cs="Arial" w:eastAsia="Arial" w:hAnsi="Arial"/>
          <w:sz w:val="18"/>
          <w:szCs w:val="18"/>
          <w:color w:val="auto"/>
        </w:rPr>
        <w:t>We expect Le Rêve's superior non-gaming amenities outlined above</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a substantial portion of its overall revenue.</w:t>
      </w:r>
    </w:p>
    <w:p>
      <w:pPr>
        <w:spacing w:after="0" w:line="212" w:lineRule="exact"/>
        <w:rPr>
          <w:rFonts w:ascii="Arial" w:cs="Arial" w:eastAsia="Arial" w:hAnsi="Arial"/>
          <w:sz w:val="18"/>
          <w:szCs w:val="18"/>
          <w:color w:val="auto"/>
        </w:rPr>
      </w:pPr>
    </w:p>
    <w:p>
      <w:pPr>
        <w:ind w:left="532" w:right="80" w:hanging="532"/>
        <w:spacing w:after="0" w:line="259" w:lineRule="auto"/>
        <w:tabs>
          <w:tab w:leader="none" w:pos="532"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Capitalize on the Attractive Location of Le Rêve. </w:t>
      </w:r>
      <w:r>
        <w:rPr>
          <w:rFonts w:ascii="Arial" w:cs="Arial" w:eastAsia="Arial" w:hAnsi="Arial"/>
          <w:sz w:val="18"/>
          <w:szCs w:val="18"/>
          <w:color w:val="auto"/>
        </w:rPr>
        <w:t>Le Rêve will be located on the Las Vegas Strip at the northeast corner of the intersection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Las Vegas Boulevard and Sands Avenue. Le Rêve will have approximately 1,350 feet of frontage on the Las Vegas Strip and will be located near some of the most visited hotel casino resorts</w:t>
      </w:r>
    </w:p>
    <w:p>
      <w:pPr>
        <w:spacing w:after="0" w:line="194" w:lineRule="exact"/>
        <w:rPr>
          <w:sz w:val="20"/>
          <w:szCs w:val="20"/>
          <w:color w:val="auto"/>
        </w:rPr>
      </w:pPr>
    </w:p>
    <w:p>
      <w:pPr>
        <w:ind w:left="459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32"/>
        <w:spacing w:after="0" w:line="291" w:lineRule="auto"/>
        <w:rPr>
          <w:sz w:val="20"/>
          <w:szCs w:val="20"/>
          <w:color w:val="auto"/>
        </w:rPr>
      </w:pPr>
      <w:r>
        <w:rPr>
          <w:rFonts w:ascii="Arial" w:cs="Arial" w:eastAsia="Arial" w:hAnsi="Arial"/>
          <w:sz w:val="16"/>
          <w:szCs w:val="16"/>
          <w:color w:val="auto"/>
        </w:rPr>
        <w:t>and attractions on the Las Vegas Strip, including Bellagio, Caesars Palace, The Mirage, Treasure Island at The Mirage and The Venetian. In addition, Le Rêve will be adjacent to the Las Vegas Convention Center and the Sands Expo and Convention Center, two of the largest trade show and convention facilities in the United States. We intend to offer free shuttle service to and from the Las Vegas Convention Center. We expect trade show and convention visitors to be an important source of room demand for Le Rêve. Le Rêve will also be located directly across from the Fashion Show Mall, which is currently undergoing substantial renovation and expansion, and we anticipate that Le Rêve will be connected to the mall by a pedestrian bridge.</w:t>
      </w:r>
    </w:p>
    <w:p>
      <w:pPr>
        <w:spacing w:after="0" w:line="188" w:lineRule="exact"/>
        <w:rPr>
          <w:sz w:val="20"/>
          <w:szCs w:val="20"/>
          <w:color w:val="auto"/>
        </w:rPr>
      </w:pPr>
    </w:p>
    <w:p>
      <w:pPr>
        <w:ind w:left="532" w:right="20" w:hanging="532"/>
        <w:spacing w:after="0" w:line="288" w:lineRule="auto"/>
        <w:tabs>
          <w:tab w:leader="none" w:pos="532"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Carefully Manage Construction Costs and Risks. </w:t>
      </w:r>
      <w:r>
        <w:rPr>
          <w:rFonts w:ascii="Arial" w:cs="Arial" w:eastAsia="Arial" w:hAnsi="Arial"/>
          <w:sz w:val="16"/>
          <w:szCs w:val="16"/>
          <w:color w:val="auto"/>
        </w:rPr>
        <w:t>Marnell Corrao Associates, Inc., referred to as Marnell Corrao, will be the builder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contractor for most of Le Rêve, excluding the parking garage and the golf course. Marnell Corrao has extensive experience in building large Las Vegas destination casino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we estimate that the design and construction costs will be approximately $1.4 billion. We have entered into a guaranteed maximum price construction contract with Marnell Corrao covering approximately $919 million of the budgeted cost to construct Le Rêve. The guaranteed maximum price is subject to increases because of, among other items, scope changes to the project. We plan to implement specific mechanisms that are intended to mitigate the risk of construction cost overruns and delays, including:</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072" w:hanging="531"/>
        <w:spacing w:after="0"/>
        <w:tabs>
          <w:tab w:leader="none" w:pos="1072" w:val="left"/>
        </w:tabs>
        <w:numPr>
          <w:ilvl w:val="1"/>
          <w:numId w:val="5"/>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w:t>
      </w:r>
    </w:p>
    <w:p>
      <w:pPr>
        <w:spacing w:after="0" w:line="252" w:lineRule="exact"/>
        <w:rPr>
          <w:rFonts w:ascii="Arial" w:cs="Arial" w:eastAsia="Arial" w:hAnsi="Arial"/>
          <w:sz w:val="18"/>
          <w:szCs w:val="18"/>
          <w:color w:val="auto"/>
        </w:rPr>
      </w:pPr>
    </w:p>
    <w:p>
      <w:pPr>
        <w:ind w:left="1072" w:right="160" w:hanging="531"/>
        <w:spacing w:after="0" w:line="268" w:lineRule="auto"/>
        <w:tabs>
          <w:tab w:leader="none" w:pos="1072" w:val="left"/>
        </w:tabs>
        <w:numPr>
          <w:ilvl w:val="1"/>
          <w:numId w:val="5"/>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Inc.,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jc w:val="both"/>
        <w:ind w:left="1072" w:right="120" w:hanging="531"/>
        <w:spacing w:after="0" w:line="259" w:lineRule="auto"/>
        <w:tabs>
          <w:tab w:leader="none" w:pos="1072" w:val="left"/>
        </w:tabs>
        <w:numPr>
          <w:ilvl w:val="1"/>
          <w:numId w:val="5"/>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this offering;</w:t>
      </w:r>
    </w:p>
    <w:p>
      <w:pPr>
        <w:spacing w:after="0" w:line="221" w:lineRule="exact"/>
        <w:rPr>
          <w:rFonts w:ascii="Arial" w:cs="Arial" w:eastAsia="Arial" w:hAnsi="Arial"/>
          <w:sz w:val="18"/>
          <w:szCs w:val="18"/>
          <w:color w:val="auto"/>
        </w:rPr>
      </w:pPr>
    </w:p>
    <w:p>
      <w:pPr>
        <w:ind w:left="1072" w:hanging="531"/>
        <w:spacing w:after="0"/>
        <w:tabs>
          <w:tab w:leader="none" w:pos="1072" w:val="left"/>
        </w:tabs>
        <w:numPr>
          <w:ilvl w:val="1"/>
          <w:numId w:val="5"/>
        </w:numPr>
        <w:rPr>
          <w:rFonts w:ascii="Arial" w:cs="Arial" w:eastAsia="Arial" w:hAnsi="Arial"/>
          <w:sz w:val="18"/>
          <w:szCs w:val="18"/>
          <w:color w:val="auto"/>
        </w:rPr>
      </w:pPr>
      <w:r>
        <w:rPr>
          <w:rFonts w:ascii="Arial" w:cs="Arial" w:eastAsia="Arial" w:hAnsi="Arial"/>
          <w:sz w:val="18"/>
          <w:szCs w:val="18"/>
          <w:color w:val="auto"/>
        </w:rPr>
        <w:t>a liquidity reserve account of Wynn Las Vegas holding $30 million of the proceeds of this offering;</w:t>
      </w:r>
    </w:p>
    <w:p>
      <w:pPr>
        <w:spacing w:after="0" w:line="238" w:lineRule="exact"/>
        <w:rPr>
          <w:rFonts w:ascii="Arial" w:cs="Arial" w:eastAsia="Arial" w:hAnsi="Arial"/>
          <w:sz w:val="18"/>
          <w:szCs w:val="18"/>
          <w:color w:val="auto"/>
        </w:rPr>
      </w:pPr>
    </w:p>
    <w:p>
      <w:pPr>
        <w:ind w:left="1072" w:hanging="531"/>
        <w:spacing w:after="0"/>
        <w:tabs>
          <w:tab w:leader="none" w:pos="1072"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owner's contingency of approximately $34.3 million included in the design and construction budget; and</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w:t>
      </w:r>
    </w:p>
    <w:p>
      <w:pPr>
        <w:sectPr>
          <w:pgSz w:w="11900" w:h="16893" w:orient="portrait"/>
          <w:cols w:equalWidth="0" w:num="1">
            <w:col w:w="10312"/>
          </w:cols>
          <w:pgMar w:left="1328" w:top="131" w:right="259" w:bottom="0" w:gutter="0" w:footer="0" w:header="0"/>
        </w:sectPr>
      </w:pPr>
    </w:p>
    <w:bookmarkStart w:id="4" w:name="page5"/>
    <w:bookmarkEnd w:id="4"/>
    <w:p>
      <w:pPr>
        <w:ind w:left="2160"/>
        <w:spacing w:after="0"/>
        <w:rPr>
          <w:sz w:val="20"/>
          <w:szCs w:val="20"/>
          <w:color w:val="auto"/>
        </w:rPr>
      </w:pPr>
      <w:r>
        <w:rPr>
          <w:rFonts w:ascii="Arial" w:cs="Arial" w:eastAsia="Arial" w:hAnsi="Arial"/>
          <w:sz w:val="18"/>
          <w:szCs w:val="18"/>
          <w:color w:val="auto"/>
        </w:rPr>
        <w:t>anticipated remaining availability of approximately $49 million under our subsidiaries' revolving credit facility.</w:t>
      </w:r>
    </w:p>
    <w:p>
      <w:pPr>
        <w:spacing w:after="0" w:line="225" w:lineRule="exact"/>
        <w:rPr>
          <w:sz w:val="20"/>
          <w:szCs w:val="20"/>
          <w:color w:val="auto"/>
        </w:rPr>
      </w:pPr>
    </w:p>
    <w:p>
      <w:pPr>
        <w:jc w:val="both"/>
        <w:ind w:left="1080" w:right="100" w:firstLine="342"/>
        <w:spacing w:after="0" w:line="259" w:lineRule="auto"/>
        <w:rPr>
          <w:sz w:val="20"/>
          <w:szCs w:val="20"/>
          <w:color w:val="auto"/>
        </w:rPr>
      </w:pPr>
      <w:r>
        <w:rPr>
          <w:rFonts w:ascii="Arial" w:cs="Arial" w:eastAsia="Arial" w:hAnsi="Arial"/>
          <w:sz w:val="18"/>
          <w:szCs w:val="18"/>
          <w:color w:val="auto"/>
        </w:rPr>
        <w:t>A disbursement agreement will require our subsidiaries to satisfy specified conditions before we may use the proceeds of the credit facilities, the second mortgage notes, a furniture, fixtures and equipment, or FF&amp;E, facility and certain of the sources described below to fund construction costs.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Financing Transactions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Concurrent with this offering, Wynn Resorts' wholly owned indirect subsidiaries, Wynn Las Vegas, which will own and operate Le Rêve, and Wynn Capital, are jointly offering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$350 million in aggregate principal amount of second mortgage notes. To develop and construct Le Rêve, we intend to use the net proceeds of the contemplated offering of the second mortgage notes, borrowings of approximately $701.4 million under a $750 million revolving credit facility and $250 million under a delay draw term loan facility, facilities for which our subsidiaries have obtained commitments, and $178.5 million under an FF&amp;E facility, which is currently being syndicated, together with that portion of our existing cash and net proceeds of this offering that are necessary to fund Le Rêve project costs. We sometimes refer to the revolving credit facility and the delay draw term loan facility as the credit facilities. Consummation of this offering is conditioned on consummation of the offering of the second mortgage notes and on Wynn Las Vegas entering into the agreements governing the credit facilities and FF&amp;E facility.</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following chart illustrates the organizational structure of our principal operations as they will stand upon the consummation of this offering and the contemplated offering of second mortgage notes, including giving effect to the contribution of the Valvino membership interests to Wynn Resorts. This chart depicts the relationships between our various operations and our ownership interests in them. It does not contain all of our subsidiaries and, in some cases, we have combined separate entities for presentation purposes. We have also indicated which principal entities initially will be borrowers, issuers and restricted entities under the indenture governing the second mortgage notes and the credit facilities. All other entities, including Wynn Resorts and the Macau-related subsidiaries, will not be guarantors and will not be subject to the covenants in the indenture governing the second mortgage notes, the credit facilities or the FF&amp;E facility, except that Wynn Resorts will become a guarantor under these debt instruments, but not subject to their covenants, if it incurs, or becomes a guarantor on, other indebtedness.</w:t>
      </w:r>
    </w:p>
    <w:p>
      <w:pPr>
        <w:spacing w:after="0" w:line="172"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Wynn Macau has committed to allow certain minority partners to invest in the Macau-related entities, after which we expect that Wynn Resorts will indirectly own an approximately 82.5% economic interest in Wynn Macau before giving effect to any future financing related to the Macau opportunity. A more detailed corporate chart relating to the Macau-related entities appears under the heading "Business—The Macau Opportunity—Ownership Structure of the Macau-Related Entities."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399530" cy="5653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99530" cy="565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right="80" w:hanging="532"/>
        <w:spacing w:after="0" w:line="181" w:lineRule="auto"/>
        <w:tabs>
          <w:tab w:leader="none" w:pos="540" w:val="left"/>
        </w:tabs>
        <w:numPr>
          <w:ilvl w:val="0"/>
          <w:numId w:val="6"/>
        </w:numPr>
        <w:rPr>
          <w:rFonts w:ascii="Arial" w:cs="Arial" w:eastAsia="Arial" w:hAnsi="Arial"/>
          <w:sz w:val="24"/>
          <w:szCs w:val="24"/>
          <w:color w:val="auto"/>
          <w:vertAlign w:val="subscript"/>
        </w:rPr>
      </w:pPr>
      <w:r>
        <w:rPr>
          <w:rFonts w:ascii="Arial" w:cs="Arial" w:eastAsia="Arial" w:hAnsi="Arial"/>
          <w:sz w:val="12"/>
          <w:szCs w:val="12"/>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may control Wynn Resorts' board of directors. See "Certain Relationships and Related Party Transactions—Stockholders Agreement."</w:t>
      </w:r>
    </w:p>
    <w:p>
      <w:pPr>
        <w:ind w:left="540" w:right="520" w:hanging="532"/>
        <w:spacing w:after="0" w:line="181" w:lineRule="auto"/>
        <w:tabs>
          <w:tab w:leader="none" w:pos="540" w:val="left"/>
        </w:tabs>
        <w:numPr>
          <w:ilvl w:val="0"/>
          <w:numId w:val="6"/>
        </w:numPr>
        <w:rPr>
          <w:rFonts w:ascii="Arial" w:cs="Arial" w:eastAsia="Arial" w:hAnsi="Arial"/>
          <w:sz w:val="18"/>
          <w:szCs w:val="18"/>
          <w:color w:val="auto"/>
          <w:vertAlign w:val="subscript"/>
        </w:rPr>
      </w:pPr>
      <w:r>
        <w:rPr>
          <w:rFonts w:ascii="Arial" w:cs="Arial" w:eastAsia="Arial" w:hAnsi="Arial"/>
          <w:sz w:val="10"/>
          <w:szCs w:val="10"/>
          <w:color w:val="auto"/>
        </w:rPr>
        <w:t>Following the completion of this offering, Wynn Resorts intends to grant awards of restricted stock initially to six employees and to Mr. Franco Dragone, the creator of the new entertainment production at Le Rêve. The restricted stock will be subject to Wynn Resorts' repurchase right for a period of time.</w:t>
      </w:r>
    </w:p>
    <w:p>
      <w:pPr>
        <w:jc w:val="both"/>
        <w:ind w:left="540" w:hanging="532"/>
        <w:spacing w:after="0" w:line="190" w:lineRule="auto"/>
        <w:tabs>
          <w:tab w:leader="none" w:pos="540" w:val="left"/>
        </w:tabs>
        <w:numPr>
          <w:ilvl w:val="0"/>
          <w:numId w:val="6"/>
        </w:numPr>
        <w:rPr>
          <w:rFonts w:ascii="Arial" w:cs="Arial" w:eastAsia="Arial" w:hAnsi="Arial"/>
          <w:sz w:val="21"/>
          <w:szCs w:val="21"/>
          <w:color w:val="auto"/>
          <w:vertAlign w:val="subscript"/>
        </w:rPr>
      </w:pPr>
      <w:r>
        <w:rPr>
          <w:rFonts w:ascii="Arial" w:cs="Arial" w:eastAsia="Arial" w:hAnsi="Arial"/>
          <w:sz w:val="11"/>
          <w:szCs w:val="11"/>
          <w:color w:val="auto"/>
        </w:rPr>
        <w:t>The shaded area shows the entities that will be issuers or other restricted entities with respect to the second mortgage notes and borrowers or other restricted entities with respect to the revolving credit facility, delay draw term loan facility and FF&amp;E facility. These entities will also be the guarantors under these debt facilities. Wynn Resorts' subsidiaries which will develop the Macau opportunity will not be issuers, borrowers, guarantors or restricted entities with respect to the financing of Le Rêve.</w:t>
      </w:r>
    </w:p>
    <w:p>
      <w:pPr>
        <w:ind w:left="540" w:right="60" w:hanging="532"/>
        <w:spacing w:after="0" w:line="183" w:lineRule="auto"/>
        <w:tabs>
          <w:tab w:leader="none" w:pos="540" w:val="left"/>
        </w:tabs>
        <w:numPr>
          <w:ilvl w:val="0"/>
          <w:numId w:val="6"/>
        </w:numPr>
        <w:rPr>
          <w:rFonts w:ascii="Arial" w:cs="Arial" w:eastAsia="Arial" w:hAnsi="Arial"/>
          <w:sz w:val="22"/>
          <w:szCs w:val="22"/>
          <w:color w:val="auto"/>
          <w:vertAlign w:val="subscript"/>
        </w:rPr>
      </w:pPr>
      <w:r>
        <w:rPr>
          <w:rFonts w:ascii="Arial" w:cs="Arial" w:eastAsia="Arial" w:hAnsi="Arial"/>
          <w:sz w:val="12"/>
          <w:szCs w:val="12"/>
          <w:color w:val="auto"/>
        </w:rPr>
        <w:t>Includes a number of wholly owned and partially owned entities. Once certain minority investors acquire interests in Wynn Resorts' Macau-related entities, Wynn Resorts will indirectly own an approximately 82.5% economic interest and will effectively control approximately 90% of the vote of Wynn Macau indirectly through various subsidiaries. For additional information regarding these entities, see "Business—The Macau Opportunity—Ownership Structure of Macau-Related Entities."</w:t>
      </w:r>
    </w:p>
    <w:p>
      <w:pPr>
        <w:spacing w:after="0" w:line="1" w:lineRule="exact"/>
        <w:rPr>
          <w:rFonts w:ascii="Arial" w:cs="Arial" w:eastAsia="Arial" w:hAnsi="Arial"/>
          <w:sz w:val="22"/>
          <w:szCs w:val="22"/>
          <w:color w:val="auto"/>
          <w:vertAlign w:val="subscript"/>
        </w:rPr>
      </w:pPr>
    </w:p>
    <w:p>
      <w:pPr>
        <w:ind w:left="540" w:hanging="532"/>
        <w:spacing w:after="0" w:line="185" w:lineRule="auto"/>
        <w:tabs>
          <w:tab w:leader="none" w:pos="540" w:val="left"/>
        </w:tabs>
        <w:numPr>
          <w:ilvl w:val="0"/>
          <w:numId w:val="6"/>
        </w:numPr>
        <w:rPr>
          <w:rFonts w:ascii="Arial" w:cs="Arial" w:eastAsia="Arial" w:hAnsi="Arial"/>
          <w:sz w:val="18"/>
          <w:szCs w:val="18"/>
          <w:color w:val="auto"/>
          <w:vertAlign w:val="subscript"/>
        </w:rPr>
      </w:pPr>
      <w:r>
        <w:rPr>
          <w:rFonts w:ascii="Arial" w:cs="Arial" w:eastAsia="Arial" w:hAnsi="Arial"/>
          <w:sz w:val="10"/>
          <w:szCs w:val="10"/>
          <w:color w:val="auto"/>
        </w:rPr>
        <w:t>Includes a number of wholly owned subsidiary limited liability companies. These entities include Rambas Marketing Co., LLC, Toasty, LLC, and WorldWide Wynn, LLC.</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2" w:lineRule="exact"/>
        <w:rPr>
          <w:sz w:val="20"/>
          <w:szCs w:val="20"/>
          <w:color w:val="auto"/>
        </w:rPr>
      </w:pPr>
    </w:p>
    <w:p>
      <w:pPr>
        <w:ind w:left="540" w:right="20" w:hanging="532"/>
        <w:spacing w:after="0"/>
        <w:tabs>
          <w:tab w:leader="none" w:pos="540" w:val="left"/>
        </w:tabs>
        <w:numPr>
          <w:ilvl w:val="0"/>
          <w:numId w:val="7"/>
        </w:numPr>
        <w:rPr>
          <w:rFonts w:ascii="Arial" w:cs="Arial" w:eastAsia="Arial" w:hAnsi="Arial"/>
          <w:sz w:val="21"/>
          <w:szCs w:val="21"/>
          <w:color w:val="auto"/>
          <w:vertAlign w:val="subscript"/>
        </w:rPr>
      </w:pPr>
      <w:r>
        <w:rPr>
          <w:rFonts w:ascii="Arial" w:cs="Arial" w:eastAsia="Arial" w:hAnsi="Arial"/>
          <w:sz w:val="11"/>
          <w:szCs w:val="11"/>
          <w:color w:val="auto"/>
        </w:rPr>
        <w:t>We will contribute $30 million of the net proceeds of this offering to Wynn Las Vegas to be held in a liquidity reserve account to support Wynn Las Vegas' obligation to complete the project. See "Use of Proceeds."</w:t>
      </w:r>
    </w:p>
    <w:p>
      <w:pPr>
        <w:spacing w:after="0" w:line="13" w:lineRule="exact"/>
        <w:rPr>
          <w:rFonts w:ascii="Arial" w:cs="Arial" w:eastAsia="Arial" w:hAnsi="Arial"/>
          <w:sz w:val="21"/>
          <w:szCs w:val="21"/>
          <w:color w:val="auto"/>
          <w:vertAlign w:val="subscript"/>
        </w:rPr>
      </w:pPr>
    </w:p>
    <w:p>
      <w:pPr>
        <w:jc w:val="both"/>
        <w:ind w:left="540" w:right="180" w:hanging="532"/>
        <w:spacing w:after="0" w:line="183" w:lineRule="auto"/>
        <w:tabs>
          <w:tab w:leader="none" w:pos="540" w:val="left"/>
        </w:tabs>
        <w:numPr>
          <w:ilvl w:val="0"/>
          <w:numId w:val="7"/>
        </w:numPr>
        <w:rPr>
          <w:rFonts w:ascii="Arial" w:cs="Arial" w:eastAsia="Arial" w:hAnsi="Arial"/>
          <w:sz w:val="26"/>
          <w:szCs w:val="26"/>
          <w:color w:val="auto"/>
          <w:vertAlign w:val="subscript"/>
        </w:rPr>
      </w:pPr>
      <w:r>
        <w:rPr>
          <w:rFonts w:ascii="Arial" w:cs="Arial" w:eastAsia="Arial" w:hAnsi="Arial"/>
          <w:sz w:val="13"/>
          <w:szCs w:val="13"/>
          <w:color w:val="auto"/>
        </w:rPr>
        <w:t>We will contribute $50 million of the net proceeds of this offering to a special purpose subsidiary of Wynn Las Vegas, which will provide a $50 million completion guarantee in connection with the construction and opening of Le Rêve. See "Use of Proceeds." This special purpose subsidiary will be an unrestricted entity and will not be subject to the covenants in the credit facilities, the FF&amp;E facility or the second mortgage notes. Similarly, it will not be a guarantor with respect to any of these debt facilities.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Issuer Information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Resorts, Limited is a Nevada corporation. Before the closing of this offering, all of the members of Valvino Lamore, LLC, a Nevada limited liability company, will contribute their membership interests in Valvino to Wynn Resorts in exchange for shares of the common stock of Wynn Resorts. As a result, Valvino will become a wholly owned subsidiary of Wynn Resorts. Wynn Resorts' principal executive offices are located at 3145 Las Vegas Boulevard South, Las Vegas, Nevada 89109. Wynn Resorts' telephone number is (702) 733-4444.</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840" w:type="dxa"/>
            <w:vAlign w:val="bottom"/>
          </w:tcPr>
          <w:p>
            <w:pPr>
              <w:ind w:left="236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offered by Wynn</w:t>
            </w:r>
          </w:p>
        </w:tc>
        <w:tc>
          <w:tcPr>
            <w:tcW w:w="5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Resorts</w:t>
            </w:r>
          </w:p>
        </w:tc>
        <w:tc>
          <w:tcPr>
            <w:tcW w:w="58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424"/>
        </w:trPr>
        <w:tc>
          <w:tcPr>
            <w:tcW w:w="2840" w:type="dxa"/>
            <w:vAlign w:val="bottom"/>
            <w:gridSpan w:val="2"/>
          </w:tcPr>
          <w:p>
            <w:pPr>
              <w:spacing w:after="0"/>
              <w:rPr>
                <w:sz w:val="20"/>
                <w:szCs w:val="20"/>
                <w:color w:val="auto"/>
              </w:rPr>
            </w:pPr>
            <w:r>
              <w:rPr>
                <w:rFonts w:ascii="Arial" w:cs="Arial" w:eastAsia="Arial" w:hAnsi="Arial"/>
                <w:sz w:val="18"/>
                <w:szCs w:val="18"/>
                <w:color w:val="auto"/>
                <w:w w:val="92"/>
              </w:rPr>
              <w:t>Common stock to be outstanding after</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color w:val="auto"/>
              </w:rPr>
              <w:t>this offering</w:t>
            </w:r>
          </w:p>
        </w:tc>
        <w:tc>
          <w:tcPr>
            <w:tcW w:w="5840" w:type="dxa"/>
            <w:vAlign w:val="bottom"/>
          </w:tcPr>
          <w:p>
            <w:pPr>
              <w:ind w:left="92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We intend to use existing cash and net proceeds from this offering, along with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the borrowings under the credit facilities and the FF&amp;E facility and the net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20" w:type="dxa"/>
            <w:vAlign w:val="bottom"/>
            <w:shd w:val="clear" w:color="auto" w:fill="CCEEFF"/>
          </w:tcPr>
          <w:p>
            <w:pPr>
              <w:spacing w:after="0"/>
              <w:rPr>
                <w:sz w:val="10"/>
                <w:szCs w:val="10"/>
                <w:color w:val="auto"/>
              </w:rPr>
            </w:pPr>
          </w:p>
        </w:tc>
        <w:tc>
          <w:tcPr>
            <w:tcW w:w="5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340"/>
          </w:cols>
          <w:pgMar w:left="240" w:top="1440" w:right="319" w:bottom="0" w:gutter="0" w:footer="0" w:header="0"/>
        </w:sectPr>
      </w:pPr>
    </w:p>
    <w:bookmarkStart w:id="6" w:name="page7"/>
    <w:bookmarkEnd w:id="6"/>
    <w:p>
      <w:pPr>
        <w:ind w:left="2960"/>
        <w:spacing w:after="0"/>
        <w:rPr>
          <w:sz w:val="20"/>
          <w:szCs w:val="20"/>
          <w:color w:val="auto"/>
        </w:rPr>
      </w:pPr>
      <w:r>
        <w:rPr>
          <w:rFonts w:ascii="Arial" w:cs="Arial" w:eastAsia="Arial" w:hAnsi="Arial"/>
          <w:sz w:val="18"/>
          <w:szCs w:val="18"/>
          <w:color w:val="auto"/>
        </w:rPr>
        <w:t>proceeds from the offering of the second mortgage notes, to design,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505450" cy="1235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05450" cy="1235075"/>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6"/>
          <w:szCs w:val="16"/>
          <w:color w:val="auto"/>
        </w:rPr>
        <w:t>develop, equip and open Le Rêve, a destination casino resort on the Las Vegas</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Strip which is expected to open in March 2005. As described below, $50 million</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of the proceeds from this offering will be contributed to a special purpose</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subsidiary of Wynn Las Vegas and $30 million of the proceeds from this offering</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will be contributed to Wynn Las Vegas to be held in a liquidity reserve account,</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in each case, pledged to the lenders under the credit facilities and the second</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mortgage note holders to secure our subsidiaries' obligations to complete the</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project.</w:t>
      </w:r>
    </w:p>
    <w:p>
      <w:pPr>
        <w:spacing w:after="0" w:line="21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If the underwriters exercise their over-allotment option in this offering, we may</w:t>
      </w:r>
    </w:p>
    <w:p>
      <w:pPr>
        <w:spacing w:after="0" w:line="15"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use the additional net proceeds to provide additional liquidity for our</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construction and debt service expenses relating to Le Rêve, for expenditures</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related to the Macau opportunity, for our working capital needs or for general</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corporate purposes.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40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Listing</w:t>
            </w:r>
          </w:p>
        </w:tc>
        <w:tc>
          <w:tcPr>
            <w:tcW w:w="694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9"/>
              </w:rPr>
              <w:t>We have filed an application to have Wynn Resorts' common stock approved for</w:t>
            </w:r>
          </w:p>
        </w:tc>
        <w:tc>
          <w:tcPr>
            <w:tcW w:w="2740" w:type="dxa"/>
            <w:vAlign w:val="bottom"/>
          </w:tcPr>
          <w:p>
            <w:pPr>
              <w:spacing w:after="0"/>
              <w:rPr>
                <w:sz w:val="24"/>
                <w:szCs w:val="24"/>
                <w:color w:val="auto"/>
              </w:rPr>
            </w:pPr>
          </w:p>
        </w:tc>
      </w:tr>
      <w:tr>
        <w:trPr>
          <w:trHeight w:val="224"/>
        </w:trPr>
        <w:tc>
          <w:tcPr>
            <w:tcW w:w="1740" w:type="dxa"/>
            <w:vAlign w:val="bottom"/>
            <w:shd w:val="clear" w:color="auto" w:fill="CCEEFF"/>
          </w:tcPr>
          <w:p>
            <w:pPr>
              <w:spacing w:after="0"/>
              <w:rPr>
                <w:sz w:val="19"/>
                <w:szCs w:val="19"/>
                <w:color w:val="auto"/>
              </w:rPr>
            </w:pPr>
          </w:p>
        </w:tc>
        <w:tc>
          <w:tcPr>
            <w:tcW w:w="69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quotation on The Nasdaq National Market under the symbol "WYNN."</w:t>
            </w:r>
          </w:p>
        </w:tc>
        <w:tc>
          <w:tcPr>
            <w:tcW w:w="2740" w:type="dxa"/>
            <w:vAlign w:val="bottom"/>
          </w:tcPr>
          <w:p>
            <w:pPr>
              <w:spacing w:after="0"/>
              <w:rPr>
                <w:sz w:val="19"/>
                <w:szCs w:val="19"/>
                <w:color w:val="auto"/>
              </w:rPr>
            </w:pPr>
          </w:p>
        </w:tc>
      </w:tr>
      <w:tr>
        <w:trPr>
          <w:trHeight w:val="430"/>
        </w:trPr>
        <w:tc>
          <w:tcPr>
            <w:tcW w:w="1740" w:type="dxa"/>
            <w:vAlign w:val="bottom"/>
          </w:tcPr>
          <w:p>
            <w:pPr>
              <w:spacing w:after="0"/>
              <w:rPr>
                <w:sz w:val="24"/>
                <w:szCs w:val="24"/>
                <w:color w:val="auto"/>
              </w:rPr>
            </w:pPr>
          </w:p>
        </w:tc>
        <w:tc>
          <w:tcPr>
            <w:tcW w:w="6940" w:type="dxa"/>
            <w:vAlign w:val="bottom"/>
          </w:tcPr>
          <w:p>
            <w:pPr>
              <w:jc w:val="right"/>
              <w:ind w:right="2832"/>
              <w:spacing w:after="0"/>
              <w:rPr>
                <w:sz w:val="20"/>
                <w:szCs w:val="20"/>
                <w:color w:val="auto"/>
              </w:rPr>
            </w:pPr>
            <w:r>
              <w:rPr>
                <w:rFonts w:ascii="Arial" w:cs="Arial" w:eastAsia="Arial" w:hAnsi="Arial"/>
                <w:sz w:val="18"/>
                <w:szCs w:val="18"/>
                <w:color w:val="auto"/>
              </w:rPr>
              <w:t>7</w:t>
            </w:r>
          </w:p>
        </w:tc>
        <w:tc>
          <w:tcPr>
            <w:tcW w:w="2740" w:type="dxa"/>
            <w:vAlign w:val="bottom"/>
          </w:tcPr>
          <w:p>
            <w:pPr>
              <w:spacing w:after="0"/>
              <w:rPr>
                <w:sz w:val="24"/>
                <w:szCs w:val="24"/>
                <w:color w:val="auto"/>
              </w:rPr>
            </w:pPr>
          </w:p>
        </w:tc>
      </w:tr>
      <w:tr>
        <w:trPr>
          <w:trHeight w:val="228"/>
        </w:trPr>
        <w:tc>
          <w:tcPr>
            <w:tcW w:w="8680" w:type="dxa"/>
            <w:vAlign w:val="bottom"/>
            <w:tcBorders>
              <w:bottom w:val="single" w:sz="8" w:color="808080"/>
            </w:tcBorders>
            <w:gridSpan w:val="2"/>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r>
      <w:tr>
        <w:trPr>
          <w:trHeight w:val="427"/>
        </w:trPr>
        <w:tc>
          <w:tcPr>
            <w:tcW w:w="8680" w:type="dxa"/>
            <w:vAlign w:val="bottom"/>
            <w:gridSpan w:val="2"/>
          </w:tcPr>
          <w:p>
            <w:pPr>
              <w:jc w:val="right"/>
              <w:spacing w:after="0"/>
              <w:rPr>
                <w:sz w:val="20"/>
                <w:szCs w:val="20"/>
                <w:color w:val="auto"/>
              </w:rPr>
            </w:pPr>
            <w:r>
              <w:rPr>
                <w:rFonts w:ascii="Arial" w:cs="Arial" w:eastAsia="Arial" w:hAnsi="Arial"/>
                <w:sz w:val="18"/>
                <w:szCs w:val="18"/>
                <w:color w:val="auto"/>
                <w:w w:val="91"/>
              </w:rPr>
              <w:t>Unless otherwise indicated, all share information in this prospectus is based on the number of shares outstanding as of</w:t>
            </w:r>
          </w:p>
        </w:tc>
        <w:tc>
          <w:tcPr>
            <w:tcW w:w="2740" w:type="dxa"/>
            <w:vAlign w:val="bottom"/>
          </w:tcPr>
          <w:p>
            <w:pPr>
              <w:ind w:left="1120"/>
              <w:spacing w:after="0"/>
              <w:rPr>
                <w:sz w:val="20"/>
                <w:szCs w:val="20"/>
                <w:color w:val="auto"/>
              </w:rPr>
            </w:pPr>
            <w:r>
              <w:rPr>
                <w:rFonts w:ascii="Arial" w:cs="Arial" w:eastAsia="Arial" w:hAnsi="Arial"/>
                <w:sz w:val="18"/>
                <w:szCs w:val="18"/>
                <w:color w:val="auto"/>
                <w:w w:val="96"/>
              </w:rPr>
              <w:t>, 2002 and excludes: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-285115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-285115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7" w:lineRule="exact"/>
        <w:rPr>
          <w:sz w:val="20"/>
          <w:szCs w:val="20"/>
          <w:color w:val="auto"/>
        </w:rPr>
      </w:pPr>
    </w:p>
    <w:p>
      <w:pPr>
        <w:ind w:left="1620" w:hanging="532"/>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8,600,000 shares of Wynn Resorts' common stock available for future issuance under our stock incentive plan; and</w:t>
      </w:r>
    </w:p>
    <w:p>
      <w:pPr>
        <w:sectPr>
          <w:pgSz w:w="11900" w:h="16838" w:orient="portrait"/>
          <w:cols w:equalWidth="0" w:num="1">
            <w:col w:w="11420"/>
          </w:cols>
          <w:pgMar w:left="240" w:top="131" w:right="239" w:bottom="0" w:gutter="0" w:footer="0" w:header="0"/>
        </w:sectPr>
      </w:pP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possible issuance of up to additional shares of Wynn Resorts' common stock that the underwriters have the option to purchase from Wynn Resorts to cover over-allotments.</w:t>
      </w:r>
    </w:p>
    <w:p>
      <w:pPr>
        <w:spacing w:after="0" w:line="186" w:lineRule="exact"/>
        <w:rPr>
          <w:sz w:val="20"/>
          <w:szCs w:val="20"/>
          <w:color w:val="auto"/>
        </w:rPr>
      </w:pPr>
    </w:p>
    <w:p>
      <w:pPr>
        <w:sectPr>
          <w:pgSz w:w="11900" w:h="16838" w:orient="portrait"/>
          <w:cols w:equalWidth="0" w:num="2">
            <w:col w:w="1160" w:space="460"/>
            <w:col w:w="9800"/>
          </w:cols>
          <w:pgMar w:left="240" w:top="131" w:right="239" w:bottom="0" w:gutter="0" w:footer="0" w:header="0"/>
          <w:type w:val="continuous"/>
        </w:sectPr>
      </w:pPr>
    </w:p>
    <w:p>
      <w:pPr>
        <w:ind w:right="40" w:firstLine="341"/>
        <w:spacing w:after="0" w:line="286" w:lineRule="auto"/>
        <w:rPr>
          <w:sz w:val="20"/>
          <w:szCs w:val="20"/>
          <w:color w:val="auto"/>
        </w:rPr>
      </w:pPr>
      <w:r>
        <w:rPr>
          <w:rFonts w:ascii="Arial" w:cs="Arial" w:eastAsia="Arial" w:hAnsi="Arial"/>
          <w:sz w:val="16"/>
          <w:szCs w:val="16"/>
          <w:color w:val="auto"/>
        </w:rPr>
        <w:t>A special purpose subsidiary of Wynn Las Vegas, formed with the intention of being bankruptcy-remote,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highly-rated securities, and pledged to the senior lenders under the credit facilities and the holders of the second mortgage notes as security for the completion quarantee. Pursuant to the disbursement agreement that will govern the disbursement of funds from our debt facilities to fund Le Rêve project costs, these funds will become available to us on a gradual basis to apply to the costs of the project only after fifty percent of the Le Rêve construction work has been completed. Upon the occurrence of an event of default under our subsidiaries' credit facilities or the indenture governing the second mortgage notes, the lenders under our subsidiaries' credit facilities or, if no amounts are outstanding under the credit facilities, the holders of the second mortgage notes, will be permitted to exercise remedies against such sums and apply such sums against the obligations under their respective documents. Upon the completion and opening of Le Rêve, any amounts remaining in this account will be released to Wynn Resorts.</w:t>
      </w:r>
    </w:p>
    <w:p>
      <w:pPr>
        <w:spacing w:after="0" w:line="18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we will contribute $30 million of the net proceeds of this offering to Wynn Las Vegas to be held in a liquidity reserve account pledged to the lenders under the credit facilities and second mortgage note holders to secure Wynn Las Vegas' obligation to complete the project. Until the completion and opening of Le Rêve, these funds may be applied to the costs to develop and construct Le Rêve in accordance with the disbursement agreement. Following the completion and opening of Le Rêve, these funds will be available to meet our debt service needs in connection with the operation of Le Rêve. At such time as Wynn Las Vegas has met prescribed cash flow tests for a period of four consecutive fiscal quarters after the opening of Le Rêve, any remaining funds will be used to reduce the outstanding balance on the revolving credit facility, but without reducing the revolving credit facility commitment.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Investing in Wynn Resorts will be subject to significant risks. You should carefully consider the risks described below, together with all of the other information included in this prospectus, before deciding to purchase Wynn Resorts' common stock. If any of the following risks and uncertainties actually occur, our business, financial condition or operating results could be harmed substantially. This could cause the trading price of Wynn Resorts' common stock to decline, perhaps significantly, and you may lose all or part of your investment in Wynn Resorts' common stock.</w:t>
      </w:r>
    </w:p>
    <w:p>
      <w:pPr>
        <w:spacing w:after="0" w:line="167"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Certain statements in "Risk Factors" constitute "forward-looking statements." Actual results could differ substantially from those projected in the forward-looking statements as a result of certain factors and uncertainties set forth below and elsewhere in this prospectus. See "Forward-Looking Statements."</w:t>
      </w:r>
    </w:p>
    <w:p>
      <w:pPr>
        <w:spacing w:after="0" w:line="34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conditions to the funding of the financing for the Le Rêve project.</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Concurrent with the closing of this offering and our subsidiaries' offering of second mortgage notes, Wynn Las Vegas will enter into agreements to govern the credit facilities and the FF&amp;E facility. The closings of this offering, our subsidiaries' second mortgage notes offering, the credit facilities and the FF&amp;E facility will be conditioned on each other.</w:t>
      </w:r>
    </w:p>
    <w:p>
      <w:pPr>
        <w:spacing w:after="0" w:line="194"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Wynn Las Vegas intends to deposit all of the net proceeds from the offering of the second mortgage notes in a secured account pledged to the second mortgage note holders pursuant to an agreement with the trustee for the second mortgage note holders.</w:t>
      </w:r>
    </w:p>
    <w:p>
      <w:pPr>
        <w:sectPr>
          <w:pgSz w:w="11900" w:h="16838" w:orient="portrait"/>
          <w:cols w:equalWidth="0" w:num="1">
            <w:col w:w="11420"/>
          </w:cols>
          <w:pgMar w:left="240" w:top="131" w:right="239" w:bottom="0" w:gutter="0" w:footer="0" w:header="0"/>
          <w:type w:val="continuous"/>
        </w:sectPr>
      </w:pPr>
    </w:p>
    <w:bookmarkStart w:id="7" w:name="page8"/>
    <w:bookmarkEnd w:id="7"/>
    <w:p>
      <w:pPr>
        <w:ind w:firstLine="351"/>
        <w:spacing w:after="0" w:line="287" w:lineRule="auto"/>
        <w:rPr>
          <w:sz w:val="20"/>
          <w:szCs w:val="20"/>
          <w:color w:val="auto"/>
        </w:rPr>
      </w:pPr>
      <w:r>
        <w:rPr>
          <w:rFonts w:ascii="Arial" w:cs="Arial" w:eastAsia="Arial" w:hAnsi="Arial"/>
          <w:sz w:val="16"/>
          <w:szCs w:val="16"/>
          <w:color w:val="auto"/>
        </w:rPr>
        <w:t>Pursuant to the disbursement agreement, we are required to first use the net cash proceeds that Wynn Resorts contributes to Wynn Las Vegas from its initial public offering and a portion of our existing cash to fund the development, construction and pre-opening costs of Le Rêve. When those funds are depleted, we will be required to use the proceeds of the second mortgage notes, followed by proceeds of borrowings under the credit facilities and the FF&amp;E facility. We do not expect to request a disbursement of the second mortgage note proceeds from the secured account or to borrow under the credit facilities or the FF&amp;E facility until approximately ten to twelve months after the closing of this offering. Our ability to, from time to time, obtain a disbursement of the proceeds of the second mortgage notes or borrow under the credit facilities and the FF&amp;E facility to fund the development, construction and pre-opening costs of Le Rêve will be subject to various conditions precedent. As such, we cannot assure you that we will be able to obtain a disbursement of the proceeds of the second mortgage notes or draw upon the credit facilities and FF&amp;E facility after we have applied the proceeds of this offering toward the development, construction and pre-opening costs of Le Rêve. In addition to other customary conditions to funding for these types of facilities, our ability to obtain a disbursement of the proceeds of the second mortgage notes or draw on the credit facilities and the FF&amp;E facility will be subject to the following conditions:</w:t>
      </w:r>
    </w:p>
    <w:p>
      <w:pPr>
        <w:spacing w:after="0" w:line="190"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the FF&amp;E facility or the indenture governing the second mortgage notes;</w:t>
      </w:r>
    </w:p>
    <w:p>
      <w:pPr>
        <w:spacing w:after="0" w:line="25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6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must certify that the Le Rêve project will be completed no later than August 31, 2005, subject to limited permitted extensions due to force majeure events;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its affiliates;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conditions set forth in the disbursement agreement for the disbursement of funds must be satisfied;</w:t>
      </w:r>
    </w:p>
    <w:p>
      <w:pPr>
        <w:spacing w:after="0" w:line="238" w:lineRule="exact"/>
        <w:rPr>
          <w:rFonts w:ascii="Arial" w:cs="Arial" w:eastAsia="Arial" w:hAnsi="Arial"/>
          <w:sz w:val="18"/>
          <w:szCs w:val="18"/>
          <w:color w:val="auto"/>
        </w:rPr>
      </w:pPr>
    </w:p>
    <w:p>
      <w:pPr>
        <w:jc w:val="both"/>
        <w:ind w:left="1080" w:right="26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arrangements reasonably satisfactory to the lenders under the credit facilities and the FF&amp;E facility must have been entered into and must be in full force and effect to ensure that a gaming license for the Le Rêve project will be obtainable in the event that one of our major stockholders is unable to qualify for such license;</w:t>
      </w:r>
    </w:p>
    <w:p>
      <w:pPr>
        <w:spacing w:after="0" w:line="221"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subsidiaries must have obtained, if available on commercially reasonable terms, taking into account the state of the insurance market at such time and the then current practices of comparable projects, terrorism insurance in size and substance satisfactory to the lenders under the credit facilities; and</w:t>
      </w:r>
    </w:p>
    <w:p>
      <w:pPr>
        <w:spacing w:after="0" w:line="207"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lenders under the credit facilities must be satisfied with the subcontractor bids received by our general contractor in respect of a specified percentage of the guaranteed maximum price under the construction contract, which percentage is to be mutually agreed upon by us and the lenders under the credit facilities.</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cannot assure you that we will be able to satisfy the conditions to funding at the time disbursements or drawdowns are required to make payments of our construction costs. Satisfaction of various conditions is subject to the discretion of the lenders under the credit facilities and their consultants and is therefore beyond our control.</w:t>
      </w:r>
    </w:p>
    <w:p>
      <w:pPr>
        <w:spacing w:after="0" w:line="194"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Any failure to satisfy the conditions to the release of the second mortgage note proceeds or drawdowns under the credit facilities or the FF&amp;E facility could severely impact our ability to complete Le Rêve and could arise before or after some or all of the proceeds of this offering have been expended on the project. If we fail to obtain the release of the second mortgage note proceeds or fail to obtain and maintain the ability to drawdown funds under the credit facilities or the FF&amp;E facility, we may not have access to alternative sources of funds necessary to complete Le Rêve on satisfactory terms or at all. Even if we are able to procure alternative sources of funds, the terms and conditions of those funds could materially impair our competitive position and reduce our future cash flows. Moreover, if we decide to seek additional equity capital as a funding alternative, the interests of Wynn Resorts' stockholders could be diluted.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costs of Le Rêve are estimates only and actual development costs may be higher than expected.</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second mortgage notes and any other indebtedness and obligations of ours which will become due through the estimated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commencement date of operations of Le Rêve have been included in our estimate of the total development cost.</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Of the estimated $2.4 billion total development cost for Le Rêve, the design and construction costs are budgeted to be approximately $1.4 billion, including the cost of constructing the new golf course and principal parking garage. The $1.4 billion of budgeted design and construction costs does not include costs such as:</w:t>
      </w:r>
    </w:p>
    <w:p>
      <w:pPr>
        <w:spacing w:after="0" w:line="208"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entertainment production costs,</w:t>
      </w:r>
    </w:p>
    <w:p>
      <w:pPr>
        <w:sectPr>
          <w:pgSz w:w="11900" w:h="16838" w:orient="portrait"/>
          <w:cols w:equalWidth="0" w:num="1">
            <w:col w:w="11400"/>
          </w:cols>
          <w:pgMar w:left="240" w:top="131" w:right="259" w:bottom="0" w:gutter="0" w:footer="0" w:header="0"/>
        </w:sectPr>
      </w:pPr>
    </w:p>
    <w:bookmarkStart w:id="8" w:name="page9"/>
    <w:bookmarkEnd w:id="8"/>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site acquisition costs,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construction period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financing fees,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costs related to certain furniture, fixtures and equipment, such as slot machines, computer equipment and kitchen and dining supplies.</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we have a $34.3 million contingency to cover cost overruns, this contingency may not be sufficient to cover the full amount of such overruns. Moreover, the disbursement agreement imposes conditions on the use of this contingency. If we are unable to use this contingency or if this contingency is not sufficient to cover these costs, we may not have access to the funds required to pay the excess costs. Our inability to pay development costs as they are incurred will negatively affect our ability to complete Le Rêve and thus may significantly impair our business operations and prospects.</w:t>
      </w:r>
    </w:p>
    <w:p>
      <w:pPr>
        <w:spacing w:after="0" w:line="16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Not all of the construction costs of Le Rêve are covered by our guaranteed maximum price construction contract and we will be responsible for any cost overruns of these excluded items.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billion design and construction costs for Le Rêve. The approximately $919 million guaranteed maximum price is subject to increases because of,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items, scope changes, to the project. We are responsible for cost overruns with respect to the remaining approximately $485 million of the $1.4 billion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budgeted design and construction cost expenditures that are not part of the guaranteed maximum price contract, such as:</w:t>
      </w:r>
    </w:p>
    <w:p>
      <w:pPr>
        <w:spacing w:after="0" w:line="246" w:lineRule="exact"/>
        <w:rPr>
          <w:sz w:val="20"/>
          <w:szCs w:val="20"/>
          <w:color w:val="auto"/>
        </w:rPr>
      </w:pPr>
    </w:p>
    <w:p>
      <w:pPr>
        <w:ind w:left="1080" w:right="60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52"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construction of the new golf course at a budgeted cost of approximately $21.5 million, excluding the cost of the land; we expect to solicit competitive bids in late summer 2002 for construction of the new golf course and to award the construction contract in the fourth quarter of 2002;</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$66.1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estimated insurance costs of approximately $12.6 million for builder's risk insurance, fees and reserves under the owner-controlled insurance program, umbrella and excess liability insurance and design professional liability insurance;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Neither the guaranteed maximum price nor the other provisions relating to cost overruns in the construction contract with Marnell Corrao will provide any safeguards against increased costs related to items not covered by that construction contract. While we may in the future enter into other agreements that may seek to limit our exposure to construction cost increases, the actual costs for these items may exceed budgeted costs.</w:t>
      </w:r>
    </w:p>
    <w:p>
      <w:pPr>
        <w:spacing w:after="0" w:line="16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the cost of the items described above exceeds the $485 million budget for those items, we may need to raise additional funding, which may not be available on satisfactory terms or at all, or we may choose to reduce the scope of the work and design components to reduce the costs of constructing the project. Any such reduction in scope, however, would be subject, under specified circumstances, to obtaining the consent of the lenders under the credit facilities, the FF&amp;E facility and the second mortgage note holders as required under the disbursement agreement. Any such budget overruns could significantly impair our ability to complete Le Rêve.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to provide allowances for improvements to retail tenants in excess of our budgeted amounts.</w:t>
      </w:r>
    </w:p>
    <w:p>
      <w:pPr>
        <w:spacing w:after="0" w:line="231"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all plans and specifications regarding the design of Le Rêve are finalized.</w:t>
      </w:r>
    </w:p>
    <w:p>
      <w:pPr>
        <w:spacing w:after="0" w:line="231" w:lineRule="exact"/>
        <w:rPr>
          <w:sz w:val="20"/>
          <w:szCs w:val="20"/>
          <w:color w:val="auto"/>
        </w:rPr>
      </w:pPr>
    </w:p>
    <w:p>
      <w:pPr>
        <w:ind w:right="740" w:firstLine="341"/>
        <w:spacing w:after="0" w:line="268"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Specifically, as of the date of this</w:t>
      </w:r>
    </w:p>
    <w:p>
      <w:pPr>
        <w:sectPr>
          <w:pgSz w:w="11900" w:h="16838" w:orient="portrait"/>
          <w:cols w:equalWidth="0" w:num="1">
            <w:col w:w="11380"/>
          </w:cols>
          <w:pgMar w:left="240" w:top="145" w:right="279" w:bottom="144"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auto"/>
        </w:rPr>
        <w:t>prospectus, and with regard to the portion of the construction budget covered by the approximately $919 million Marnell Corrao construction contract:</w:t>
      </w:r>
    </w:p>
    <w:p>
      <w:pPr>
        <w:spacing w:after="0" w:line="262" w:lineRule="exact"/>
        <w:rPr>
          <w:sz w:val="20"/>
          <w:szCs w:val="20"/>
          <w:color w:val="auto"/>
        </w:rPr>
      </w:pPr>
    </w:p>
    <w:p>
      <w:pPr>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 plant, meeting rooms and warehouse space, which represent approximately $388 million of the construction components covered by the construction contract;</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w:t>
      </w:r>
    </w:p>
    <w:p>
      <w:pPr>
        <w:spacing w:after="0" w:line="238"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 and</w:t>
      </w:r>
    </w:p>
    <w:p>
      <w:pPr>
        <w:spacing w:after="0" w:line="207"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drawings for the interior work on the project have not been finalized. If the cost to complete the interior work exceeds budgeted amounts, the excess will not be covered by the guaranteed maximum price contract and, accordingly, we will be responsible for these excess costs.</w:t>
      </w:r>
    </w:p>
    <w:p>
      <w:pPr>
        <w:spacing w:after="0" w:line="13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With respect to the construction components for which plans and specifications have not been finalized, the guaranteed maximum price contract is based on master concept plans and agreed upon design and other premises and assumptions for the detailed plans to be created. Construction will commence before completion of all drawings and specifications. Delays in completing the drawings and specifications could cause delays in the substantial completion of the work and, under specified circumstances, could defer the contractor's obligation to deliver the completed project by the scheduled completion date.</w:t>
      </w:r>
    </w:p>
    <w:p>
      <w:pPr>
        <w:spacing w:after="0" w:line="16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 We may not have access to sufficient funds to pay for any of these increases in the guaranteed maximum price and, therefore, these increases could severely impair our ability to complete Le Rêve.</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there is a risk that the funds earmarked for the guaranteed maximum price could be exhausted before substantial completion of the project should Marnell Corrao spend greater amounts on certain line items in the earlier stages of construction. The construction contract addresses this risk by requiring Marnell Corrao to demonstrate that it has sufficient funds to complete the work if it reasonably appears, at any stage of the construction work, that the cost to complete the work will exceed the guaranteed maximum price. If Marnell Corrao is unable to provide this evidence, then we may not be able to demonstrate to the disbursement agent and the construction consultant as required by the disbursement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agreement that we have sufficient funds available to cover all remaining construction costs, plus required contingency, in accordance with our construction budget. Accordingly, if Marnell Corrao is unable to demonstrate that it has sufficient funds to complete the work, we may be denied further access to the proceeds of the second mortgage notes, the credit facilities and the FF&amp;E facility.</w:t>
      </w:r>
    </w:p>
    <w:p>
      <w:pPr>
        <w:spacing w:after="0" w:line="19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With respect to the costs of the components that are not covered by the Marnell Corrao construction contract, we have spent approximately 8.4% to date. Plans relating to many of these components have not been finalized. While we have received bids with respect to items comprising another 36.6% of these remaining budgeted costs, we have not accepted these bids and therefore the bids are subject to change. Accordingly, we have not yet spent or received bids for a total of approximately 55% of these remaining budgeted costs.</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however, would be subject, under specified circumstances, to obtaining the consent of the lenders under the credit facilities and the FF&amp;E facility and the second mortgage note holders as required under the disbursement agreement. We cannot assure you that we would obtain these consents.</w:t>
      </w:r>
    </w:p>
    <w:p>
      <w:pPr>
        <w:spacing w:after="0" w:line="16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The guaranteed maximum price under the Marnell Corrao construction contract may increase, and we would be responsible for the amount of any increase.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the guaranteed maximum price due to changes in the scope of work.</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Although we have a guaranteed maximum price contract, the construction contract with Marnell Corrao provides that the guaranteed maximum price will be appropriately increased, and the deadline for completion of construction will be appropriately adjusted, on account of, among other things:</w:t>
      </w:r>
    </w:p>
    <w:p>
      <w:pPr>
        <w:spacing w:after="0" w:line="166"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design documents prepared by the architect or deficiencies in the design documents;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caused by us.</w:t>
      </w:r>
    </w:p>
    <w:p>
      <w:pPr>
        <w:sectPr>
          <w:pgSz w:w="11900" w:h="16838" w:orient="portrait"/>
          <w:cols w:equalWidth="0" w:num="1">
            <w:col w:w="11420"/>
          </w:cols>
          <w:pgMar w:left="240" w:top="590"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Increases in the guaranteed maximum price due to insufficient contingency amounts and smaller than anticipated cost savings.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guaranteed maximum price provides for an owner contingency of approximately $7.6 million to cover several items, including owner-created delays and owner-originated changes in the scope of work. We cannot assure you that the amount of the owner-contingency will be sufficient to cover any or all delays or changes in the scope of work. The guaranteed maximum price also reflects a credit of $18 million for the anticipated savings derived from the owner controlled insurance program on contractor and subcontractor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insurance costs. While we have taken a conservative approach with respect to anticipating cost savings, we cannot be certain of the precise savings until the final audit is complete.</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Cost overruns could cause our subsidiaries to be out of "balance" under the second mortgage notes, credit facilities and FF&amp;E facility and, consequently, prevent them from obtaining funds from the second mortgage note proceeds secured account or, after those funds are exhausted, to draw down under the credit facilities and the FF&amp;E facility. If we cannot obtain these funds, we will not be able to open Le Rêve to the general public on schedule or at all, which would have a significant negative impact on our financial condition and results of operations.</w:t>
      </w:r>
    </w:p>
    <w:p>
      <w:pPr>
        <w:spacing w:after="0" w:line="19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liquidated damages provision in our guaranteed maximum price construction contract will likely not be sufficient to protect us against exposure to actual damages we may suffer for delay in completion of the project.</w:t>
      </w:r>
    </w:p>
    <w:p>
      <w:pPr>
        <w:spacing w:after="0" w:line="180"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is delayed beyond the grace period, our actual damages will likely exceed $300,000 per day.</w:t>
      </w:r>
    </w:p>
    <w:p>
      <w:pPr>
        <w:spacing w:after="0" w:line="15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disbursement agreement requires our subsidiaries to obtain delay liquidated damages insurance to supplement the delay damages payable by Marnell Corrao. We cannot assure you that our subsidiaries will be able to obtain a liquidated damages insurance policy. If they do not obtain this insurance policy, we will not be able to obtain funds from the second mortgage note proceeds secured account or to draw down under the credit facilities. Moreover, even if our subsidiaries are able to obtain liquidated damages insurance, we cannot assure you that they will be able to obtain the insurance proceeds on a timely basis to pay our costs as they are incurred. In addition, if the contractor defaults under the construction contract, we may be unable to complete Le Rêve on schedule or within the amount budgeted. Failure to complete construction on schedule may have a significant negative impact on our operations and financial condition.</w:t>
      </w:r>
    </w:p>
    <w:p>
      <w:pPr>
        <w:spacing w:after="0" w:line="168"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80"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39"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As noted above, the contract also provides for liquidated damages in the amount of $300,000 per day to be imposed on the contractor on a daily basis if the work required by the construction contract is not substantially completed by the deadline, following a five-day grace period and subject to force majeure and other permitted extensions. The liquidated damages for delay in the completion of construction are limited to a maximum amount of $9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their financial resources to cover cost overruns. If Marnell Corrao and Austi do not have the resources to meet their obligations and we are unable to obtain funds under the performance and payment bond in a timely manner, or if the performance and payment bond is insufficient to cover any shortfall, we may need to pay these excess costs in order to complete construction of Le Rêve. This may require us to raise additional funding, which may not be available on satisfactory terms or at all. If we seek additional equity capital as a funding alternative, the interests of Wynn Resorts' stockholders could be diluted. If the opening of Le Rêve is delayed because we cannot fund cost overruns, it could have a substantial negative effect on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the construction contract with Marnell Corrao for construction of Le Rêve may be unenforceable.</w:t>
      </w:r>
    </w:p>
    <w:p>
      <w:pPr>
        <w:spacing w:after="0" w:line="231"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major construction projects that may prevent completion of Le Rêve on budget and on schedule.</w:t>
      </w:r>
    </w:p>
    <w:p>
      <w:pPr>
        <w:sectPr>
          <w:pgSz w:w="11900" w:h="16838" w:orient="portrait"/>
          <w:cols w:equalWidth="0" w:num="1">
            <w:col w:w="11400"/>
          </w:cols>
          <w:pgMar w:left="240" w:top="131" w:right="259" w:bottom="0" w:gutter="0" w:footer="0" w:header="0"/>
        </w:sectPr>
      </w:pPr>
    </w:p>
    <w:bookmarkStart w:id="11" w:name="page12"/>
    <w:bookmarkEnd w:id="11"/>
    <w:p>
      <w:pPr>
        <w:spacing w:after="0" w:line="1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allocations and authorizations from regulatory authorities could increase the total cost, delay or prevent the construction or opening or otherwise affect the design and features of Le Rêve.</w:t>
      </w:r>
    </w:p>
    <w:p>
      <w:pPr>
        <w:spacing w:after="0" w:line="13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cannot assure you that Le Rêve will commence operations on schedule or that construction costs for Le Rêve will not exceed budgeted amounts. Failure to complete Le Rêve on budget or on schedule may have a significant negative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 construction of Le Rêve and the Macau casino(s) may tax management time and resources.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Because Le Rêve is scheduled to open in March 2005 and the Macau concession contract requires Wynn Macau to open a permanent casino resort in Macau by December 2006, we anticipate that there will be a period of time when we will be building Le Rêve at the same time as Wynn Macau will be building its casino(s) in Macau. If both projects are being built simultaneously, members of our senior management will be involved in planning and developing both projects. Major construction projects like Le Rêve will require certain members of management to devote a significant amount of time, attention and resources to the projects, including to manage costs, review budget issues, review design plans, address construction, equipment or staffing problems, pursue the licenses, permits, allocations and authorizations from regulatory authorities that we will need to obtain, hire and train employees and implement marketing strategies. Developing the Macau opportunity simultaneously with Le Rêve may divert management resources from the construction and/or opening of either project. Management's inability to devote sufficient time and attention to either project may delay the construction or opening of the projects. This type of delay could have a negative effect on our business and operations.</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are highly leveraged and future cash flow may not be sufficient for our subsidiaries to meet their obligations, and we might have difficulty obtaining more financing.</w:t>
      </w:r>
    </w:p>
    <w:p>
      <w:pPr>
        <w:spacing w:after="0" w:line="180"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As we progress toward the completion of the construction of Le Rêve, we will have a substantial amount of consolidated debt in relation to our equity, which debt will increase during the construction period. Concurrent with the closing of this offering, we expect that Wynn Las Vegas, our indirect subsidiary, will enter into two credit facilities, a revolving credit facility in a maximum principal amount of $750 million and a delay draw term loan facility in a maximum principal amount of $250 million. We also expect that Wynn Las Vegas and Wynn Capital will jointly issue an aggregate principal amount of approximately $350 million of second mortgage notes, and that Wynn Las Vegas will enter into an agreement for an FF&amp;E facility in a maximum principal amount of $178.5 million. The FF&amp;E facility will provide financing for furniture, fixtures and equipment for Le Rêve and include a provision for an intercompany loan to World Travel, LLC, the owner of our corporate jet. We anticipate that we will draw down approximately $701.4 million under the revolving credit facility and the full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amount of the delay draw term loan facility to fund the construction, development, equipping and opening of Le Rêve and, therefore, by the time Le Rêve is complete, we expect to have total outstanding indebtedness in an aggregate principal amount of approximately $1.5 billion.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substantial indebtedness could have important consequences for you. For example:</w:t>
      </w:r>
    </w:p>
    <w:p>
      <w:pPr>
        <w:spacing w:after="0" w:line="239" w:lineRule="exact"/>
        <w:rPr>
          <w:sz w:val="20"/>
          <w:szCs w:val="20"/>
          <w:color w:val="auto"/>
        </w:rPr>
      </w:pPr>
    </w:p>
    <w:p>
      <w:pPr>
        <w:ind w:left="1080" w:right="80" w:hanging="532"/>
        <w:spacing w:after="0" w:line="335" w:lineRule="auto"/>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If we are unable to meet conditions to disbursements of the second mortgage note proceeds or, after exhaustion thereof, to drawing down amounts under the credit facilities or the FF&amp;E facility, our subsidiaries may not have sufficient funds to continue or complete construction of Le Rêve or to satisfy their construction, debt service and other obligations with respect to the credit facilities, FF&amp;E facility and second mortgage notes;</w:t>
      </w:r>
    </w:p>
    <w:p>
      <w:pPr>
        <w:spacing w:after="0" w:line="169" w:lineRule="exact"/>
        <w:rPr>
          <w:rFonts w:ascii="Arial" w:cs="Arial" w:eastAsia="Arial" w:hAnsi="Arial"/>
          <w:sz w:val="15"/>
          <w:szCs w:val="15"/>
          <w:color w:val="auto"/>
        </w:rPr>
      </w:pPr>
    </w:p>
    <w:p>
      <w:pPr>
        <w:ind w:left="1080" w:right="20" w:hanging="532"/>
        <w:spacing w:after="0" w:line="25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Wynn Las Vegas' ability to satisfy its obligations with respect to the credit facilities and the FF&amp;E facility, and the ability of Wynn Las Vegas and Wynn Capital to satisfy their obligations with respect to the second mortgage notes, may be limited, and, if Wynn Las Vegas and Wynn Capital fail to meet their payment obligations or breach the financial and restrictive covenants contained in the agreements governing the indebtedness, they may be in default under those agreements. If a default is not cured or waived, we may not be able to obtain additional borrowings, including borrowings needed to continue or complete construction of Le Rêve, and the lenders under our credit facilities and the FF&amp;E facility and, subject to the</w:t>
      </w:r>
    </w:p>
    <w:p>
      <w:pPr>
        <w:spacing w:after="0" w:line="198" w:lineRule="exact"/>
        <w:rPr>
          <w:rFonts w:ascii="Arial" w:cs="Arial" w:eastAsia="Arial" w:hAnsi="Arial"/>
          <w:sz w:val="18"/>
          <w:szCs w:val="18"/>
          <w:color w:val="auto"/>
        </w:rPr>
      </w:pPr>
    </w:p>
    <w:p>
      <w:pPr>
        <w:ind w:left="1080" w:right="140"/>
        <w:spacing w:after="0" w:line="332" w:lineRule="auto"/>
        <w:rPr>
          <w:rFonts w:ascii="Arial" w:cs="Arial" w:eastAsia="Arial" w:hAnsi="Arial"/>
          <w:sz w:val="18"/>
          <w:szCs w:val="18"/>
          <w:color w:val="auto"/>
        </w:rPr>
      </w:pPr>
      <w:r>
        <w:rPr>
          <w:rFonts w:ascii="Arial" w:cs="Arial" w:eastAsia="Arial" w:hAnsi="Arial"/>
          <w:sz w:val="16"/>
          <w:szCs w:val="16"/>
          <w:color w:val="auto"/>
        </w:rPr>
        <w:t>intercreditor agreements, the holders of the second mortgage notes will have the right to accelerate the indebtedness and exercise other rights and remedies against Wynn Las Vegas, Wynn Capital and the guarantors of the indebtedness. These rights and remedies include the rights to:</w:t>
      </w:r>
    </w:p>
    <w:p>
      <w:pPr>
        <w:sectPr>
          <w:pgSz w:w="11900" w:h="16952" w:orient="portrait"/>
          <w:cols w:equalWidth="0" w:num="1">
            <w:col w:w="11420"/>
          </w:cols>
          <w:pgMar w:left="240" w:top="131" w:right="239" w:bottom="0" w:gutter="0" w:footer="0" w:header="0"/>
        </w:sectPr>
      </w:pPr>
    </w:p>
    <w:bookmarkStart w:id="12" w:name="page13"/>
    <w:bookmarkEnd w:id="12"/>
    <w:p>
      <w:pPr>
        <w:ind w:left="1620" w:hanging="532"/>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judicial foreclosure against Wynn Las Vegas, Wynn Capital and the guarantors,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petition a court to appoint a receiver for Wynn Las Vegas, Wynn Capital and the guarantors or for substantially all of their assets, and</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they are insolvent, to initiate involuntary bankruptcy proceedings against Wynn Las Vegas, Wynn Capital and the guarantors,</w:t>
      </w:r>
    </w:p>
    <w:p>
      <w:pPr>
        <w:spacing w:after="0" w:line="248" w:lineRule="exact"/>
        <w:rPr>
          <w:sz w:val="20"/>
          <w:szCs w:val="20"/>
          <w:color w:val="auto"/>
        </w:rPr>
      </w:pPr>
    </w:p>
    <w:p>
      <w:pPr>
        <w:ind w:right="60" w:firstLine="527"/>
        <w:spacing w:after="0" w:line="332" w:lineRule="auto"/>
        <w:rPr>
          <w:sz w:val="20"/>
          <w:szCs w:val="20"/>
          <w:color w:val="auto"/>
        </w:rPr>
      </w:pPr>
      <w:r>
        <w:rPr>
          <w:rFonts w:ascii="Arial" w:cs="Arial" w:eastAsia="Arial" w:hAnsi="Arial"/>
          <w:sz w:val="16"/>
          <w:szCs w:val="16"/>
          <w:color w:val="auto"/>
        </w:rPr>
        <w:t>in each case, subject to procedural restraints and limitations applicable to secured creditors generally and procedural restraints and limitations imposed by applicable gaming laws, rules and regulations and the rules and regulations of the Public Utilities Commission of Nevada;</w:t>
      </w:r>
    </w:p>
    <w:p>
      <w:pPr>
        <w:spacing w:after="0" w:line="166" w:lineRule="exact"/>
        <w:rPr>
          <w:sz w:val="20"/>
          <w:szCs w:val="20"/>
          <w:color w:val="auto"/>
        </w:rPr>
      </w:pPr>
    </w:p>
    <w:p>
      <w:pPr>
        <w:ind w:left="1080" w:hanging="532"/>
        <w:spacing w:after="0" w:line="294"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Subject to limited permitted extensions due to force majeure events, if we do not complete construction of Le Rêve by August 31, 2005, Wynn Las Vegas will be in default under the credit facilities and the FF&amp;E facility and Wynn Las Vegas and Wynn Capital will be in default under the indenture governing the second mortgage notes, and the lenders under the credit facilities and FF&amp;E facility and, subject to the intercreditor agreements, the second mortgage note holders, will have the right to accelerate the indebtedness and exercise other rights and remedies against Wynn Las Vegas, Wynn Capital and the guarantors of the indebtedness, including the rights and remedies described above;</w:t>
      </w:r>
    </w:p>
    <w:p>
      <w:pPr>
        <w:spacing w:after="0" w:line="183" w:lineRule="exact"/>
        <w:rPr>
          <w:rFonts w:ascii="Arial" w:cs="Arial" w:eastAsia="Arial" w:hAnsi="Arial"/>
          <w:sz w:val="16"/>
          <w:szCs w:val="16"/>
          <w:color w:val="auto"/>
        </w:rPr>
      </w:pPr>
    </w:p>
    <w:p>
      <w:pPr>
        <w:jc w:val="both"/>
        <w:ind w:left="1080" w:right="14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Wynn Resorts incurs or guarantees other indebtedness, it will become a guarantor of the indebtedness under the credit facilities and the second mortgage notes and, as a result, Wynn Resorts will be obligated to make payments to the lenders and the holders of the second mortgage notes if Wynn Las Vegas, Wynn Capital and the guarantors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indebtedness fail to satisfy their obligations under the credit facilities, the FF&amp;E facility or the second mortgage notes;</w:t>
      </w:r>
    </w:p>
    <w:p>
      <w:pPr>
        <w:spacing w:after="0" w:line="239" w:lineRule="exact"/>
        <w:rPr>
          <w:sz w:val="20"/>
          <w:szCs w:val="20"/>
          <w:color w:val="auto"/>
        </w:rPr>
      </w:pPr>
    </w:p>
    <w:p>
      <w:pPr>
        <w:ind w:left="1080" w:right="540" w:hanging="532"/>
        <w:spacing w:after="0" w:line="370"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Upon commencement of operations at Le Rêve, we will generate significant gaming receivables as a result of extending credit to our credit customers. Payments on these receivables likely will be delayed, which will reduce our cash flow until the payment cycle is established;</w:t>
      </w:r>
    </w:p>
    <w:p>
      <w:pPr>
        <w:spacing w:after="0" w:line="143" w:lineRule="exact"/>
        <w:rPr>
          <w:rFonts w:ascii="Arial" w:cs="Arial" w:eastAsia="Arial" w:hAnsi="Arial"/>
          <w:sz w:val="15"/>
          <w:szCs w:val="15"/>
          <w:color w:val="auto"/>
        </w:rPr>
      </w:pPr>
    </w:p>
    <w:p>
      <w:pPr>
        <w:ind w:left="1080" w:right="540" w:hanging="532"/>
        <w:spacing w:after="0" w:line="370"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Once Le Rêve is operating, we will be required to use a substantial portion of our cash flow from operations to service our subsidiaries' indebtedness, which will reduce the available cash flow to fund working capital, capital expenditures and other general corporate purposes;</w:t>
      </w:r>
    </w:p>
    <w:p>
      <w:pPr>
        <w:spacing w:after="0" w:line="129" w:lineRule="exact"/>
        <w:rPr>
          <w:rFonts w:ascii="Arial" w:cs="Arial" w:eastAsia="Arial" w:hAnsi="Arial"/>
          <w:sz w:val="15"/>
          <w:szCs w:val="15"/>
          <w:color w:val="auto"/>
        </w:rPr>
      </w:pPr>
    </w:p>
    <w:p>
      <w:pPr>
        <w:ind w:left="1080" w:right="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credit facilities and the FF&amp;E facility, a substantial portion of the interest rates Wynn Las Vegas pays will fluctuate with the current market rates and, accordingly, our interest expense will increase if market interest rates increase;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subsidiaries will have increased vulnerability to general adverse economic and industry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the right to incur additional indebtedness, which may exacerbate the risks described above.</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addition to the undrawn amounts under the revolving facility, the terms of the credit facilities, the FF&amp;E facility and the indenture governing the second mortgage notes will permit our subsidiaries to incur additional indebtedness, subject to the limitations imposed by the covenants in those documents. If our existing and contemplated levels of indebtedness increase, the related risks will increase correspondingly. Furthermore, Wynn Resorts will not be subject to the covenants in the credit facilities and second mortgage notes and therefore could incur additional indebtedness. In addition, some of Wynn Resorts' foreign and domestic Macau-related subsidiaries will need additional financing, which could take the form of indebtedness, to fund the development, design and construction costs related to the Macau opportunity. We cannot predict the terms and conditions that might apply to that indebtedness.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generate sufficient cash flow to meet our substantial debt service and other obligations.</w:t>
      </w:r>
    </w:p>
    <w:p>
      <w:pPr>
        <w:spacing w:after="0" w:line="231" w:lineRule="exact"/>
        <w:rPr>
          <w:sz w:val="20"/>
          <w:szCs w:val="20"/>
          <w:color w:val="auto"/>
        </w:rPr>
      </w:pPr>
    </w:p>
    <w:p>
      <w:pPr>
        <w:ind w:right="520" w:firstLine="351"/>
        <w:spacing w:after="0" w:line="335" w:lineRule="auto"/>
        <w:rPr>
          <w:sz w:val="20"/>
          <w:szCs w:val="20"/>
          <w:color w:val="auto"/>
        </w:rPr>
      </w:pPr>
      <w:r>
        <w:rPr>
          <w:rFonts w:ascii="Arial" w:cs="Arial" w:eastAsia="Arial" w:hAnsi="Arial"/>
          <w:sz w:val="15"/>
          <w:szCs w:val="15"/>
          <w:color w:val="auto"/>
        </w:rPr>
        <w:t>Before the opening of Le Rêve, which is expected to occur in March 2005, and the possible opening of one or more casinos in Macau, we and our subsidiaries will have no material operations or earnings. Consequently, we will be dependent on the proceeds of this offering, borrowings under the credit facilities and the FF&amp;E facility and the proceeds of the second mortgage note offering to meet all of our construction, debt service and other obligations.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20" w:firstLine="341"/>
        <w:spacing w:after="0" w:line="256" w:lineRule="auto"/>
        <w:rPr>
          <w:sz w:val="20"/>
          <w:szCs w:val="20"/>
          <w:color w:val="auto"/>
        </w:rPr>
      </w:pPr>
      <w:r>
        <w:rPr>
          <w:rFonts w:ascii="Arial" w:cs="Arial" w:eastAsia="Arial" w:hAnsi="Arial"/>
          <w:sz w:val="18"/>
          <w:szCs w:val="18"/>
          <w:color w:val="auto"/>
        </w:rPr>
        <w:t>After Le Rêve opens, our ability to make interest payments under the credit facilities, the FF&amp;E facility, the second mortgage notes and other indebtedness will depend on our ability to generate sufficient cash flow from operations. We cannot assure you that we will begin operations by the scheduled opening date or at all, or that we will be able to generate sufficient cash flow to meet our expenses, including our subsidiaries' debt service requirements. Our ability to generate cash flow will depend upon many factors, including:</w:t>
      </w:r>
    </w:p>
    <w:p>
      <w:pPr>
        <w:spacing w:after="0" w:line="224"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225" w:lineRule="exact"/>
        <w:rPr>
          <w:rFonts w:ascii="Arial" w:cs="Arial" w:eastAsia="Arial" w:hAnsi="Arial"/>
          <w:sz w:val="18"/>
          <w:szCs w:val="18"/>
          <w:color w:val="auto"/>
        </w:rPr>
      </w:pPr>
    </w:p>
    <w:p>
      <w:pPr>
        <w:spacing w:after="0"/>
        <w:tabs>
          <w:tab w:leader="none" w:pos="0" w:val="left"/>
        </w:tabs>
        <w:numPr>
          <w:ilvl w:val="0"/>
          <w:numId w:val="23"/>
        </w:numPr>
        <w:rPr>
          <w:rFonts w:ascii="Arial" w:cs="Arial" w:eastAsia="Arial" w:hAnsi="Arial"/>
          <w:sz w:val="18"/>
          <w:szCs w:val="18"/>
          <w:color w:val="auto"/>
        </w:rPr>
      </w:pPr>
    </w:p>
    <w:p>
      <w:pPr>
        <w:sectPr>
          <w:pgSz w:w="11900" w:h="16838" w:orient="portrait"/>
          <w:cols w:equalWidth="0" w:num="1">
            <w:col w:w="11400"/>
          </w:cols>
          <w:pgMar w:left="240" w:top="145" w:right="259" w:bottom="0" w:gutter="0" w:footer="0" w:header="0"/>
        </w:sectPr>
      </w:pPr>
    </w:p>
    <w:bookmarkStart w:id="13" w:name="page14"/>
    <w:bookmarkEnd w:id="13"/>
    <w:p>
      <w:pPr>
        <w:ind w:left="1080"/>
        <w:spacing w:after="0"/>
        <w:rPr>
          <w:sz w:val="20"/>
          <w:szCs w:val="20"/>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Some of these factors are beyond our control. In addition, the financing documents for each of the Le Rêve project and the Macau opportunity may contain restrictions or prohibitions on the distribution to Wynn Resorts of any cash flow generated by these projects. Thus, any cash flow generated by the Macau casinos operated by Wynn Macau may not be available to service the debt of the subsidiaries developing the Le Rêve project. Similarly, any cash flow generated by the Le Rêve project may not be available to service the debt of the subsidiaries developing the Macau opportunity.</w:t>
      </w:r>
    </w:p>
    <w:p>
      <w:pPr>
        <w:spacing w:after="0" w:line="16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If we fail to generate sufficient cash flow from future operations to meet our subsidiaries' debt service obligations, we may need to refinance all or a portion of the indebtedness or obtain additional financing in order to meet obligations with respect to the indebtedness. We cannot assure you that we will be able to refinance any of the indebtedness or obtain additional financing on satisfactory terms or at all, particularly because of our anticipated high levels of consolidated debt and the debt and lien incurrence restrictions imposed by the agreements governing the debt. See "—General Risks Associated with Our Business—We have no operating history." If our subsidiaries fail to meet their debt service obligations, they will be in default under the indebtedness and the lenders and the second mortgage note holders will have the right to accelerate the indebtedness and exercise other rights and remedies against our subsidiaries, including the rights and remedies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indebtedness will be secured by a substantial portion of their assets.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Subject to applicable laws, including gaming laws, and certain agreed upon exceptions, we expect that the credit facilities and second mortgage notes will be secured by liens on substantially all of the assets of our subsidiaries that are necessary for the development, construction or operation of Le Rêve. We expect that the FF&amp;E facility will be secured by a first priority security interest in specific assets financed by that facility, including our corporate aircraft, gaming and other equipment, furnishings, fixtures and devices such as elevators, escalators, our electrical substation, heating, vacuum and air conditioning equipment and slot machines. The credit facilities, the FF&amp;E facility and the second mortgage notes will not be secured by any assets related to Wynn Macau's planned operations in Macau.</w:t>
      </w:r>
    </w:p>
    <w:p>
      <w:pPr>
        <w:spacing w:after="0" w:line="19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event of a default by any of our subsidiaries under the financing documents, or if certain of our subsidiaries experience insolvency, liquidation, dissolution or reorganization, the holders of indebtedness under the credit facilities, the FF&amp;E facility, the indenture governing the second mortgage notes and any other secured debt instruments would be entitled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payment from their collateral security, and holders of the unsecured debt of both us and our subsidiaries, if any, would then be entitled to payment in full from our remaining assets before distributions, if any, were made to Wynn Resorts' stockholders.</w:t>
      </w:r>
    </w:p>
    <w:p>
      <w:pPr>
        <w:spacing w:after="0" w:line="180" w:lineRule="exact"/>
        <w:rPr>
          <w:sz w:val="20"/>
          <w:szCs w:val="20"/>
          <w:color w:val="auto"/>
        </w:rPr>
      </w:pPr>
    </w:p>
    <w:p>
      <w:pPr>
        <w:ind w:right="400"/>
        <w:spacing w:after="0" w:line="378" w:lineRule="auto"/>
        <w:rPr>
          <w:sz w:val="20"/>
          <w:szCs w:val="20"/>
          <w:color w:val="auto"/>
        </w:rPr>
      </w:pPr>
      <w:r>
        <w:rPr>
          <w:rFonts w:ascii="Arial" w:cs="Arial" w:eastAsia="Arial" w:hAnsi="Arial"/>
          <w:sz w:val="15"/>
          <w:szCs w:val="15"/>
          <w:b w:val="1"/>
          <w:bCs w:val="1"/>
          <w:color w:val="auto"/>
        </w:rPr>
        <w:t>The credit facilities, the FF&amp;E facility and the indenture governing the second mortgage notes will contain covenants that will restrict our specified affiliates' ability to engage in certain transactions and may impair our ability to respond to changing business and economic conditions.</w:t>
      </w:r>
    </w:p>
    <w:p>
      <w:pPr>
        <w:spacing w:after="0" w:line="11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credit facilities, the FF&amp;E facility and the indenture governing the second mortgage notes will impose operating and financial restrictions on Wynn Golf Course, Wynn Las Vegas and specified affiliates designated as restricted entities under the credit documentation and the indenture governing the second mortgage notes. The restrictions that will be imposed under the credit facilities, the FF&amp;E facility and/or the indenture will include, among other things, limitations on the restricted entities' ability to:</w:t>
      </w:r>
    </w:p>
    <w:p>
      <w:pPr>
        <w:spacing w:after="0" w:line="211"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stock of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and sell equity interest in wholly-owned subsidiaries.</w:t>
      </w:r>
    </w:p>
    <w:p>
      <w:pPr>
        <w:sectPr>
          <w:pgSz w:w="11900" w:h="16838" w:orient="portrait"/>
          <w:cols w:equalWidth="0" w:num="1">
            <w:col w:w="11400"/>
          </w:cols>
          <w:pgMar w:left="240" w:top="131" w:right="259" w:bottom="161" w:gutter="0" w:footer="0" w:header="0"/>
        </w:sectPr>
      </w:pPr>
    </w:p>
    <w:bookmarkStart w:id="14" w:name="page15"/>
    <w:bookmarkEnd w:id="14"/>
    <w:p>
      <w:pPr>
        <w:ind w:right="360" w:firstLine="348"/>
        <w:spacing w:after="0" w:line="335" w:lineRule="auto"/>
        <w:rPr>
          <w:sz w:val="20"/>
          <w:szCs w:val="20"/>
          <w:color w:val="auto"/>
        </w:rPr>
      </w:pPr>
      <w:r>
        <w:rPr>
          <w:rFonts w:ascii="Arial" w:cs="Arial" w:eastAsia="Arial" w:hAnsi="Arial"/>
          <w:sz w:val="15"/>
          <w:szCs w:val="15"/>
          <w:color w:val="auto"/>
        </w:rPr>
        <w:t>The credit facilities will require the restricted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4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restricted entities' ability to comply with these provisions may be affected by general economic conditions, industry conditions, other events beyond our control and delayed completion of Le Rêve. As a result, we cannot assure you that the restricted entities will be able to comply with these covenants. Failure by the restricted entities to comply with the covenants contained in the credit facilities, the FF&amp;E facility or the indenture governing the second mortgage notes, including failure as a result of events beyond our control, could result in an event of default which could materially and adversely affect our operating results and our financial condition. If the restricted entities fail to comply with a financial covenant or other restriction contained in the credit facilities, the FF&amp;E facility, the indenture governing the second mortgage notes or any future financing agreements, an event of default could occur.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there were an event of default under one of our subsidiaries'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either upon maturity or if accelerated upon an event of default, or that we would be able to refinance or restructure the payments on those debt securities. Further, if our subsidiaries are unable to repay, refinance or restructure their indebtedness under the credit facilities, the FF&amp;E facility and the second mortgage notes, the lenders under those facilities and the second mortgage note holders could proceed against the collateral securing that indebtedness. In addition, any event of default or declaration of acceleration under one debt instrument could result in an event of default or declaration of acceleration under one or more of our subsidiaries' other debt instruments.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 Risks Associated with Our Business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We have no operating history.</w:t>
      </w:r>
    </w:p>
    <w:p>
      <w:pPr>
        <w:spacing w:after="0" w:line="231"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were formed principally to develop and operate Le Rêve in Las Vegas and to pursue the Macau opportunity. Le Rêve and the Macau opportunity will be new developments with no history of operations. We cannot assure you that we will be able to attract a sufficient number of hotel guests, gaming customers and other visitors to Le Rêve or the Macau casino(s) to make their operations profitable, either independently in Las Vegas or Macau or as a whole.</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intend to lease approximately eight of the retail spaces and will own and operate the remaining approximately 18 retail spaces. We have entered into one restaurant management agreement and we may enter into others with respect to one or more of the restaurants in Le Rêve.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opening and operation of Le Rêve will be contingent upon the receipt of all regulatory licenses, permits, approvals, registrations, findings of suitability, orders and authorizations from the Nevada gaming and other governmental authorities, including findings of suitability with regard to our direct and indirect principal stockholders. In addition, the opening and operation of Wynn Macau's casino(s) will be subject to the Macau government finding all necessary parties suitable to conduct or be associated with a gaming business in Macau. See "—General Risks Associated with Our Business—Le Rêve and Wynn Macau's casino(s) will be subject to extensive state and local regulation, and licensing and gaming authorities have significant control over their operations, which could have a negative effect on our business." The scope of approvals required to open Le Rêve is extensive and failure to obtain or maintain such approvals could prevent or delay the completion or opening of all or part of Le Rêve, or otherwise affect the design and features of Le Rêve, and could materially and adversely affect our financial position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management and other key personnel could significantly harm our business.</w:t>
      </w:r>
    </w:p>
    <w:p>
      <w:pPr>
        <w:spacing w:after="0" w:line="231"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Our ability to maintain our competitive position is dependent to a large degree on the efforts and skills of our senior management team, including Stephen A. Wynn, the Chairman of the Board and Chief Executive Officer and one of the principal stockholders of Wynn Resorts. We have entered into employment agreements with several of our senior executives, and we plan to enter into additional employment agreements with some of our other senior executives, including Stephen A. Wynn. However, we cannot guarantee that these individuals will remain with us. If we lose the services of any members of our management team or other key personnel, or if they are unable to devote sufficient attention to our operations, our business may be significantly impaired. We cannot assure you that we will be able to retain our existing senior management personnel or to attract additional qualified senior management personnel. See "Management."</w:t>
      </w:r>
    </w:p>
    <w:p>
      <w:pPr>
        <w:spacing w:after="0" w:line="15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our officers, directors and certain key employees also will be required to file applications with the Nevada gaming authorities and may be required to be licensed or found suitable by the Nevada gaming authorities. In Macau, officers, directors and key employees of concession holders are also subject to suitability requirements in terms of background, business experience, associations and reputation. If the Nevada gaming authorities or the Macau government were to find an officer, director or key employee unsuitable for licensing or unsuitable to continue having a relationship with us, we would have to sever all relationships with that person. Furthermore, the Nevada Gaming Commission or the Macau government may require us to terminate the employment of any person who refuses to file appropriate applications. Either result could adversely affect our gaming operations.</w:t>
      </w:r>
    </w:p>
    <w:p>
      <w:pPr>
        <w:spacing w:after="0" w:line="17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Until construction of Le Rêve is close to completion, we do not believe that we will require extensive operational management. Accordingly, we have kept and intend to keep our permanent staff at relatively low levels. We will be required to undertake a major recruiting and training program before Le Rêve opens. However, the pool of experienced gaming and other personnel is limited and competition to recruit and retain gaming and other personnel is likely to intensify as</w:t>
      </w:r>
    </w:p>
    <w:p>
      <w:pPr>
        <w:sectPr>
          <w:pgSz w:w="11900" w:h="16838" w:orient="portrait"/>
          <w:cols w:equalWidth="0" w:num="1">
            <w:col w:w="11420"/>
          </w:cols>
          <w:pgMar w:left="240" w:top="131" w:right="239" w:bottom="0" w:gutter="0" w:footer="0" w:header="0"/>
        </w:sectPr>
      </w:pPr>
    </w:p>
    <w:bookmarkStart w:id="15" w:name="page16"/>
    <w:bookmarkEnd w:id="15"/>
    <w:p>
      <w:pPr>
        <w:spacing w:after="0" w:line="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more hotel casinos are opened. We cannot assure you that we will be able to attract and retain a sufficient number of qualified individuals to operate Le Rêve on acceptable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casino, hotel, convention, retail and other facilities at Le Rêve will face intense competition.</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 with other hotel casinos in Las Vegas on the basis of overall atmosphere, range of amenities,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and Rio All-Suite Hotel &amp; Casino. The Venetian has begun an expansion anticipated to consist of an approximately 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date of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w:t>
      </w:r>
    </w:p>
    <w:p>
      <w:pPr>
        <w:spacing w:after="0" w:line="177"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Le Rêve would impair our financial condition and future results of operations.</w:t>
      </w:r>
    </w:p>
    <w:p>
      <w:pPr>
        <w:spacing w:after="0" w:line="197"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6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i w:val="1"/>
          <w:iCs w:val="1"/>
          <w:color w:val="auto"/>
        </w:rPr>
        <w:t xml:space="preserve">Las Vegas Retail Competition. </w:t>
      </w:r>
      <w:r>
        <w:rPr>
          <w:rFonts w:ascii="Arial" w:cs="Arial" w:eastAsia="Arial" w:hAnsi="Arial"/>
          <w:sz w:val="16"/>
          <w:szCs w:val="16"/>
          <w:color w:val="auto"/>
        </w:rPr>
        <w:t>Retail shops in Le Rêve will compete with retail malls in or near Las Vegas, including the Fashion Show Mall, which</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is undergoing a substantial remodeling and expansion, retail stores at Bellagio, The Forum Shops at Caesars Palace, which is expected to complete a 200,000 square foot expansion in 2004, The Grand Canal Shoppes at The Venetian, the Desert Passage at Aladdin Resort &amp; Casino and other retailers in resorts on the Las Vegas Strip, all of which may attract customers away from Le Rêve's retail shops.</w:t>
      </w:r>
    </w:p>
    <w:p>
      <w:pPr>
        <w:spacing w:after="0" w:line="16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Other Competition for Le Rêve. </w:t>
      </w:r>
      <w:r>
        <w:rPr>
          <w:rFonts w:ascii="Arial" w:cs="Arial" w:eastAsia="Arial" w:hAnsi="Arial"/>
          <w:sz w:val="18"/>
          <w:szCs w:val="18"/>
          <w:color w:val="auto"/>
        </w:rPr>
        <w:t>Le Rêve will also compete, to some extent, with other hotel/casino facilities in Nevada and in Atlantic City, with riverboat</w:t>
      </w:r>
      <w:r>
        <w:rPr>
          <w:rFonts w:ascii="Arial" w:cs="Arial" w:eastAsia="Arial" w:hAnsi="Arial"/>
          <w:sz w:val="18"/>
          <w:szCs w:val="18"/>
          <w:i w:val="1"/>
          <w:iCs w:val="1"/>
          <w:color w:val="auto"/>
        </w:rPr>
        <w:t xml:space="preserve"> </w:t>
      </w:r>
      <w:r>
        <w:rPr>
          <w:rFonts w:ascii="Arial" w:cs="Arial" w:eastAsia="Arial" w:hAnsi="Arial"/>
          <w:sz w:val="18"/>
          <w:szCs w:val="18"/>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"Business—The Macau Opportunity—Competition within Macau and from Regional Markets."</w:t>
      </w:r>
    </w:p>
    <w:p>
      <w:pPr>
        <w:spacing w:after="0" w:line="19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Because we may be entirely dependent upon a limited number of properties for all of our cash flow, we will be subject to greater risks than a gaming company that is more geographically or otherwise diversified.</w:t>
      </w:r>
    </w:p>
    <w:p>
      <w:pPr>
        <w:spacing w:after="0" w:line="180"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do not expect to have material assets or operations other than Le Rêve and Wynn Macau's casino(s) for the foreseeable future. As a result, we likely will be entirely dependent upon Le Rêve and the Macau casino(s) for all of our cash flow. In addition, the financing documents for each of the Le Rêve project and the Macau opportunity may contain restrictions or prohibitions on the distribution to Wynn Resorts of any cash flow generated by these projects. See "—Risks Related to Our Substantial Indebtedness—We may not generate sufficient cash flow to meet our substantial debt service and other obligations."</w:t>
      </w:r>
    </w:p>
    <w:p>
      <w:pPr>
        <w:spacing w:after="0" w:line="167"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Although we own a parcel of approximately 20 acres of land located next to Le Rêve along Las Vegas Boulevard and the Le Rêve golf course land that will be available for future development should they be released from the liens under the credit facilities and second mortgage notes upon satisfaction of prescribed cash flow tests after commencing operations at Le Rêve, we currently have no plans to develop these parcels. In addition, because our operations will only focus on Las Vegas and Macau, we will be subject to greater degrees of risk than a gaming company that is more geographically or otherwise diverse. The risks to which we will have a greater degree of exposure include the following:</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53" w:orient="portrait"/>
          <w:cols w:equalWidth="0" w:num="1">
            <w:col w:w="11420"/>
          </w:cols>
          <w:pgMar w:left="240" w:top="131" w:right="239" w:bottom="0" w:gutter="0" w:footer="0" w:header="0"/>
        </w:sectPr>
      </w:pPr>
    </w:p>
    <w:bookmarkStart w:id="16" w:name="page17"/>
    <w:bookmarkEnd w:id="16"/>
    <w:p>
      <w:pPr>
        <w:ind w:left="1080"/>
        <w:spacing w:after="0"/>
        <w:rPr>
          <w:sz w:val="20"/>
          <w:szCs w:val="20"/>
          <w:color w:val="auto"/>
        </w:rPr>
      </w:pPr>
      <w:r>
        <w:rPr>
          <w:rFonts w:ascii="Arial" w:cs="Arial" w:eastAsia="Arial" w:hAnsi="Arial"/>
          <w:sz w:val="18"/>
          <w:szCs w:val="18"/>
          <w:color w:val="auto"/>
        </w:rPr>
        <w:t>local economic and competitive conditions;</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fluctuations;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 or Wynn Macau's casino(s).</w:t>
      </w:r>
    </w:p>
    <w:p>
      <w:pPr>
        <w:spacing w:after="0" w:line="225" w:lineRule="exact"/>
        <w:rPr>
          <w:sz w:val="20"/>
          <w:szCs w:val="20"/>
          <w:color w:val="auto"/>
        </w:rPr>
      </w:pPr>
    </w:p>
    <w:p>
      <w:pPr>
        <w:ind w:right="600" w:firstLine="341"/>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on the second mortgage notes pursuant to the indenture, 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credit facilities or the FF&amp;E facility or with respect to our other debt. See "—Risks Associated with the Macau Opportunity."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Terrorism and the uncertainty of war, as well as other factors affecting discretionary consumer spending, may harm our operating results.</w:t>
      </w:r>
    </w:p>
    <w:p>
      <w:pPr>
        <w:spacing w:after="0" w:line="25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credit customers, particularly international customers, factors resulting in a decreased propensity to travel internationally, like the terrorist attacks of September 11, could have a negative impact on our operations.</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97"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Also, the terrorist attacks of September 11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costs may increase and we may not be able to obtain full insurance coverage in the future.</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cost of new insurance policies are higher as a result of general increases in premium levels. The cost of coverage may become so high that we will need to reduce our policy limits or agree to certain exclusions from coverage, and we may not be able to purchase or renew insurance policies on favorable terms or at all. If we are forced to reduce, or prevented from obtaining or renewing, insurance coverage with respect to the occurrence of certain casualties, we could be exposed to heavy losses in the event that any damages result from such an occurrence.</w:t>
      </w:r>
    </w:p>
    <w:p>
      <w:pPr>
        <w:spacing w:after="0" w:line="16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Le Rêve and Wynn Macau's casino(s) will be subject to extensive state and local regulation, and licensing and gaming authorities have significant control over their operations, which could have a negative effect on our business.</w:t>
      </w:r>
    </w:p>
    <w:p>
      <w:pPr>
        <w:spacing w:after="0" w:line="180" w:lineRule="exact"/>
        <w:rPr>
          <w:sz w:val="20"/>
          <w:szCs w:val="20"/>
          <w:color w:val="auto"/>
        </w:rPr>
      </w:pPr>
    </w:p>
    <w:p>
      <w:pPr>
        <w:ind w:right="120" w:firstLine="348"/>
        <w:spacing w:after="0" w:line="323" w:lineRule="auto"/>
        <w:rPr>
          <w:sz w:val="20"/>
          <w:szCs w:val="20"/>
          <w:color w:val="auto"/>
        </w:rPr>
      </w:pPr>
      <w:r>
        <w:rPr>
          <w:rFonts w:ascii="Arial" w:cs="Arial" w:eastAsia="Arial" w:hAnsi="Arial"/>
          <w:sz w:val="15"/>
          <w:szCs w:val="15"/>
          <w:color w:val="auto"/>
        </w:rPr>
        <w:t>The opening and operation of Le Rêve and Wynn Macau's casino(s)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are extensive. Failure to obtain or maintain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necessary approvals could prevent or delay the completion or opening of all or part of the facility or otherwise affect the design and features of Le Rêve or the Macau casino(s).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6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the common stock sold pursuant to this prospectus, to file applications, be investigated and be found suitable to own Wynn Resorts' securities if it has reason to believe that the security ownership would be inconsistent with the declared policies of the State of Nevada.</w:t>
      </w:r>
    </w:p>
    <w:p>
      <w:pPr>
        <w:sectPr>
          <w:pgSz w:w="11900" w:h="16838" w:orient="portrait"/>
          <w:cols w:equalWidth="0" w:num="1">
            <w:col w:w="11420"/>
          </w:cols>
          <w:pgMar w:left="240" w:top="131" w:right="239" w:bottom="0" w:gutter="0" w:footer="0" w:header="0"/>
        </w:sectPr>
      </w:pPr>
    </w:p>
    <w:bookmarkStart w:id="17" w:name="page18"/>
    <w:bookmarkEnd w:id="17"/>
    <w:p>
      <w:pPr>
        <w:spacing w:after="0" w:line="60"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Macau, concessionaires are subject to ongoing suitability requirements in terms of background, business experience, associations and reputation, as are stockholders of 5% or more of the concessionaire's equity securities, officers, directors and key employees. The government of Macau also evaluates concessionaires in terms of financial capability to sustain a gaming business in Macau. Failure to maintain the government's requirements to own or operate a gaming concession could prevent Wynn Macau from opening or continuing to operate casinos in Macau. By the time this offering closes, all current stockholders holding 5% or more of the capital stock of Wynn Macau will have been found suitable or submitted applications for a finding of suitability with the Macau government.</w:t>
      </w:r>
    </w:p>
    <w:p>
      <w:pPr>
        <w:spacing w:after="0" w:line="198"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74"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Wynn Resorts' articles of incorporation will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 See "—Risks Related to the Offering—We may redeem your shares due to regulatory considerations, either as required by gaming authorities or in our discretion.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Nevada Gaming Commission may impose unanticipated requirements regarding the licensing of owners of Wynn Resorts.</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Kazuo Okada is the owner of a controlling interest in Aruze Corp., the parent company of Aruze USA, Inc., referred to as Aruze USA, which, immediately before the closing of this offering, will own approximately 47.4% of Wynn Resorts' common stock. Under Nevada gaming regulations, any beneficial owner of more than 10% of Aruze Corp.'s voting securities must be licensed or found suitable, including Kazuo Okada and his son, Tomohiro Okada. Kazuo Okada is currently licensed by the Nevada Gaming Commission to own the shares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pursuit of this proposed transfer of Universal Distributing was deferred pending resolution of the Japanese tax case.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201"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Aruze Corp. has informed us that there are a number of outstanding issues in the investigation of the proposed transfer of Universal Distributing including issues relating to the transactions involved in the above-described tax proceeding. These issues, if not satisfactorily resolved, could result in the denial of the application. No formal action of any kind has been taken by the Nevada State Gaming Control Board or the Nevada Gaming Commission in connection with these issues. If either of these bodies were to act adversely with respect to the pending proceeding involving Universal Distributing, that decision could adversely affect an application filed by Aruze USA, Aruze Corp., Kazuo Okada or Tomohiro Okada in respect of Wynn Resorts.</w:t>
      </w:r>
    </w:p>
    <w:p>
      <w:pPr>
        <w:spacing w:after="0" w:line="170"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Mr. Wynn, Kazuo Okada, Aruze USA, Aruze Corp. and Wynn Resorts have entered into arrangements which provide that if 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"Certain Relationships and Related Party Transactions—Stockholders Agreement" and "—Buy-Out of Aruze USA Stock."</w:t>
      </w:r>
    </w:p>
    <w:p>
      <w:pPr>
        <w:spacing w:after="0" w:line="172"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As described above, if Wynn Resorts, pursuant to its articles of incorporation, or Mr. Wynn, pursuant to the buy-out agreement described above, purchases the shares of Wynn Resorts' stock held by an unsuitable person or its affiliate, including Aruze USA, Wynn Resorts and/or Mr. Wynn may, in lieu of immediate payment of the purchase price, issue a promissory note. However, if the Nevada Gaming Commission were to find the unsuitable person or its affiliate unsuitable to own the voting securities of Wynn Resorts, it could also determine that the person is unsuitable to hold a promissory note for the purchase of such voting securities by Wynn Resorts or Mr. Wynn, and could determine not to approve the issuance of the promissory note to the unsuitable person or its affiliate. In such event, the Nevada Gaming Commission could order the unsuitable person or its affiliate to dispose of its voting securities within a prescribed period of time that may or may not be a sufficient period of time to dispose of the securities in an orderly manner. Depending upon the period of time for disposition required by the Nevada Gaming Commission, this could have a negative effect on the price of the stock of Wynn Resorts. In the event that the unsuitable person or its affiliate is unable or fails to dispose of its voting securities within the prescribed period of time, or if Wynn Resorts fails to pursue all lawful efforts to require the unsuitable person or its affiliate to relinquish its voting securities, including, if necessary, the immediate purchase of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91"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Our Las Vegas business will rely on high-end, international customers to whom we may extend credit, and we may not be able to collect gaming receivables from our credit players.</w:t>
      </w:r>
    </w:p>
    <w:p>
      <w:pPr>
        <w:sectPr>
          <w:pgSz w:w="11900" w:h="16898" w:orient="portrait"/>
          <w:cols w:equalWidth="0" w:num="1">
            <w:col w:w="11420"/>
          </w:cols>
          <w:pgMar w:left="240" w:top="131" w:right="239" w:bottom="0" w:gutter="0" w:footer="0" w:header="0"/>
        </w:sectPr>
      </w:pPr>
    </w:p>
    <w:bookmarkStart w:id="18" w:name="page19"/>
    <w:bookmarkEnd w:id="18"/>
    <w:p>
      <w:pPr>
        <w:ind w:firstLine="348"/>
        <w:spacing w:after="0" w:line="335" w:lineRule="auto"/>
        <w:rPr>
          <w:sz w:val="20"/>
          <w:szCs w:val="20"/>
          <w:color w:val="auto"/>
        </w:rPr>
      </w:pPr>
      <w:r>
        <w:rPr>
          <w:rFonts w:ascii="Arial" w:cs="Arial" w:eastAsia="Arial" w:hAnsi="Arial"/>
          <w:sz w:val="15"/>
          <w:szCs w:val="15"/>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4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68"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180"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the contamination.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67" w:lineRule="exact"/>
        <w:rPr>
          <w:sz w:val="20"/>
          <w:szCs w:val="20"/>
          <w:color w:val="auto"/>
        </w:rPr>
      </w:pPr>
    </w:p>
    <w:p>
      <w:pPr>
        <w:ind w:right="60" w:firstLine="348"/>
        <w:spacing w:after="0" w:line="310" w:lineRule="auto"/>
        <w:rPr>
          <w:sz w:val="20"/>
          <w:szCs w:val="20"/>
          <w:color w:val="auto"/>
        </w:rPr>
      </w:pPr>
      <w:r>
        <w:rPr>
          <w:rFonts w:ascii="Arial" w:cs="Arial" w:eastAsia="Arial" w:hAnsi="Arial"/>
          <w:sz w:val="15"/>
          <w:szCs w:val="15"/>
          <w:color w:val="auto"/>
        </w:rPr>
        <w:t>We have conducted a Phase I Environmental Assessment. The Phase I report, as updated in August 2002, identified two areas where further sampling is recommended. Based on our prior work at the site and the other information in the Phase I report, we believe that, if any sampling indicates that remediation is required, the remediation will not be material, although we can provide no assurance with respect to the outcome. Otherwise, 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environmental hazards or to mitigate environmental risks.</w:t>
      </w:r>
    </w:p>
    <w:p>
      <w:pPr>
        <w:spacing w:after="0" w:line="162"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Wynn Macau will be subject to environmental laws and regulations in Macau including laws and regulations relating to the prevention and control of noise during construction. Costs expended by Wynn Macau to comply with these Macau environmental laws and regulations, such as to implement control procedures to prevent unlawful noise levels, may have a significantly negative effect on the operating results of Wynn Macau. In addition, if the government of Macau holds Wynn Macau accountable and assesses penalties or imposes restrictions on Wynn Macau for non-compliance with environmental laws or regulations, Wynn Macau's results of operations could be negatively impacted or it could lose flexibility to adapt to changes affecting the operation of its business.</w:t>
      </w:r>
    </w:p>
    <w:p>
      <w:pPr>
        <w:spacing w:after="0" w:line="148"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If we fail to successfully register our Le Rêve service marks with respect to casino or hotel services or if a third party successfully challenges those marks, our business or results of operations could be harmed.</w:t>
      </w:r>
    </w:p>
    <w:p>
      <w:pPr>
        <w:spacing w:after="0" w:line="180" w:lineRule="exact"/>
        <w:rPr>
          <w:sz w:val="20"/>
          <w:szCs w:val="20"/>
          <w:color w:val="auto"/>
        </w:rPr>
      </w:pPr>
    </w:p>
    <w:p>
      <w:pPr>
        <w:jc w:val="both"/>
        <w:ind w:right="40" w:firstLine="348"/>
        <w:spacing w:after="0" w:line="256" w:lineRule="auto"/>
        <w:rPr>
          <w:sz w:val="20"/>
          <w:szCs w:val="20"/>
          <w:color w:val="auto"/>
        </w:rPr>
      </w:pPr>
      <w:r>
        <w:rPr>
          <w:rFonts w:ascii="Arial" w:cs="Arial" w:eastAsia="Arial" w:hAnsi="Arial"/>
          <w:sz w:val="18"/>
          <w:szCs w:val="18"/>
          <w:color w:val="auto"/>
        </w:rPr>
        <w:t>We have applied to register the "LE RÊVE" service mark with the United States Patent and Trademark Office, referred to as the PTO, for casino and hotel services, as well as for other ancillary uses. Our application for the hotel services mark has cleared the PTO examination process, meaning that "LE RÊVE" will be registered for hotel and other related services if no member of the public objects by a published deadline. Our application for the casino services mark remains pending and, we expect it to be published for opposition soon.</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Even if we are able to obtain registration of the "LE RÊVE" mark for the above described applications, such federal registration is not completely dispositive of the right to such trademarks. Third parties with prior rights with respect to marks similar to "LE RÊVE," including to the English translation " THE DREAM," may nonetheless challenge our use of "LE RÊVE" and seek to overcome the presumptions afforded by the registration. They also could attempt to prevent our use of "LE RÊVE" and/or seek monetary damages as a result of our use. Any such failure to register or successful challenge by a third party could have a material impact on our business with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Our subsidiaries will need to recruit a substantial number of new employees before Le Rêve or Wynn Macau's Macau project(s) open and these employees may seek unionization.</w:t>
      </w:r>
    </w:p>
    <w:p>
      <w:pPr>
        <w:sectPr>
          <w:pgSz w:w="11900" w:h="16838" w:orient="portrait"/>
          <w:cols w:equalWidth="0" w:num="1">
            <w:col w:w="11400"/>
          </w:cols>
          <w:pgMar w:left="240" w:top="131" w:right="259" w:bottom="8" w:gutter="0" w:footer="0" w:header="0"/>
        </w:sectPr>
      </w:pPr>
    </w:p>
    <w:bookmarkStart w:id="19" w:name="page20"/>
    <w:bookmarkEnd w:id="19"/>
    <w:p>
      <w:pPr>
        <w:ind w:right="20" w:firstLine="351"/>
        <w:spacing w:after="0" w:line="289" w:lineRule="auto"/>
        <w:rPr>
          <w:sz w:val="20"/>
          <w:szCs w:val="20"/>
          <w:color w:val="auto"/>
        </w:rPr>
      </w:pPr>
      <w:r>
        <w:rPr>
          <w:rFonts w:ascii="Arial" w:cs="Arial" w:eastAsia="Arial" w:hAnsi="Arial"/>
          <w:sz w:val="16"/>
          <w:szCs w:val="16"/>
          <w:color w:val="auto"/>
        </w:rPr>
        <w:t>Our subsidiaries will need to recruit a substantial number of new employees before Le Rêve or Wynn Macau's casino(s) open and the employees in Las Vegas and Macau may seek union representation. We cannot be certain that our subsidiaries will be able to recruit a sufficient number of qualified employees. Currently, Valvino is a party to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In addition, any employees that Wynn Resorts' Macau subsidiaries might employ could also seek to collectively negotiate the terms and conditions of their employment with Wynn Resorts' Macau subsidiaries. Unionization, pressure to unionize or other forms of collective bargaining could increase our subsidiaries'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regulatory control by the Public Utilities Commission of Nevada.</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Desert Inn Improvement Co., a direct subsidiary of Desert Inn Water Company and an indirect subsidiary of Wynn Resorts, provides water service to the existing office building on the site of the former Desert Inn Resort &amp; Casino and the remaining homes around the Desert Inn golf course. As a result, Desert Inn Improvement Co. is a public utility under Nevada law. The public utility status of Desert Inn Improvement Co. imposes regulatory restrictions on us. For example, if we decide to make changes to our ownership structure, such as in a merger or acquisition transaction or a significant stock issuance, or a sale of Aruze USA's shares of Wynn Resorts' common stock in the event that Aruze USA is found to be unsuitable to own such stock, we will likely be required to obtain the prior approval of the Public Utilities Commission of Nevada. Each of such actions requires the approval of the Public Utilities Commission of Nevada. We cannot assure you that such approval will be obtained. Further, with respect to any other transactions which we may enter into in the future, we cannot assure you that these regulatory requirements will not delay or prevent us from entering into transactions or operating our business in a manner that might be beneficial to our stockholders.</w:t>
      </w:r>
    </w:p>
    <w:p>
      <w:pPr>
        <w:spacing w:after="0" w:line="16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explore opportunities to develop additional gaming or related businesses that could have an adverse impact on our business if unsuccessful.</w:t>
      </w:r>
    </w:p>
    <w:p>
      <w:pPr>
        <w:spacing w:after="0" w:line="254" w:lineRule="exact"/>
        <w:rPr>
          <w:sz w:val="20"/>
          <w:szCs w:val="20"/>
          <w:color w:val="auto"/>
        </w:rPr>
      </w:pPr>
    </w:p>
    <w:p>
      <w:pPr>
        <w:ind w:right="280" w:firstLine="348"/>
        <w:spacing w:after="0" w:line="314" w:lineRule="auto"/>
        <w:rPr>
          <w:sz w:val="20"/>
          <w:szCs w:val="20"/>
          <w:color w:val="auto"/>
        </w:rPr>
      </w:pPr>
      <w:r>
        <w:rPr>
          <w:rFonts w:ascii="Arial" w:cs="Arial" w:eastAsia="Arial" w:hAnsi="Arial"/>
          <w:sz w:val="15"/>
          <w:szCs w:val="15"/>
          <w:color w:val="auto"/>
        </w:rPr>
        <w:t>We continue to explore opportunities to develop additional gaming or related businesses in Las Vegas or other markets, whether through acquisition, investment or development. Any acquisition, investment or development would have the potential to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the lenders under the credit facilities and the holders of the second mortgage notes. Acquisitions also may present other risks, such as exposing our company to potential unknown liabilities associated with acquired businesses. Any acquisition or development may not be successful in achieving our desired strategic objectives, which would also cause our business to suffer.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general economic conditions may adversely affect our results of operations.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Associated with the Macau Opportunity</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currency used in the concession agreement is the Macau pataca. The Macau pataca, which is not a freely convertible currency, is linked to the Hong Kong dollar, which itself is linked to the U.S. dollar. We have converted all pataca references into U.S. dollars using an exchange rate of approximately eight patacas to one U.S. dollar, the exchange rate as of August 11, 2002. While the rate of exchange may fluctuate over the term of the concession agreement, the rate of exchange between the U.S. dollar and the Hong Kong dollar and, in turn, the Macau pataca, has remained relatively stable over the past several years. Wynn Resorts' indirect economic ownership interest in Wynn Macau is expected to be approximately 82.5% prior to any financing for the Macau opportunity.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may not be able to develop the Macau opportunity.</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Wynn Macau has entered into a concession agreement with the Macau government that obligates it to construct and operate at least one casino resort in Macau. According to the concession agreement, Wynn Macau must invest no less than a total of 4 billion patacas (currently approximately $500 million) on one or more casino projects by June 26, 2009, and to commence operations of its first permanent casino resort no later than December 2006. If Wynn Macau does not invest 4 billion patacas by June 26, 2009, it is obligated to invest the remaining amount on projects related to its gaming operations in Macau that the Macau</w:t>
      </w:r>
    </w:p>
    <w:p>
      <w:pPr>
        <w:sectPr>
          <w:pgSz w:w="11900" w:h="16838" w:orient="portrait"/>
          <w:cols w:equalWidth="0" w:num="1">
            <w:col w:w="11420"/>
          </w:cols>
          <w:pgMar w:left="240" w:top="131" w:right="239" w:bottom="0" w:gutter="0" w:footer="0" w:header="0"/>
        </w:sectPr>
      </w:pPr>
    </w:p>
    <w:bookmarkStart w:id="20" w:name="page21"/>
    <w:bookmarkEnd w:id="20"/>
    <w:p>
      <w:pPr>
        <w:ind w:right="260"/>
        <w:spacing w:after="0" w:line="268" w:lineRule="auto"/>
        <w:rPr>
          <w:sz w:val="20"/>
          <w:szCs w:val="20"/>
          <w:color w:val="auto"/>
        </w:rPr>
      </w:pPr>
      <w:r>
        <w:rPr>
          <w:rFonts w:ascii="Arial" w:cs="Arial" w:eastAsia="Arial" w:hAnsi="Arial"/>
          <w:sz w:val="18"/>
          <w:szCs w:val="18"/>
          <w:color w:val="auto"/>
        </w:rPr>
        <w:t>government approves, or on projects of public interest designated by the Macau government. Before Wynn Macau can construct and operate these casino(s), it must, among other things:</w:t>
      </w:r>
    </w:p>
    <w:p>
      <w:pPr>
        <w:spacing w:after="0" w:line="199" w:lineRule="exact"/>
        <w:rPr>
          <w:sz w:val="20"/>
          <w:szCs w:val="20"/>
          <w:color w:val="auto"/>
        </w:rPr>
      </w:pPr>
    </w:p>
    <w:p>
      <w:pPr>
        <w:ind w:left="1080" w:right="1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 the rights to use suitable parcels of land on satisfactory terms and in acceptable locations in Macau on which to build casino(s), although Wynn Macau has an agreement in principle relating to the location of its first proposed casino;</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 a sufficient number of qualified management, key personnel and employees to operate the casino(s);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 the necessary debt or equity financing to fund the development, design and construction of any casino or casinos in Macau.</w:t>
      </w:r>
    </w:p>
    <w:p>
      <w:pPr>
        <w:spacing w:after="0" w:line="24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cannot assure you that Wynn Macau or Wynn Resorts' other Macau-related subsidiaries would be able to accomplish any of the above and, if they fail to do so, Wynn Macau may not be able to develop the Macau opportunity.</w:t>
      </w:r>
    </w:p>
    <w:p>
      <w:pPr>
        <w:spacing w:after="0" w:line="18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it will be subject to considerable risks, including risks related to Macau's untested regulatory framework.</w:t>
      </w:r>
    </w:p>
    <w:p>
      <w:pPr>
        <w:spacing w:after="0" w:line="180"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i w:val="1"/>
          <w:iCs w:val="1"/>
          <w:color w:val="auto"/>
        </w:rPr>
        <w:t xml:space="preserve">Untested Foreign Regulatory Framework. </w:t>
      </w:r>
      <w:r>
        <w:rPr>
          <w:rFonts w:ascii="Arial" w:cs="Arial" w:eastAsia="Arial" w:hAnsi="Arial"/>
          <w:sz w:val="16"/>
          <w:szCs w:val="16"/>
          <w:color w:val="auto"/>
        </w:rPr>
        <w:t>If Wynn Macau opens one or more casinos in Macau, its operations will be subject to unique risks,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risks related to Macau's untested regulatory framework. In light of the untested regulatory framework, Wynn Macau may need to develop operating procedures which are different from those used in domestic casinos. Failure to adapt to the regulatory and gaming environment in Macau could result in the revocation of Wynn Macau's concession or otherwise negatively affect its operations there. Moreover, Wynn Resorts would be subject to the risk that Macau's gaming regulatory framework will not develop in a way that would permit Wynn Resorts, as the parent entity of a United States gaming operator, to have its affiliates conduct operations in Macau in a manner consistent with the way in which Wynn Resorts intends, or the Nevada gaming authorities require Wynn Resorts, to conduct its operations in the United States.</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Political and Economic Conditions. </w:t>
      </w:r>
      <w:r>
        <w:rPr>
          <w:rFonts w:ascii="Arial" w:cs="Arial" w:eastAsia="Arial" w:hAnsi="Arial"/>
          <w:sz w:val="18"/>
          <w:szCs w:val="18"/>
          <w:color w:val="auto"/>
        </w:rPr>
        <w:t>The success of Wynn Macau's operations in Macau would also depend on political and economic conditions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1999, after 450 years of Portuguese control, Portugal returned Macau to Chinese administration.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People's Republic of China re-established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any gaming business Wynn Macau would conduct in Macau.</w:t>
      </w:r>
    </w:p>
    <w:p>
      <w:pPr>
        <w:spacing w:after="0" w:line="194"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If Wynn Macau constructs and operates one or more casinos in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183"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taking of Wynn Macau's property without payment of fair compensation;</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impositions of restrictions on foreign partnerships and alliances, foreign ownership and/or possible discrimination against foreign-owned business;</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implement effective controls against infiltration by persons associated with, and effective methods to protect Wynn Resorts' Macau subsidiaries from unknowingly doing business with, reputed criminal organizations;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w:t>
      </w:r>
    </w:p>
    <w:p>
      <w:pPr>
        <w:spacing w:after="0" w:line="26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competitive disadvantage due to the ownership of substantially all of the water ferry services and the helicopter shuttle service that link Macau and Hong Kong and Kowloon, as well as the ferry terminal in Hong Kong, by Stanley Ho, who controls Sociedade de Jogos de Macau, the existing casino concession holder and operator in Macau and one of Wynn Macau's competitors;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obtaining relief, through legislative actions, from the complementary income tax and the withholding tax on dividends imposed in Macau;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Wynn Macau may not proceed with the construction of casino(s) in Macau if, in the judgment of its management, such conditions and risks cannot be adequately resolved, or if these conditions and risks would adversely affect Wynn Resorts' ability to conduct gaming and hotel operations outside Macau, including at Le Rêve. However, the concession agreement does not contain provisions permitting Wynn Macau to terminate the concession agreement unilaterally, or permitting Wynn Macau to cease the development of casino(s) in Macau, for any of the reasons described above. The obligations under the Macau concession agreement are those of Wynn Resorts' indirect subsidiary, Wynn Macau. Accordingly, unless a court rules that Wynn Resorts and the intermediate Macau-related entities are not entitled to limited liability protection with respect to Wynn Macau's obligations under the concession agreement, or unless Wynn Resorts guarantees the performance of Wynn Macau's obligations thereunder, Wynn Resorts' exposure to the government of Macau would be no more than Wynn Macau's assets.</w:t>
      </w:r>
    </w:p>
    <w:p>
      <w:pPr>
        <w:sectPr>
          <w:pgSz w:w="11900" w:h="16838" w:orient="portrait"/>
          <w:cols w:equalWidth="0" w:num="1">
            <w:col w:w="11400"/>
          </w:cols>
          <w:pgMar w:left="240" w:top="131" w:right="259" w:bottom="22"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22" w:gutter="0" w:footer="0" w:header="0"/>
          <w:type w:val="continuous"/>
        </w:sectPr>
      </w:pPr>
    </w:p>
    <w:bookmarkStart w:id="21" w:name="page22"/>
    <w:bookmarkEnd w:id="21"/>
    <w:p>
      <w:pPr>
        <w:spacing w:after="0" w:line="33"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Any potential investment in Macau could be jeopardized by future developments, and we cannot assure you that activities Wynn Macau may plan in Macau will be permitted or feasible.</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Collection of Gaming Receivables. </w:t>
      </w:r>
      <w:r>
        <w:rPr>
          <w:rFonts w:ascii="Arial" w:cs="Arial" w:eastAsia="Arial" w:hAnsi="Arial"/>
          <w:sz w:val="16"/>
          <w:szCs w:val="16"/>
          <w:color w:val="auto"/>
        </w:rPr>
        <w:t>Currently, Macau law does not permit casinos to extend credit or to enforce gaming debts. However, if the law in</w:t>
      </w:r>
      <w:r>
        <w:rPr>
          <w:rFonts w:ascii="Arial" w:cs="Arial" w:eastAsia="Arial" w:hAnsi="Arial"/>
          <w:sz w:val="16"/>
          <w:szCs w:val="16"/>
          <w:i w:val="1"/>
          <w:iCs w:val="1"/>
          <w:color w:val="auto"/>
        </w:rPr>
        <w:t xml:space="preserve"> </w:t>
      </w:r>
      <w:r>
        <w:rPr>
          <w:rFonts w:ascii="Arial" w:cs="Arial" w:eastAsia="Arial" w:hAnsi="Arial"/>
          <w:sz w:val="16"/>
          <w:szCs w:val="16"/>
          <w:color w:val="auto"/>
        </w:rPr>
        <w:t>Macau is changed to permit casino operators to extend credit to gaming customers, Wynn Macau may not be able to collect all of its gaming receivables from its credit players. Furthermore, we expect that if Wynn Macau obtains the right to extend credit to its gaming customers, it will be able to enforce these obligations only in a limited number of jurisdictions, including Macau. To the extent that gaming customers of Wynn Macau are expected to be visitors from other countries, Wynn Macau may not have access to a forum in which it will be able to collect all of its gaming receivables and because, among other reasons, courts of many countries do not enforce gaming debts, Wynn Macau may encounter forums that will refuse to enforce such debts. Wynn Macau's inability to collect gaming debts could have a significant negative impact on its operating results.</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Necessity of Expanding Transportation. </w:t>
      </w:r>
      <w:r>
        <w:rPr>
          <w:rFonts w:ascii="Arial" w:cs="Arial" w:eastAsia="Arial" w:hAnsi="Arial"/>
          <w:sz w:val="16"/>
          <w:szCs w:val="16"/>
          <w:color w:val="auto"/>
        </w:rPr>
        <w:t>Because of additional casino projects which may be developed in the future, the hydrofoil ferry and helicopter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which provide transportation to and from Hong Kong may need to be expanded to service the increased visitation of Macau. If transportation facilities to and from Macau are inadequate to meet the demands of increased volumes of gaming customers visiting Macau, the desirability of Macau as a gaming destination, as well as the results of operations of Wynn Macau's casino resort(s) in Macau, could be negatively impacted.</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Extreme Weather Conditions. </w:t>
      </w:r>
      <w:r>
        <w:rPr>
          <w:rFonts w:ascii="Arial" w:cs="Arial" w:eastAsia="Arial" w:hAnsi="Arial"/>
          <w:sz w:val="18"/>
          <w:szCs w:val="18"/>
          <w:color w:val="auto"/>
        </w:rPr>
        <w:t>Macau's subtropical climate and location on the South China Sea are subject to extreme weather conditions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typhoons and heavy rainstorms. Unfavorable weather conditions could negatively affect the profitability of Wynn Macau's casino resort(s) by disrupting its ability to timely construct its casino project(s) and by preventing guests from traveling to Macau.</w:t>
      </w:r>
    </w:p>
    <w:p>
      <w:pPr>
        <w:spacing w:after="0" w:line="19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i w:val="1"/>
          <w:iCs w:val="1"/>
          <w:color w:val="auto"/>
        </w:rPr>
        <w:t xml:space="preserve">Potential Taxation of Investment in Macau. </w:t>
      </w:r>
      <w:r>
        <w:rPr>
          <w:rFonts w:ascii="Arial" w:cs="Arial" w:eastAsia="Arial" w:hAnsi="Arial"/>
          <w:sz w:val="16"/>
          <w:szCs w:val="16"/>
          <w:color w:val="auto"/>
        </w:rPr>
        <w:t>Wynn Resorts' potential investment in Macau would be made through a number of wholly owned and partially</w:t>
      </w:r>
      <w:r>
        <w:rPr>
          <w:rFonts w:ascii="Arial" w:cs="Arial" w:eastAsia="Arial" w:hAnsi="Arial"/>
          <w:sz w:val="16"/>
          <w:szCs w:val="16"/>
          <w:i w:val="1"/>
          <w:iCs w:val="1"/>
          <w:color w:val="auto"/>
        </w:rPr>
        <w:t xml:space="preserve"> </w:t>
      </w:r>
      <w:r>
        <w:rPr>
          <w:rFonts w:ascii="Arial" w:cs="Arial" w:eastAsia="Arial" w:hAnsi="Arial"/>
          <w:sz w:val="16"/>
          <w:szCs w:val="16"/>
          <w:color w:val="auto"/>
        </w:rPr>
        <w:t>owned domestic and foreign entities. Although we believe that transfers to these entities of the assets and stock of Wynn Macau can be accomplished on a tax-free basis, there is a risk that the Internal Revenue Service could assert that any appreciation in the transferred assets or its stock is currently taxable.</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Currency Exchange Controls and Currency Export Restrictions. </w:t>
      </w:r>
      <w:r>
        <w:rPr>
          <w:rFonts w:ascii="Arial" w:cs="Arial" w:eastAsia="Arial" w:hAnsi="Arial"/>
          <w:sz w:val="18"/>
          <w:szCs w:val="18"/>
          <w:color w:val="auto"/>
        </w:rPr>
        <w:t>Currency exchange controls and restrictions on the export of currency by certain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may negatively impact the success of Wynn Macau. For example, there are currently existing currency exchange controls and restrictions on the export of the renminbi, the currency of China. Restrictions on the exportation of the renminbi may impede the flow of gaming customers from China to Macau, inhibit the growth of gaming in Macau and negatively impact Wynn Macau's gaming operations.</w:t>
      </w:r>
    </w:p>
    <w:p>
      <w:pPr>
        <w:spacing w:after="0" w:line="19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Wynn Resorts is subject to regulations imposed by the Foreign Corrupt Practices Act, or the FCPA, which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U.S. companies and their intermediaries from making improper payments to foreign officials for the purpose of obtaining or retaining business. Any determination that Wynn Resorts has violated the FCPA could have a material adverse effect on 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certain Nevada gaming laws would apply to its planned gaming activities and associations in Macau.</w:t>
      </w:r>
    </w:p>
    <w:p>
      <w:pPr>
        <w:spacing w:after="0" w:line="180"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will be required to comply with certain reporting requirements concerning gaming activities and associations in Macau proposed to be conducted by Wynn Resorts' Macau-related subsidiaries. Wynn Resorts and its licensed Nevada subsidiaries also will be subject to disciplinary action by the Nevada Gaming Commission if Wynn Resorts' Macau-related subsidiaries:</w:t>
      </w:r>
    </w:p>
    <w:p>
      <w:pPr>
        <w:spacing w:after="0" w:line="210"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right="60" w:hanging="532"/>
        <w:spacing w:after="0" w:line="370" w:lineRule="auto"/>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275"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Wynn Resorts' Macau-related subsidiaries may be prohibited pursuant to one or more of the standards described above, the Nevada State Gaming Control Board can require Wynn Resorts and its licensed Nevada subsidiaries to file an application with the Nevada Gaming Commission for a finding of suitability of the activity or association. If the Nevada Gaming Commission finds that the activity or association in Macau is unsuitable or prohibited, Wynn Resorts' Macau-related subsidiaries will either be required to terminate the activity or association, or will be prohibited from undertaking the activity or association. Consequently, should the Nevada Gaming Commission find that Wynn Resorts' 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7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concession agreement into which Wynn Macau has entered with the government of Macau requires Wynn Macau to inform the government in the event that a stockholder owning 5% or more of the stock of Wynn Macau is subject to an investigation by a gaming authority outside of Macau that could lead to the suspension or revocation of any gaming license. The concession agreement also requires Wynn Macau to inform the government of Macau in the event that a stockholder owning 5% or more of the stock of Wynn Macau loses a gaming license.</w:t>
      </w:r>
    </w:p>
    <w:p>
      <w:pPr>
        <w:sectPr>
          <w:pgSz w:w="11900" w:h="16871" w:orient="portrait"/>
          <w:cols w:equalWidth="0" w:num="1">
            <w:col w:w="11420"/>
          </w:cols>
          <w:pgMar w:left="240" w:top="590" w:right="239" w:bottom="0" w:gutter="0" w:footer="0" w:header="0"/>
        </w:sectPr>
      </w:pPr>
    </w:p>
    <w:bookmarkStart w:id="22" w:name="page23"/>
    <w:bookmarkEnd w:id="22"/>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casinos would face intense competition.</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Macau government has granted concessions to operate casinos to three companies. Sociedade de Jogos de Macau, referred to as SJM, has been granted one of the concessions. SJM is controlled by Stanley Ho, who through another entity had controlled the monopoly concession to conduct the only gaming operations in Macau for approximately 40 years. SJM has the benefit of being the established gaming enterprise already in existence at eleven locations in Macau. SJM's casinos at the Hotel Lisboa and at the converted Jai Alai fronton are the largest casino facilities in Macau. Galaxy Casino Company Limited, referred to as Galaxy, also has been awarded a concession to operate casinos in Macau. Galaxy is a joint venture between an affiliate of the operators of The Venetian in Las Vegas and a group of Hong Kong investors, which, according to news reports, has plans to build a major casino on Taipa, the island where Macau's international airport is located, and possibly other casinos. Wynn Macau was awarded the third concession. Although Wynn Macau's gaming business initially would compete with businesses to be operated by the two other casino concessionaires in Macau,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7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New or renovated casinos in Macau operated by the other concessionaires would present increased competition and could negatively impact Wynn Macau's gaming business. SJM's concession permits it to renovate its existing casinos, as well as to develop new casinos. Currently, SJM is reported to be planning a major remodeling of the Hotel Lisboa and, through a related entity, a new Fisherman's Wharf development, which will include a casino, in the area of the Macau ferry terminal.</w:t>
      </w:r>
    </w:p>
    <w:p>
      <w:pPr>
        <w:spacing w:after="0" w:line="197"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Stanley Ho, who controls SJM, also controls, through affiliates, substantially all of the water ferry and the helicopter shuttle services that link Macau and Hong Kong, as well as the Macau ferry terminal in Hong Kong. In addition, affiliates of Stanley Ho control certain real estate and other assets, such as the Mandarin Oriental Hotel in Macau. Such businesses and assets could provide a competitive advantage for SJM.</w:t>
      </w:r>
    </w:p>
    <w:p>
      <w:pPr>
        <w:spacing w:after="0" w:line="161" w:lineRule="exact"/>
        <w:rPr>
          <w:sz w:val="20"/>
          <w:szCs w:val="20"/>
          <w:color w:val="auto"/>
        </w:rPr>
      </w:pPr>
    </w:p>
    <w:p>
      <w:pPr>
        <w:jc w:val="both"/>
        <w:ind w:right="40" w:firstLine="348"/>
        <w:spacing w:after="0" w:line="294" w:lineRule="auto"/>
        <w:rPr>
          <w:sz w:val="20"/>
          <w:szCs w:val="20"/>
          <w:color w:val="auto"/>
        </w:rPr>
      </w:pPr>
      <w:r>
        <w:rPr>
          <w:rFonts w:ascii="Arial" w:cs="Arial" w:eastAsia="Arial" w:hAnsi="Arial"/>
          <w:sz w:val="16"/>
          <w:szCs w:val="16"/>
          <w:color w:val="auto"/>
        </w:rPr>
        <w:t>Wynn Macau's gaming business would face significant regional competition from casinos located in Asia, as well as other major casino destinations around the world. For example, Genting Highlands Resort, an entertainment complex just outside of Kuala Lumpur, Malaysia, which currently has five hotels, a casino, theme park, golf and country club and other amenities, would compete with Wynn Resorts' casinos in Macau for travelers deciding among gaming destinations in Asia. In the event that new casino projects in Asia are completed, such as the proposed large-scale casino and entertainment complex to be built in Manila, fewer gaming customers might visit Macau and the results of operations of Wynn Macau's casinos could be negatively affected.</w:t>
      </w:r>
    </w:p>
    <w:p>
      <w:pPr>
        <w:spacing w:after="0" w:line="17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For additional information about the competition that Wynn Macau's casino(s) will face, see "Business—The Macau Opportunity—Competition within Macau and from Regional Markets."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construction projects that may prevent completion of Wynn Macau's casino(s) on budget and on schedule.</w:t>
      </w:r>
    </w:p>
    <w:p>
      <w:pPr>
        <w:spacing w:after="0" w:line="254"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construction of one or more casinos in Macau by Wynn Macau would entail significant risks associated with construction projects. These risks are similar to the risks we face in constructing Le Rêve. For examples of the construction risks that may apply to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Macau opportunity, see "—Risks Associated with Our Construction of Le Rêve—There are significant risks associated with major construction projects that may prevent completion of Le Rêve on budget and on schedule." We cannot assure you that Wynn Macau's casino(s) will commence operations on schedule or that construction costs for the Macau casino(s) will not exceed budgeted amounts. Failure to complete Wynn Macau's casino(s) on budget or on schedule could have a significant negative effect on us.</w:t>
      </w:r>
    </w:p>
    <w:p>
      <w:pPr>
        <w:spacing w:after="0" w:line="191"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b w:val="1"/>
          <w:bCs w:val="1"/>
          <w:color w:val="auto"/>
        </w:rPr>
        <w:t>The summary of the concession agreement between Wynn Macau and the Macau government set forth in this prospectus is based on English translations of Chinese and Portuguese versions of the concession agreement.</w:t>
      </w:r>
    </w:p>
    <w:p>
      <w:pPr>
        <w:spacing w:after="0" w:line="180"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concession agreement between Wynn Macau and the government of Macau was prepared in Chinese and Portuguese, and each of these versions of the concession agreement is an official document of equal authority. The summary of the concession agreement set forth in the section of this prospectus entitled "Concession Agreement with the Government of Macau" is based on unofficial English translations of both of the official Chinese and Portuguese versions of the agreement. We believe that the summary of the concession agreement set forth in this prospectus accurately reflects the key terms of the concession agreement in all material regards. However, because of the difficulties inherent in translation due to context, word order and the multiple meanings of words, English may not precisely convey the nuances of the concession agreement, and the English translations of the concession agreement may imply meanings different from those embodied by the official documents. Moreover, the concession agreement provides that all issues of interpretation will be subject to the exclusive jurisdiction of the Macau courts, and summarization of the key terms of the concession agreement is complicated by the difficulties in ascertaining how a Macau court will interpret the concession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Wynn Macau fails to abide by the terms of the concession agreement, it will face substantial penalties.</w:t>
      </w:r>
    </w:p>
    <w:p>
      <w:pPr>
        <w:spacing w:after="0" w:line="23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concession agreement provides for the imposition of substantial penalties if Wynn Macau violates certain terms of the concession agreement. The concession agreement prohibits Wynn Macau from ceding, transferring, alienating or in any way burdening its concession to conduct a gaming business in whole or in part without the approval of the government of Macau. The concession agreement provides that Wynn Macau will be liable to the government of Macau for 1 billion patacas (approximately US $125 million based on the August 11, 2002 exchange rate) if it assigns the whole concession without government approval, and 500 million patacas (approximately US $62.5 million based on the August 11, 2002 exchange rate) if it assigns part of the concession without government approval. If Wynn Macau encumbers the concession, in whole or in part, to conduct gaming activities in violation of the agreement, the concession agreement provides that it will be liable to the government of Macau for 300 million patacas (currently approximately US $37.5 million). Wynn Macau does not intend to assign or encumber all or part of the concession without government approval.</w:t>
      </w:r>
    </w:p>
    <w:p>
      <w:pPr>
        <w:spacing w:after="0" w:line="172"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addition, the concession agreement prohibits Wynn Macau from granting without government approval a sub-concession to conduct gaming in Macau. If Wynn Macau violates this provision by granting a sub-concession of the whole agreement without governmental approval, the concession agreement provides</w:t>
      </w:r>
    </w:p>
    <w:p>
      <w:pPr>
        <w:sectPr>
          <w:pgSz w:w="11900" w:h="16939" w:orient="portrait"/>
          <w:cols w:equalWidth="0" w:num="1">
            <w:col w:w="11400"/>
          </w:cols>
          <w:pgMar w:left="240" w:top="131" w:right="259" w:bottom="0" w:gutter="0" w:footer="0" w:header="0"/>
        </w:sectPr>
      </w:pPr>
    </w:p>
    <w:bookmarkStart w:id="23" w:name="page24"/>
    <w:bookmarkEnd w:id="23"/>
    <w:p>
      <w:pPr>
        <w:ind w:right="260"/>
        <w:spacing w:after="0" w:line="259" w:lineRule="auto"/>
        <w:rPr>
          <w:sz w:val="20"/>
          <w:szCs w:val="20"/>
          <w:color w:val="auto"/>
        </w:rPr>
      </w:pPr>
      <w:r>
        <w:rPr>
          <w:rFonts w:ascii="Arial" w:cs="Arial" w:eastAsia="Arial" w:hAnsi="Arial"/>
          <w:sz w:val="18"/>
          <w:szCs w:val="18"/>
          <w:color w:val="auto"/>
        </w:rPr>
        <w:t>that it will be liable to the government of Macau for 500 million patacas (approximately US $62.5 million based on the August 11, 2002 exchange rate), and if Wynn Macau grants a sub-concession of part of the agreement without governmental approval, the concession agreement provides that it will be liable to the government of Macau for 300 million patacas (approximately US $37.5 million based on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August 11, 2002 exchange rate). Wynn Macau does not intend to grant any sub-concession without government approval.</w:t>
      </w:r>
    </w:p>
    <w:p>
      <w:pPr>
        <w:spacing w:after="0" w:line="219"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If Wynn Macau builds one or more casinos in Macau, the value of Wynn Resorts' investment will vary depending on fluctuations, if any, in the currency exchange rate between the U.S. dollar and foreign currencies, including the Hong Kong dollar and the Macau pataca.</w:t>
      </w:r>
    </w:p>
    <w:p>
      <w:pPr>
        <w:spacing w:after="0" w:line="134"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Although the Macau pataca is not a freely convertible currency, the Macau pataca and the Hong Kong dollar are linked to each other, and in many cases are used interchangeably in Macau. If Wynn Macau builds and/or operates one or more casinos in Macau, Wynn Resorts will be subject to foreign exchange risk with respect to the foreign currency exchange rates between the Hong Kong dollar and the U.S. dollar. We expect that most of the revenue for any casino that Wynn Macau operates in Macau will be in Hong Kong dollars. We expect that some of the revenue will be in Macau patacas, and we intend that substantially all expenses for such casino operations will be paid in Macau patacas first, and then in Hong Kong dollars. The exchange rate between the U.S. dollar and the Hong Kong dollar is linked and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and economic and political developments. Also, if Wynn Resorts' Macau-related entities incur debt denominated in U.S. dollars, fluctuations in the exchange rates of the Macau pataca or the Hong Kong dollar, in relation to the U.S. dollar, could have an adverse effect on Wynn Macau's ability to service its debt and its results of operations and financial condition. In addition, Wynn Macau's payment and expenditure obligations under the concession agreement would increase in the case of unfavorable currency rate changes. Wynn Resorts has not yet determined whether it will engage in hedging activities to protect against foreign currency risk.</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after this offering may be lower than the offering price you pay and may be volatile.</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this offering, our common stock has not been sold in a public market. After this offering, an active trading market in our common stock might not develop. If an active trading market develops, it may not continue. Moreover, if an active market develops, the trading price of our common stock may fluctuate widely as a result of a number of factors, many of which are outside of our control. Moreover, as construction of Le Rêve progresses, developments in construction may cause fluctuation in the price of our common stock. In addition, the stock market has experienced extreme price and volume fluctuations that have affected the market prices of many companies. These broad market fluctuations could negatively affect the market price of our common stock. A significant decline in our stock price could result in substantial losses for individual stockholders and could lead to costly and disruptive securities litigation. If you purchase shares of our common stock in this offering, you will pay a price that was not established in a competitive market. Rather, you will pay a price that was negotiated with the representatives of the underwriters based upon a number of factors. The price of our common stock that will prevail in the market after this offering may be higher or lower than the offering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amounts of our common stock could be sold in the near future, which could depress our stock price.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Before this offering, there has been no public market for our common stock. We cannot predict the effect, if any, that market sales of shares of common stock or the availability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shares of common stock for sale will have on the market price of our common stock prevailing from time to time. In addition, if Wynn Resorts is required by the Nevada gaming regulators to purchase securities owned or controlled by an unsuitable person or its affiliate, including Aruze USA, we may fund this purchase by the resale of all or some of these securities in a secondary offering. Immediately following the completion of this offering, Aruze USA will hold % of our issued and outstanding common stock. A sale of all or some of Aruze USA's shares in a secondary offering could significantly reduce the market price of the common stock.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the outstanding shares of common stock belonging to officers, directors and other stockholders are currently "restricted securities" under the Securities</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Act. We expect that up to shares of these restricted securities will be eligible for sale in the public market pursuant to Rule 144 under the Securities Act, or otherwise, beginning in August 2003. Sales of a significant number of these shares of common stock in the public market could reduce the market price of our common stock.</w:t>
      </w:r>
    </w:p>
    <w:p>
      <w:pPr>
        <w:spacing w:after="0" w:line="19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Wynn Resorts has never paid dividends, does not intend to pay dividends in the foreseeable future and may not pay dividends to any unsuitable person or its affiliates.</w:t>
      </w:r>
    </w:p>
    <w:p>
      <w:pPr>
        <w:spacing w:after="0" w:line="180"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Wynn Resorts has never paid dividends and does not anticipate paying any cash dividends on our common stock in the foreseeable future. We intend to retain our earnings, if any, to use in our growth and ongoing operations. In addition, Wynn Resorts is a holding company and, as a result, its ability to pay dividends is dependent on its subsidiaries' ability to provide funds to it. However, the terms of the credit facilities, the FF&amp;E facility and the indenture governing the second mortgage notes will restrict Wynn Resorts' subsidiaries' ability to provide funds to it for the payment of dividends. See "Description of Certain Indebtedness." Our board of directors has the authority to issue one or more series of preferred stock without action of the stockholders. The issuance of preferred stock could have the effect of limiting dividends on the common stock. Wynn Resorts' articles of incorporation also will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officers, directors and substantial stockholders of Wynn Resorts may be able to exert significant control over its future direction.</w:t>
      </w:r>
    </w:p>
    <w:p>
      <w:pPr>
        <w:sectPr>
          <w:pgSz w:w="11900" w:h="16838" w:orient="portrait"/>
          <w:cols w:equalWidth="0" w:num="1">
            <w:col w:w="11400"/>
          </w:cols>
          <w:pgMar w:left="240" w:top="131" w:right="259" w:bottom="0" w:gutter="0" w:footer="0" w:header="0"/>
        </w:sectPr>
      </w:pPr>
    </w:p>
    <w:bookmarkStart w:id="24" w:name="page25"/>
    <w:bookmarkEnd w:id="24"/>
    <w:p>
      <w:pPr>
        <w:ind w:right="100" w:firstLine="341"/>
        <w:spacing w:after="0" w:line="259" w:lineRule="auto"/>
        <w:rPr>
          <w:sz w:val="20"/>
          <w:szCs w:val="20"/>
          <w:color w:val="auto"/>
        </w:rPr>
      </w:pPr>
      <w:r>
        <w:rPr>
          <w:rFonts w:ascii="Arial" w:cs="Arial" w:eastAsia="Arial" w:hAnsi="Arial"/>
          <w:sz w:val="18"/>
          <w:szCs w:val="18"/>
          <w:color w:val="auto"/>
        </w:rPr>
        <w:t>After this offering, Mr. Wynn and Aruze USA will own approximately % and %, respectively,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94"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w:t>
      </w:r>
    </w:p>
    <w:p>
      <w:pPr>
        <w:spacing w:after="0" w:line="161"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As a result of this voting arrangement, Mr. Wynn may, as a practical matter, control Wynn Resorts' board of directors. The stockholders agreement will continue to be in effect after the completion of this offering. The concentration of ownership and representation on Wynn Resorts' board of directors may delay, prevent or deter a change in control, could deprive Wynn Resorts' stockholders of an opportunity to receive a premium for their common stock</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as part of a sale of Wynn Resorts or its assets and might reduce the market price of Wynn Resorts' common stock. For more information about the stockholders agreement between Mr. Wynn, Aruze USA and Baron Asset Fund, see "Certain Relationships and Related Party Transactions—Stockholders Agreement" and "Ownership of Capital Stock."</w:t>
      </w:r>
    </w:p>
    <w:p>
      <w:pPr>
        <w:spacing w:after="0" w:line="188"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Investors will incur immediate and substantial dilution in the book value of their investment, and may incur further dilution depending on how we decide to finance Wynn Macau's opportunity in Macau.</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the initial public offering price to be substantially higher than the net tangible book value per share of the outstanding common stock. If you</w:t>
      </w:r>
    </w:p>
    <w:p>
      <w:pPr>
        <w:spacing w:after="0" w:line="38"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purchase shares of our common stock, you will incur immediate and substantial dilution in the amount of $</w:t>
      </w:r>
      <w:r>
        <w:rPr>
          <w:sz w:val="20"/>
          <w:szCs w:val="20"/>
          <w:color w:val="auto"/>
        </w:rPr>
        <w:tab/>
      </w:r>
      <w:r>
        <w:rPr>
          <w:rFonts w:ascii="Arial" w:cs="Arial" w:eastAsia="Arial" w:hAnsi="Arial"/>
          <w:sz w:val="15"/>
          <w:szCs w:val="15"/>
          <w:color w:val="auto"/>
        </w:rPr>
        <w:t>per share, based on an assumed initial public</w:t>
      </w:r>
    </w:p>
    <w:p>
      <w:pPr>
        <w:spacing w:after="0" w:line="9"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offering price of $ per share, which is the mid-point of the initial public offering price range set forth on the cover of this prospectus. This means that if we were to be liquidated immediately after the offering, there may be no assets available for distribution to you after satisfaction of all of our obligations to creditors.</w:t>
      </w:r>
    </w:p>
    <w:p>
      <w:pPr>
        <w:spacing w:after="0" w:line="14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Wynn Macau's plans relating to the financing of the Macau opportunity are in preliminary stages. Wynn Macau is considering different financing alternatives, including equity financing at the Wynn Macau level or at the level of one of Wynn Macau's intermediary holding companies, such as Wynn Resorts (Macau), Limited, and debt financing at the Wynn Macau level. If additional equity is raised at the Wynn Macau or intermediary holding company level, you would indirectly hold a smaller interest in Wynn Macau as the minority interest in the Macau-related entities increases. If Wynn Resorts decides to raise equity at the Wynn Resorts level to fund the Macau opportunity, you would suffer dilution of your interest in Wynn Resorts.</w:t>
      </w:r>
    </w:p>
    <w:p>
      <w:pPr>
        <w:spacing w:after="0" w:line="16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Our anti-takeover provisions or provisions of Nevada law could prevent or delay a change in control of Wynn Resorts, even if a change of control would benefit our stockholders.</w:t>
      </w:r>
    </w:p>
    <w:p>
      <w:pPr>
        <w:spacing w:after="0" w:line="180"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Provisions of our articles of incorporation and bylaws, as they will be in effect at the completion of this offering, as well as provisions of Nevada law, could discourage, delay or prevent a merger, acquisition or other change in control of Wynn Resorts, even if a change in control would benefit our stockholders. These provisions will:</w:t>
      </w:r>
    </w:p>
    <w:p>
      <w:pPr>
        <w:spacing w:after="0" w:line="208"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classify our board of directors so that only one-third of the directors are elected each year;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authorize our board of directors to issue "blank check" preferred stock to increase the number of outstanding shares and thwart a takeover attempt;</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eliminate the ability of holders of our common stock to call special meetings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 require that all stockholder actions be taken at a meeting of our stockholders;</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by stockholders at stockholder meetings;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require a super-majority stockholders' vote to approve mergers, conversions or share exchanges or sales of all or substantially all of our assets;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 super-majority directors' approval of the sale of all or substantially all of our assets.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addition, the Nevada Revised Statutes contain provisions governing the acquisition of a controlling interest in certain publicly held Nevada corporations. These laws provide generally that any person that acquires 20% or more of the outstanding voting shares of certain publicly held Nevada corporations, which we expect will include Wynn Resorts, in the secondary public or private market must follow certain formalities before such acquisition or they may be denied voting rights, unless a majority of the disinterested stockholders of the corporation elects to restore such voting rights in whole or in part. These laws provide that 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See "Description of Capital Stock—Nevada Anti-Takeover Law and Certain Charter and Bylaw Provisions—Nevada Control Share Laws."</w:t>
      </w:r>
    </w:p>
    <w:p>
      <w:pPr>
        <w:spacing w:after="0" w:line="172"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After we become a registered company under Nevada's gaming laws, approval of the Nevada Gaming Commission must be obtained with respect to changes in control. A person that seeks to acquire control of a registered company must satisfy the Nevada gaming authorities before assuming control of a registered company. The Nevada gaming authorities may also require controlling stockholders, officers, directors and other persons having a material relationship or involvement with a person proposing to acquire control to be investigated and licensed as part of the approval process relating to the transaction. See "Regulation and Licensing—Approval of Changes in Control."</w:t>
      </w:r>
    </w:p>
    <w:p>
      <w:pPr>
        <w:sectPr>
          <w:pgSz w:w="11900" w:h="16838" w:orient="portrait"/>
          <w:cols w:equalWidth="0" w:num="1">
            <w:col w:w="11380"/>
          </w:cols>
          <w:pgMar w:left="240" w:top="131" w:right="279" w:bottom="38" w:gutter="0" w:footer="0" w:header="0"/>
        </w:sectPr>
      </w:pPr>
    </w:p>
    <w:bookmarkStart w:id="25" w:name="page26"/>
    <w:bookmarkEnd w:id="25"/>
    <w:p>
      <w:pPr>
        <w:ind w:right="60" w:firstLine="351"/>
        <w:spacing w:after="0" w:line="370" w:lineRule="auto"/>
        <w:rPr>
          <w:sz w:val="20"/>
          <w:szCs w:val="20"/>
          <w:color w:val="auto"/>
        </w:rPr>
      </w:pPr>
      <w:r>
        <w:rPr>
          <w:rFonts w:ascii="Arial" w:cs="Arial" w:eastAsia="Arial" w:hAnsi="Arial"/>
          <w:sz w:val="15"/>
          <w:szCs w:val="15"/>
          <w:color w:val="auto"/>
        </w:rPr>
        <w:t>Nevada law also provides that directors may resist a change or potential change in control if the directors determine that the change is opposed to, or not in the best interest of, the corporation. See "Description of Capital Stock—Redemption of Securities Owned or Controlled by an Unsuitable Person or an Affiliate."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redeem your shares due to regulatory considerations, either as required by gaming authorities or in our discretion.</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Wynn Resorts' articles of incorporation, which will be adopted prior to the consummation of this offering, will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to be the fair value by the board of directors.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Wynn Resorts elects. However, if the Nevada Gaming Commission were to find the unsuitable person or its affiliate unsuitable to own the voting securities of Wynn Resorts, it could also determine that the person is unsuitable to hold a promissory note for the purchase of such voting securities by Wynn Resorts, and could determine not to approve the issuance of the promissory note to the unsuitable person or its affiliate. See "Risk Factors—General Risks Associated with Our Business—The Nevada Gaming Commission may impose unanticipated requirements regarding the licensing of owners of Wynn Resorts" and "Regulation and Licensing—Redemption of Securities Owned by an Unsuitable Person."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pacing w:after="0" w:line="198" w:lineRule="exact"/>
        <w:rPr>
          <w:sz w:val="20"/>
          <w:szCs w:val="20"/>
          <w:color w:val="auto"/>
        </w:rPr>
      </w:pPr>
    </w:p>
    <w:p>
      <w:pPr>
        <w:ind w:right="160" w:firstLine="341"/>
        <w:spacing w:after="0" w:line="25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 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215"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statements relating to our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statements relating to our development, construction and operation of Le Rêve;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expectations concerning future operations, margins, profitability, liquidity and capital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current and future plans, including with respect to Wynn Macau's opportunity to develop one or more casinos in Macau.</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188" w:lineRule="exact"/>
        <w:rPr>
          <w:sz w:val="20"/>
          <w:szCs w:val="20"/>
          <w:color w:val="auto"/>
        </w:rPr>
      </w:pPr>
    </w:p>
    <w:p>
      <w:pPr>
        <w:ind w:left="1080" w:right="2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entering into a new venture and new construction, including our ability to construct and open Le Rêve and Wynn Macau's casino(s) on time and on budget;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competition and other planned construction in Las Vegas and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uncertainty of casino spending and vacationing in hotel casino resorts in Las Vegas and Macau;</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occupancy rates and average room rates in Las Vegas and Macau;</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demand for high-end, entertainment-related hotel and destination casino resorts in Las Vegas and Macau and changing resort preferences among high-end customers;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domestic and global economic, credit and capital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leverage and debt service obligations, including sensitivity to fluctuations in interest rates;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existing management;</w:t>
      </w:r>
    </w:p>
    <w:p>
      <w:pPr>
        <w:spacing w:after="0" w:line="225" w:lineRule="exact"/>
        <w:rPr>
          <w:rFonts w:ascii="Arial" w:cs="Arial" w:eastAsia="Arial" w:hAnsi="Arial"/>
          <w:sz w:val="18"/>
          <w:szCs w:val="18"/>
          <w:color w:val="auto"/>
        </w:rPr>
      </w:pPr>
    </w:p>
    <w:p>
      <w:pPr>
        <w:spacing w:after="0"/>
        <w:tabs>
          <w:tab w:leader="none" w:pos="0" w:val="left"/>
        </w:tabs>
        <w:numPr>
          <w:ilvl w:val="0"/>
          <w:numId w:val="33"/>
        </w:numPr>
        <w:rPr>
          <w:rFonts w:ascii="Arial" w:cs="Arial" w:eastAsia="Arial" w:hAnsi="Arial"/>
          <w:sz w:val="18"/>
          <w:szCs w:val="18"/>
          <w:color w:val="auto"/>
        </w:rPr>
      </w:pPr>
    </w:p>
    <w:p>
      <w:pPr>
        <w:sectPr>
          <w:pgSz w:w="11900" w:h="16838" w:orient="portrait"/>
          <w:cols w:equalWidth="0" w:num="1">
            <w:col w:w="11380"/>
          </w:cols>
          <w:pgMar w:left="240" w:top="131" w:right="279" w:bottom="0" w:gutter="0" w:footer="0" w:header="0"/>
        </w:sectPr>
      </w:pPr>
    </w:p>
    <w:bookmarkStart w:id="26" w:name="page27"/>
    <w:bookmarkEnd w:id="26"/>
    <w:p>
      <w:pPr>
        <w:ind w:left="1080"/>
        <w:spacing w:after="0"/>
        <w:rPr>
          <w:sz w:val="20"/>
          <w:szCs w:val="20"/>
          <w:color w:val="auto"/>
        </w:rPr>
      </w:pPr>
      <w:r>
        <w:rPr>
          <w:rFonts w:ascii="Arial" w:cs="Arial" w:eastAsia="Arial" w:hAnsi="Arial"/>
          <w:sz w:val="18"/>
          <w:szCs w:val="18"/>
          <w:color w:val="auto"/>
        </w:rPr>
        <w:t>applications for licenses and approvals under applicable laws and regulations, including gaming laws and regulations;</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or expansion of gaming in certain jurisdictions;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outcomes of pending litigation or the possibility of new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Macau's new gaming regulatory framework;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of doing business in foreign countries, such as Macau;</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these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judicial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consequences of any future security alerts and/or terrorist attacks such as the attacks that occurred on September 11, 2001;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broad downturn in the economy in general.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to receive approximately $363.5 million in net proceeds from the sale of shares of our common stock in this offering based on the sale of</w:t>
      </w:r>
    </w:p>
    <w:p>
      <w:pPr>
        <w:spacing w:after="0" w:line="38"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million shares at an assumed initial public offering price of $ per share, the mid-point of the initial public offering price range set forth on the cover of this prospectus, after deducting underwriting discounts and commissions and estimated offering expenses. If the underwriters exercise their over-allotment option in full, we expect our net proceeds to be approximately $418.5 million.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Concurrently with the consummation of this offering:</w:t>
      </w:r>
    </w:p>
    <w:p>
      <w:pPr>
        <w:spacing w:after="0" w:line="239" w:lineRule="exact"/>
        <w:rPr>
          <w:sz w:val="20"/>
          <w:szCs w:val="20"/>
          <w:color w:val="auto"/>
        </w:rPr>
      </w:pPr>
    </w:p>
    <w:p>
      <w:pPr>
        <w:ind w:left="540" w:right="80" w:hanging="532"/>
        <w:spacing w:after="0" w:line="25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wholly owned subsidiaries, Wynn Las Vegas and Wynn Capital, will jointly consummate an offering of second mortgage notes. We expect Wynn Las Vegas and Wynn Capital to receive approximately $335.7 million in net proceeds from the second mortgage note offering, after deducting underwriting discounts and commissions and estimated offering expenses.</w:t>
      </w:r>
    </w:p>
    <w:p>
      <w:pPr>
        <w:spacing w:after="0" w:line="207" w:lineRule="exact"/>
        <w:rPr>
          <w:rFonts w:ascii="Arial" w:cs="Arial" w:eastAsia="Arial" w:hAnsi="Arial"/>
          <w:sz w:val="18"/>
          <w:szCs w:val="18"/>
          <w:color w:val="auto"/>
        </w:rPr>
      </w:pPr>
    </w:p>
    <w:p>
      <w:pPr>
        <w:ind w:left="540" w:right="60" w:hanging="532"/>
        <w:spacing w:after="0" w:line="25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subsidiaries will enter into a $750.0 million revolving credit facility, a $250.0 million delay draw term loan facility and a $178.5 million FF&amp;E facility. We have received commitments for the credit facility and the delay draw term loan. We have entered into an engagement letter with respect to the FF&amp;E facility, which facility is currently being syndicated. See "Description of Certain Indebtedness."</w:t>
      </w:r>
    </w:p>
    <w:p>
      <w:pPr>
        <w:spacing w:after="0" w:line="194"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intend to use net proceeds from this offering and our existing cash on hand that are contributed to Wynn Las Vegas, net proceeds from the second mortgage notes offering, borrowings under the revolving credit facility, delay draw term loan facility and FF&amp;E facility to design, develop, construct, equip and open Le Rêve. None of the proceeds of this offering, except possibly from the underwriters' exercise, if it occurs, of the over-allotment option, will be used to fund the construction and development of Wynn Macau's casinos in Macau. The disbursement agreement will require that project costs be funded first from contributions we made to Wynn Las Vegas, then from the net proceeds of the second mortgage notes offering and then from the other debt facilities.</w:t>
      </w:r>
    </w:p>
    <w:p>
      <w:pPr>
        <w:spacing w:after="0" w:line="170"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expect that the funds provided by these sources and available cash will be sufficient to design, develop,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"—Risks Related to Our Substantial Indebtedness," "Management's Discussion and Analysis of Financial Condition and Results of Operations" and our financial statements and the accompanying notes.</w:t>
      </w:r>
    </w:p>
    <w:p>
      <w:pPr>
        <w:spacing w:after="0" w:line="174"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If the underwriters exercise their over-allotment option in this offering, we may use the additional net proceeds to provide additional liquidity for our construction and debt service expenses relating to Le Rêve, to make expenditures related to the Macau opportunity, to fund our working capital needs or for general corporate purposes. We may, but are not obligated to, contribute these funds to Wynn Las Vegas. Pending application of the net proceeds as described above, we intend to invest the net proceeds in short-term highly-rated securities.</w:t>
      </w:r>
    </w:p>
    <w:p>
      <w:pPr>
        <w:spacing w:after="0" w:line="197" w:lineRule="exact"/>
        <w:rPr>
          <w:sz w:val="20"/>
          <w:szCs w:val="20"/>
          <w:color w:val="auto"/>
        </w:rPr>
      </w:pPr>
    </w:p>
    <w:p>
      <w:pPr>
        <w:ind w:right="480" w:firstLine="341"/>
        <w:spacing w:after="0" w:line="259" w:lineRule="auto"/>
        <w:rPr>
          <w:sz w:val="20"/>
          <w:szCs w:val="20"/>
          <w:color w:val="auto"/>
        </w:rPr>
      </w:pPr>
      <w:r>
        <w:rPr>
          <w:rFonts w:ascii="Arial" w:cs="Arial" w:eastAsia="Arial" w:hAnsi="Arial"/>
          <w:sz w:val="18"/>
          <w:szCs w:val="18"/>
          <w:color w:val="auto"/>
        </w:rPr>
        <w:t>A special purpose subsidiary of Wynn Las Vegas, formed with the intention of being bankruptcy-remote, will be providing a $50 million completion guarantee in favor of the lenders under the credit facilities and the holders of the second mortgage notes to secure completion in full of the construction and opening of Le Rêve, including all furniture, fixtures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that will govern the disbursement of funds from our debt facilities to fund Le Rêve project costs, these funds will become available to us on a gradual basis to apply to the costs of the project only after fifty percent of the Le Rêve construction work has been completed. Upon the occurrence of an event of default under our subsidiaries' credit facilities or the indenture governing the second mortgage notes, the lenders under our subsidiaries' credit facilities or, if no amounts are outstanding under the credit facilities, the holders of the second mortgage notes, will be permitted to exercise remedies against such sums and apply such sums against the obligations under their respective documents. Upon the completion and opening of Le Rêve, any amounts remaining in this account will be released to Wynn Resorts.</w:t>
      </w:r>
    </w:p>
    <w:p>
      <w:pPr>
        <w:sectPr>
          <w:pgSz w:w="11900" w:h="16838" w:orient="portrait"/>
          <w:cols w:equalWidth="0" w:num="1">
            <w:col w:w="11420"/>
          </w:cols>
          <w:pgMar w:left="240" w:top="131" w:right="239" w:bottom="0" w:gutter="0" w:footer="0" w:header="0"/>
        </w:sectPr>
      </w:pPr>
    </w:p>
    <w:bookmarkStart w:id="27" w:name="page28"/>
    <w:bookmarkEnd w:id="27"/>
    <w:p>
      <w:pPr>
        <w:spacing w:after="0" w:line="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we will contribute $30 million of the net proceeds of this offering to Wynn Las Vegas to be held in a liquidity reserve account and pledged to the lenders under the credit facilities and the second mortgage note holders to secure Wynn Las Vegas' obligation to complete the project. Until the opening of Le Rêve, these funds may be applied to the costs to develop and construct Le Rêve in accordance with the disbursement agreement. Following the completion and opening of Le Rêve, these funds will be available to meet our subsidiaries' debt service needs in connection with Le Rêve. Once Wynn Las Vegas has met prescribed cash flow tests for a period of four consecutive fiscal quarters after the completion and opening of Le Rêve, any remaining funds will be used to reduce the outstanding balance on the revolving credit facility, but without reducing the revolving credit facility commitment.</w:t>
      </w:r>
    </w:p>
    <w:p>
      <w:pPr>
        <w:spacing w:after="0" w:line="17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remaining net proceeds from this offering will be used, along with our existing cash on hand, to fund the development and construction of Le Rêve, including pre-opening and debt service payments. We expect that these remaining net proceeds will be used to fund the initial phases of construction, including contractor monthly payment applications, design fees and operational payroll.</w:t>
      </w:r>
    </w:p>
    <w:p>
      <w:pPr>
        <w:spacing w:after="0" w:line="194"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following table sets forth estimated sources and uses of funds to design, construct, develop, equip and open Le Rêve and for other operations related primarily to the Le Rêve project. The table assumes that the financing transactions, including this offering, close on September 30, 2002. For purposes of calculating total construction costs, the revolving credit facility balance and interest and commitment fees, this table also includes certain final construction cost payments that we assume will be made after the opening of Le Rêve.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table does not include amounts necessary to finance the design, construction, development, equipping and opening of casino(s) in Macau.</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60" w:type="dxa"/>
            <w:vAlign w:val="bottom"/>
          </w:tcPr>
          <w:p>
            <w:pPr>
              <w:ind w:left="860"/>
              <w:spacing w:after="0"/>
              <w:rPr>
                <w:sz w:val="20"/>
                <w:szCs w:val="20"/>
                <w:color w:val="auto"/>
              </w:rPr>
            </w:pPr>
            <w:r>
              <w:rPr>
                <w:rFonts w:ascii="Arial" w:cs="Arial" w:eastAsia="Arial" w:hAnsi="Arial"/>
                <w:sz w:val="14"/>
                <w:szCs w:val="14"/>
                <w:b w:val="1"/>
                <w:bCs w:val="1"/>
                <w:color w:val="auto"/>
              </w:rPr>
              <w:t>Sources (in millions)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tcPr>
          <w:p>
            <w:pPr>
              <w:ind w:left="2140"/>
              <w:spacing w:after="0"/>
              <w:rPr>
                <w:sz w:val="20"/>
                <w:szCs w:val="20"/>
                <w:color w:val="auto"/>
              </w:rPr>
            </w:pPr>
            <w:r>
              <w:rPr>
                <w:rFonts w:ascii="Arial" w:cs="Arial" w:eastAsia="Arial" w:hAnsi="Arial"/>
                <w:sz w:val="14"/>
                <w:szCs w:val="14"/>
                <w:b w:val="1"/>
                <w:bCs w:val="1"/>
                <w:color w:val="auto"/>
                <w:w w:val="86"/>
              </w:rPr>
              <w:t>Uses (in millions)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701.4</w:t>
            </w: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Construction costs: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Delay draw term loan facility (1)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Marnell Corrao contract (7)</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 (2)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Interior design, related</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FF&amp;E,</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Second mortgage notes (3)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signage and electronic</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contributions (4)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981.1</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systems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Interest Income (5)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Design and engineering fees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Golf course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Parking garage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approvals &amp;</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Insurance (8)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Miscellaneous capital</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projects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Construction period</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utilities &amp; security</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contingency (9)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Total construction costs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1,404.6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Land and buildings (10)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Owner-acquired FF&amp;E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 production costs (11)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Pre-opening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expenditures (12)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Aircraft acquisition and</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loan repayment (13)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and commitment fees (14)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Working capital needs at opening (15)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Construction completion guarantee (16)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Liquidity reserve (17)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Transaction fees and expenses (18)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Investment in Macau (19)</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Sources</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2,495.9</w:t>
            </w:r>
          </w:p>
        </w:tc>
        <w:tc>
          <w:tcPr>
            <w:tcW w:w="100" w:type="dxa"/>
            <w:vAlign w:val="bottom"/>
            <w:tcBorders>
              <w:bottom w:val="single" w:sz="8" w:color="CCEEFF"/>
            </w:tcBorders>
            <w:shd w:val="clear" w:color="auto" w:fill="CCEEFF"/>
          </w:tcPr>
          <w:p>
            <w:pPr>
              <w:spacing w:after="0"/>
              <w:rPr>
                <w:sz w:val="19"/>
                <w:szCs w:val="19"/>
                <w:color w:val="auto"/>
              </w:rPr>
            </w:pPr>
          </w:p>
        </w:tc>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Uses</w:t>
            </w: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-5177155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-5177155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-5177155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-5177155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-2689860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-2689860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-477520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-477520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-477520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-477520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-168910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-168910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-168910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-168910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160" w:hanging="532"/>
        <w:spacing w:after="0" w:line="196" w:lineRule="auto"/>
        <w:tabs>
          <w:tab w:leader="none" w:pos="540" w:val="left"/>
        </w:tabs>
        <w:numPr>
          <w:ilvl w:val="0"/>
          <w:numId w:val="36"/>
        </w:numPr>
        <w:rPr>
          <w:rFonts w:ascii="Arial" w:cs="Arial" w:eastAsia="Arial" w:hAnsi="Arial"/>
          <w:sz w:val="27"/>
          <w:szCs w:val="27"/>
          <w:color w:val="auto"/>
          <w:vertAlign w:val="subscript"/>
        </w:rPr>
      </w:pPr>
      <w:r>
        <w:rPr>
          <w:rFonts w:ascii="Arial" w:cs="Arial" w:eastAsia="Arial" w:hAnsi="Arial"/>
          <w:sz w:val="14"/>
          <w:szCs w:val="14"/>
          <w:color w:val="auto"/>
        </w:rPr>
        <w:t>Wynn Las Vegas, Wynn Golf Course and Valvino have entered into a commitment letter with Deutsche Bank Securities Inc., Banc of America Securities LLC, Bear, Stearns &amp; Co. Inc. and certain of their affiliates for a $750.0 million revolving credit facility and a $250.0 million delay draw term loan facility. See "Description of Certain Indebtedness." These facilities will close concurrently with the closing of this offering. We expect to begin to borrow under these facilities, subject to satisfaction of the conditions in the disbursement agreement, approximately 16-19 months after the consummation of this offering and after expending all of the net proceeds of this offering. We anticipate that we will borrow approximately $701.4 million of the $750.0 million available under the revolving credit facility and the full $250.0 million available under the term loan facility to fund design, development, construction, equipping and opening of Le Rêve, assuming that Le Rêve opens within budget and on schedule.</w:t>
      </w:r>
    </w:p>
    <w:p>
      <w:pPr>
        <w:spacing w:after="0" w:line="88" w:lineRule="exact"/>
        <w:rPr>
          <w:rFonts w:ascii="Arial" w:cs="Arial" w:eastAsia="Arial" w:hAnsi="Arial"/>
          <w:sz w:val="27"/>
          <w:szCs w:val="27"/>
          <w:color w:val="auto"/>
          <w:vertAlign w:val="subscript"/>
        </w:rPr>
      </w:pPr>
    </w:p>
    <w:p>
      <w:pPr>
        <w:ind w:left="540" w:right="40" w:hanging="532"/>
        <w:spacing w:after="0" w:line="209" w:lineRule="auto"/>
        <w:tabs>
          <w:tab w:leader="none" w:pos="540" w:val="left"/>
        </w:tabs>
        <w:numPr>
          <w:ilvl w:val="0"/>
          <w:numId w:val="36"/>
        </w:numPr>
        <w:rPr>
          <w:rFonts w:ascii="Arial" w:cs="Arial" w:eastAsia="Arial" w:hAnsi="Arial"/>
          <w:sz w:val="26"/>
          <w:szCs w:val="26"/>
          <w:color w:val="auto"/>
          <w:vertAlign w:val="subscript"/>
        </w:rPr>
      </w:pPr>
      <w:r>
        <w:rPr>
          <w:rFonts w:ascii="Arial" w:cs="Arial" w:eastAsia="Arial" w:hAnsi="Arial"/>
          <w:sz w:val="13"/>
          <w:szCs w:val="13"/>
          <w:color w:val="auto"/>
        </w:rPr>
        <w:t>Wynn Las Vegas has entered into an engagement letter with Bank of America, N.A., Banc of America Leasing &amp; Capital LLC and Deutsche Bank Securities Inc. for a $178.5 million FF&amp;E facility, which is currently being syndicated. This facility will close concurrently with the closing of this offering. Wynn Las Vegas intends to use approximately $28.5 million of borrowings under the FF&amp;E facility to refinance a loan made by Bank of America, N.A. to World Travel, LLC, a wholly-owned subsidiary of Valvino.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Party Transactions—Aircraft Arrangements." World Travel intends to issue to Wynn Las Vegas an intercompany note in the amount of the funds received by World Travel to repay the Bank of America loan.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70"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12" w:lineRule="exact"/>
        <w:rPr>
          <w:sz w:val="20"/>
          <w:szCs w:val="20"/>
          <w:color w:val="auto"/>
        </w:rPr>
      </w:pPr>
    </w:p>
    <w:p>
      <w:pPr>
        <w:ind w:left="540" w:right="40" w:hanging="532"/>
        <w:spacing w:after="0" w:line="186" w:lineRule="auto"/>
        <w:tabs>
          <w:tab w:leader="none" w:pos="540" w:val="left"/>
        </w:tabs>
        <w:numPr>
          <w:ilvl w:val="0"/>
          <w:numId w:val="37"/>
        </w:numPr>
        <w:rPr>
          <w:rFonts w:ascii="Arial" w:cs="Arial" w:eastAsia="Arial" w:hAnsi="Arial"/>
          <w:sz w:val="24"/>
          <w:szCs w:val="24"/>
          <w:color w:val="auto"/>
          <w:vertAlign w:val="subscript"/>
        </w:rPr>
      </w:pPr>
      <w:r>
        <w:rPr>
          <w:rFonts w:ascii="Arial" w:cs="Arial" w:eastAsia="Arial" w:hAnsi="Arial"/>
          <w:sz w:val="12"/>
          <w:szCs w:val="12"/>
          <w:color w:val="auto"/>
        </w:rPr>
        <w:t>We expect to begin to request disbursements of the second mortgage note proceeds, subject to satisfaction of the conditions in the disbursement agreement, approximately ten to twelve months after the consummation of this offering and after expending all of the net proceeds of this offering.</w:t>
      </w:r>
    </w:p>
    <w:p>
      <w:pPr>
        <w:sectPr>
          <w:pgSz w:w="11900" w:h="16870" w:orient="portrait"/>
          <w:cols w:equalWidth="0" w:num="1">
            <w:col w:w="11420"/>
          </w:cols>
          <w:pgMar w:left="240" w:top="131" w:right="239" w:bottom="0" w:gutter="0" w:footer="0" w:header="0"/>
          <w:type w:val="continuous"/>
        </w:sectPr>
      </w:pPr>
    </w:p>
    <w:bookmarkStart w:id="28" w:name="page29"/>
    <w:bookmarkEnd w:id="28"/>
    <w:p>
      <w:pPr>
        <w:spacing w:after="0" w:line="55"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27"/>
          <w:szCs w:val="27"/>
          <w:color w:val="auto"/>
          <w:vertAlign w:val="subscript"/>
        </w:rPr>
      </w:pPr>
      <w:r>
        <w:rPr>
          <w:rFonts w:ascii="Arial" w:cs="Arial" w:eastAsia="Arial" w:hAnsi="Arial"/>
          <w:sz w:val="14"/>
          <w:szCs w:val="14"/>
          <w:color w:val="auto"/>
        </w:rPr>
        <w:t>Includes (a) Valvino member net contributions of approximately $586.1 million, and (b) the anticipated gross proceeds from this offering of approximately $395.0 million.</w:t>
      </w:r>
    </w:p>
    <w:p>
      <w:pPr>
        <w:spacing w:after="0" w:line="84" w:lineRule="exact"/>
        <w:rPr>
          <w:rFonts w:ascii="Arial" w:cs="Arial" w:eastAsia="Arial" w:hAnsi="Arial"/>
          <w:sz w:val="27"/>
          <w:szCs w:val="27"/>
          <w:color w:val="auto"/>
          <w:vertAlign w:val="subscript"/>
        </w:rPr>
      </w:pPr>
    </w:p>
    <w:p>
      <w:pPr>
        <w:ind w:left="540" w:right="60" w:hanging="532"/>
        <w:spacing w:after="0" w:line="205" w:lineRule="auto"/>
        <w:tabs>
          <w:tab w:leader="none" w:pos="540" w:val="left"/>
        </w:tabs>
        <w:numPr>
          <w:ilvl w:val="0"/>
          <w:numId w:val="38"/>
        </w:numPr>
        <w:rPr>
          <w:rFonts w:ascii="Arial" w:cs="Arial" w:eastAsia="Arial" w:hAnsi="Arial"/>
          <w:sz w:val="26"/>
          <w:szCs w:val="26"/>
          <w:color w:val="auto"/>
          <w:vertAlign w:val="subscript"/>
        </w:rPr>
      </w:pPr>
      <w:r>
        <w:rPr>
          <w:rFonts w:ascii="Arial" w:cs="Arial" w:eastAsia="Arial" w:hAnsi="Arial"/>
          <w:sz w:val="13"/>
          <w:szCs w:val="13"/>
          <w:color w:val="auto"/>
        </w:rPr>
        <w:t>Represents interest earned at the estimated LIBOR rate on our estimated cash balance through the scheduled opening of Le Rêve. Estimates of the LIBOR rate are based on current market projections of the LIBOR rate ranging from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 In addition, because of the large percentage of Wynn Resorts' outstanding stock that will be owned directly or indirectly by a small number of individuals, our interest income may also be subject to federal personal holding company taxes during the period before Le Rêve commences operations. Any such taxes that become payable would increase the usage of the revolving credit facility.</w:t>
      </w:r>
    </w:p>
    <w:p>
      <w:pPr>
        <w:spacing w:after="0" w:line="71" w:lineRule="exact"/>
        <w:rPr>
          <w:rFonts w:ascii="Arial" w:cs="Arial" w:eastAsia="Arial" w:hAnsi="Arial"/>
          <w:sz w:val="26"/>
          <w:szCs w:val="26"/>
          <w:color w:val="auto"/>
          <w:vertAlign w:val="subscript"/>
        </w:rPr>
      </w:pPr>
    </w:p>
    <w:p>
      <w:pPr>
        <w:ind w:left="540" w:right="80" w:hanging="532"/>
        <w:spacing w:after="0" w:line="186" w:lineRule="auto"/>
        <w:tabs>
          <w:tab w:leader="none" w:pos="540" w:val="left"/>
        </w:tabs>
        <w:numPr>
          <w:ilvl w:val="0"/>
          <w:numId w:val="38"/>
        </w:numPr>
        <w:rPr>
          <w:rFonts w:ascii="Arial" w:cs="Arial" w:eastAsia="Arial" w:hAnsi="Arial"/>
          <w:sz w:val="24"/>
          <w:szCs w:val="24"/>
          <w:color w:val="auto"/>
          <w:vertAlign w:val="subscript"/>
        </w:rPr>
      </w:pPr>
      <w:r>
        <w:rPr>
          <w:rFonts w:ascii="Arial" w:cs="Arial" w:eastAsia="Arial" w:hAnsi="Arial"/>
          <w:sz w:val="12"/>
          <w:szCs w:val="12"/>
          <w:color w:val="auto"/>
        </w:rPr>
        <w:t>Consists of net income from incidental operations, including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70" w:lineRule="exact"/>
        <w:rPr>
          <w:rFonts w:ascii="Arial" w:cs="Arial" w:eastAsia="Arial" w:hAnsi="Arial"/>
          <w:sz w:val="24"/>
          <w:szCs w:val="24"/>
          <w:color w:val="auto"/>
          <w:vertAlign w:val="subscript"/>
        </w:rPr>
      </w:pPr>
    </w:p>
    <w:p>
      <w:pPr>
        <w:ind w:left="540" w:right="20" w:hanging="532"/>
        <w:spacing w:after="0" w:line="198" w:lineRule="auto"/>
        <w:tabs>
          <w:tab w:leader="none" w:pos="540" w:val="left"/>
        </w:tabs>
        <w:numPr>
          <w:ilvl w:val="0"/>
          <w:numId w:val="38"/>
        </w:numPr>
        <w:rPr>
          <w:rFonts w:ascii="Arial" w:cs="Arial" w:eastAsia="Arial" w:hAnsi="Arial"/>
          <w:sz w:val="26"/>
          <w:szCs w:val="26"/>
          <w:color w:val="auto"/>
          <w:vertAlign w:val="subscript"/>
        </w:rPr>
      </w:pPr>
      <w:r>
        <w:rPr>
          <w:rFonts w:ascii="Arial" w:cs="Arial" w:eastAsia="Arial" w:hAnsi="Arial"/>
          <w:sz w:val="13"/>
          <w:szCs w:val="13"/>
          <w:color w:val="auto"/>
        </w:rPr>
        <w:t>Represents the guaranteed maximum price of construction of Le Rêve under the construction contract and includes an owner's contingency of approximately $7.6 million. The construction contract contains financial incentives for Marnell Corrao to complete Le Rêve before the deadline set forth in the construction contract, as well as liquidated damages payable to us for certain unexcused delays. See "Construction Contracts for Le Rêve—Construction of the Hotel/Casino—Early or Late Completion." The guaranteed maximum price under the construction contract is subject to adjustment under various circumstances which could increase our costs. See "Risk Factors—Risks Associated with Our Construction."</w:t>
      </w:r>
    </w:p>
    <w:p>
      <w:pPr>
        <w:spacing w:after="0" w:line="85" w:lineRule="exact"/>
        <w:rPr>
          <w:rFonts w:ascii="Arial" w:cs="Arial" w:eastAsia="Arial" w:hAnsi="Arial"/>
          <w:sz w:val="26"/>
          <w:szCs w:val="26"/>
          <w:color w:val="auto"/>
          <w:vertAlign w:val="subscript"/>
        </w:rPr>
      </w:pPr>
    </w:p>
    <w:p>
      <w:pPr>
        <w:ind w:left="540" w:right="100" w:hanging="532"/>
        <w:spacing w:after="0" w:line="186" w:lineRule="auto"/>
        <w:tabs>
          <w:tab w:leader="none" w:pos="540" w:val="left"/>
        </w:tabs>
        <w:numPr>
          <w:ilvl w:val="0"/>
          <w:numId w:val="38"/>
        </w:numPr>
        <w:rPr>
          <w:rFonts w:ascii="Arial" w:cs="Arial" w:eastAsia="Arial" w:hAnsi="Arial"/>
          <w:sz w:val="24"/>
          <w:szCs w:val="24"/>
          <w:color w:val="auto"/>
          <w:vertAlign w:val="subscript"/>
        </w:rPr>
      </w:pPr>
      <w:r>
        <w:rPr>
          <w:rFonts w:ascii="Arial" w:cs="Arial" w:eastAsia="Arial" w:hAnsi="Arial"/>
          <w:sz w:val="12"/>
          <w:szCs w:val="12"/>
          <w:color w:val="auto"/>
        </w:rPr>
        <w:t>Represents estimated insurance costs for builder's risk insurance, fees and reserves related to our insurance program, umbrella and excess liability insurance and design professional liability insurance. We may need to incur additional insurance costs in the future.</w:t>
      </w:r>
    </w:p>
    <w:p>
      <w:pPr>
        <w:spacing w:after="0" w:line="70" w:lineRule="exact"/>
        <w:rPr>
          <w:rFonts w:ascii="Arial" w:cs="Arial" w:eastAsia="Arial" w:hAnsi="Arial"/>
          <w:sz w:val="24"/>
          <w:szCs w:val="24"/>
          <w:color w:val="auto"/>
          <w:vertAlign w:val="subscript"/>
        </w:rPr>
      </w:pPr>
    </w:p>
    <w:p>
      <w:pPr>
        <w:ind w:left="540" w:right="500" w:hanging="532"/>
        <w:spacing w:after="0" w:line="186" w:lineRule="auto"/>
        <w:tabs>
          <w:tab w:leader="none" w:pos="540" w:val="left"/>
        </w:tabs>
        <w:numPr>
          <w:ilvl w:val="0"/>
          <w:numId w:val="38"/>
        </w:numPr>
        <w:rPr>
          <w:rFonts w:ascii="Arial" w:cs="Arial" w:eastAsia="Arial" w:hAnsi="Arial"/>
          <w:sz w:val="24"/>
          <w:szCs w:val="24"/>
          <w:color w:val="auto"/>
          <w:vertAlign w:val="subscript"/>
        </w:rPr>
      </w:pPr>
      <w:r>
        <w:rPr>
          <w:rFonts w:ascii="Arial" w:cs="Arial" w:eastAsia="Arial" w:hAnsi="Arial"/>
          <w:sz w:val="12"/>
          <w:szCs w:val="12"/>
          <w:color w:val="auto"/>
        </w:rPr>
        <w:t>Represents the owner's contingency with respect to the portions of the project not covered by the construction contract. This amount does not include the owner's contingency of approximately $7.6 million under the construction contract.</w:t>
      </w:r>
    </w:p>
    <w:p>
      <w:pPr>
        <w:ind w:left="540" w:hanging="532"/>
        <w:spacing w:after="0" w:line="187" w:lineRule="auto"/>
        <w:tabs>
          <w:tab w:leader="none" w:pos="540" w:val="left"/>
        </w:tabs>
        <w:numPr>
          <w:ilvl w:val="0"/>
          <w:numId w:val="38"/>
        </w:numPr>
        <w:rPr>
          <w:rFonts w:ascii="Arial" w:cs="Arial" w:eastAsia="Arial" w:hAnsi="Arial"/>
          <w:sz w:val="27"/>
          <w:szCs w:val="27"/>
          <w:color w:val="auto"/>
          <w:vertAlign w:val="subscript"/>
        </w:rPr>
      </w:pPr>
      <w:r>
        <w:rPr>
          <w:rFonts w:ascii="Arial" w:cs="Arial" w:eastAsia="Arial" w:hAnsi="Arial"/>
          <w:sz w:val="14"/>
          <w:szCs w:val="14"/>
          <w:color w:val="auto"/>
        </w:rPr>
        <w:t>Represents amounts previously expended to acquire land for the project, including the golf course land, buildings and water rights.</w:t>
      </w:r>
    </w:p>
    <w:p>
      <w:pPr>
        <w:spacing w:after="0" w:line="55"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38"/>
        </w:numPr>
        <w:rPr>
          <w:rFonts w:ascii="Arial" w:cs="Arial" w:eastAsia="Arial" w:hAnsi="Arial"/>
          <w:sz w:val="23"/>
          <w:szCs w:val="23"/>
          <w:color w:val="auto"/>
          <w:vertAlign w:val="subscript"/>
        </w:rPr>
      </w:pPr>
      <w:r>
        <w:rPr>
          <w:rFonts w:ascii="Arial" w:cs="Arial" w:eastAsia="Arial" w:hAnsi="Arial"/>
          <w:sz w:val="12"/>
          <w:szCs w:val="12"/>
          <w:color w:val="auto"/>
        </w:rPr>
        <w:t>Represents the cost of creating, designing and producing the Franco Dragone water show.</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38"/>
        </w:numPr>
        <w:rPr>
          <w:rFonts w:ascii="Arial" w:cs="Arial" w:eastAsia="Arial" w:hAnsi="Arial"/>
          <w:sz w:val="23"/>
          <w:szCs w:val="23"/>
          <w:color w:val="auto"/>
          <w:vertAlign w:val="subscript"/>
        </w:rPr>
      </w:pPr>
      <w:r>
        <w:rPr>
          <w:rFonts w:ascii="Arial" w:cs="Arial" w:eastAsia="Arial" w:hAnsi="Arial"/>
          <w:sz w:val="12"/>
          <w:szCs w:val="12"/>
          <w:color w:val="auto"/>
        </w:rPr>
        <w:t>Consists primarily of operating costs of the previous facility at the site before closure of that facility and facility closure expenditures.</w:t>
      </w:r>
    </w:p>
    <w:p>
      <w:pPr>
        <w:spacing w:after="0" w:line="71" w:lineRule="exact"/>
        <w:rPr>
          <w:rFonts w:ascii="Arial" w:cs="Arial" w:eastAsia="Arial" w:hAnsi="Arial"/>
          <w:sz w:val="23"/>
          <w:szCs w:val="23"/>
          <w:color w:val="auto"/>
          <w:vertAlign w:val="subscript"/>
        </w:rPr>
      </w:pPr>
    </w:p>
    <w:p>
      <w:pPr>
        <w:ind w:left="540" w:hanging="532"/>
        <w:spacing w:after="0" w:line="188" w:lineRule="auto"/>
        <w:tabs>
          <w:tab w:leader="none" w:pos="540" w:val="left"/>
        </w:tabs>
        <w:numPr>
          <w:ilvl w:val="0"/>
          <w:numId w:val="38"/>
        </w:numPr>
        <w:rPr>
          <w:rFonts w:ascii="Arial" w:cs="Arial" w:eastAsia="Arial" w:hAnsi="Arial"/>
          <w:sz w:val="26"/>
          <w:szCs w:val="26"/>
          <w:color w:val="auto"/>
          <w:vertAlign w:val="subscript"/>
        </w:rPr>
      </w:pPr>
      <w:r>
        <w:rPr>
          <w:rFonts w:ascii="Arial" w:cs="Arial" w:eastAsia="Arial" w:hAnsi="Arial"/>
          <w:sz w:val="13"/>
          <w:szCs w:val="13"/>
          <w:color w:val="auto"/>
        </w:rPr>
        <w:t>Represents (a) a purchase price of $38.2 million for our corporate aircraft, of which approximately $9.7 million was paid in cash at the time of purchase and $28.5 million was represented by a loan from Bank of America, N.A (see footnote (2) above) and (b) approximately $0.5 million in principal repayments on the Bank of America loan anticipated to be made prior to the closing of this offering. Borrowings under the FF&amp;E facility, but not proceeds from this offering, will be used to repay the outstanding balance of this loan.</w:t>
      </w:r>
    </w:p>
    <w:p>
      <w:pPr>
        <w:spacing w:after="0" w:line="85" w:lineRule="exact"/>
        <w:rPr>
          <w:rFonts w:ascii="Arial" w:cs="Arial" w:eastAsia="Arial" w:hAnsi="Arial"/>
          <w:sz w:val="26"/>
          <w:szCs w:val="26"/>
          <w:color w:val="auto"/>
          <w:vertAlign w:val="subscript"/>
        </w:rPr>
      </w:pPr>
    </w:p>
    <w:p>
      <w:pPr>
        <w:ind w:left="540" w:right="40" w:hanging="532"/>
        <w:spacing w:after="0" w:line="188" w:lineRule="auto"/>
        <w:tabs>
          <w:tab w:leader="none" w:pos="540" w:val="left"/>
        </w:tabs>
        <w:numPr>
          <w:ilvl w:val="0"/>
          <w:numId w:val="38"/>
        </w:numPr>
        <w:rPr>
          <w:rFonts w:ascii="Arial" w:cs="Arial" w:eastAsia="Arial" w:hAnsi="Arial"/>
          <w:sz w:val="26"/>
          <w:szCs w:val="26"/>
          <w:color w:val="auto"/>
          <w:vertAlign w:val="subscript"/>
        </w:rPr>
      </w:pPr>
      <w:r>
        <w:rPr>
          <w:rFonts w:ascii="Arial" w:cs="Arial" w:eastAsia="Arial" w:hAnsi="Arial"/>
          <w:sz w:val="13"/>
          <w:szCs w:val="13"/>
          <w:color w:val="auto"/>
        </w:rPr>
        <w:t>Includes interest expense on the second mortgage notes, and expected interest expense and commitment fees on the revolving credit facility, the term loan facility and FF&amp;E facility through the scheduled opening date. Interest on the revolving credit facility, the term loan facility and FF&amp;E facility has been computed assuming a LIBOR rate ranging from 2% to 4%, plus the applicable margin, which is a 4% margin for the revolving credit facility and the FF&amp;E facility and a 4.25% margin for the delay draw term loan facility.</w:t>
      </w:r>
    </w:p>
    <w:p>
      <w:pPr>
        <w:spacing w:after="0" w:line="1" w:lineRule="exact"/>
        <w:rPr>
          <w:rFonts w:ascii="Arial" w:cs="Arial" w:eastAsia="Arial" w:hAnsi="Arial"/>
          <w:sz w:val="26"/>
          <w:szCs w:val="26"/>
          <w:color w:val="auto"/>
          <w:vertAlign w:val="subscript"/>
        </w:rPr>
      </w:pPr>
    </w:p>
    <w:p>
      <w:pPr>
        <w:ind w:left="540" w:hanging="532"/>
        <w:spacing w:after="0" w:line="187" w:lineRule="auto"/>
        <w:tabs>
          <w:tab w:leader="none" w:pos="540" w:val="left"/>
        </w:tabs>
        <w:numPr>
          <w:ilvl w:val="0"/>
          <w:numId w:val="38"/>
        </w:numPr>
        <w:rPr>
          <w:rFonts w:ascii="Arial" w:cs="Arial" w:eastAsia="Arial" w:hAnsi="Arial"/>
          <w:sz w:val="27"/>
          <w:szCs w:val="27"/>
          <w:color w:val="auto"/>
          <w:vertAlign w:val="subscript"/>
        </w:rPr>
      </w:pPr>
      <w:r>
        <w:rPr>
          <w:rFonts w:ascii="Arial" w:cs="Arial" w:eastAsia="Arial" w:hAnsi="Arial"/>
          <w:sz w:val="14"/>
          <w:szCs w:val="14"/>
          <w:color w:val="auto"/>
        </w:rPr>
        <w:t>Represents the operating cash needed to open Le Rêve, including purchasing the initial retail inventory and food and beverage inventory.</w:t>
      </w:r>
    </w:p>
    <w:p>
      <w:pPr>
        <w:spacing w:after="0" w:line="71" w:lineRule="exact"/>
        <w:rPr>
          <w:rFonts w:ascii="Arial" w:cs="Arial" w:eastAsia="Arial" w:hAnsi="Arial"/>
          <w:sz w:val="27"/>
          <w:szCs w:val="27"/>
          <w:color w:val="auto"/>
          <w:vertAlign w:val="subscript"/>
        </w:rPr>
      </w:pPr>
    </w:p>
    <w:p>
      <w:pPr>
        <w:ind w:left="540" w:hanging="532"/>
        <w:spacing w:after="0" w:line="188" w:lineRule="auto"/>
        <w:tabs>
          <w:tab w:leader="none" w:pos="540" w:val="left"/>
        </w:tabs>
        <w:numPr>
          <w:ilvl w:val="0"/>
          <w:numId w:val="38"/>
        </w:numPr>
        <w:rPr>
          <w:rFonts w:ascii="Arial" w:cs="Arial" w:eastAsia="Arial" w:hAnsi="Arial"/>
          <w:sz w:val="26"/>
          <w:szCs w:val="26"/>
          <w:color w:val="auto"/>
          <w:vertAlign w:val="subscript"/>
        </w:rPr>
      </w:pPr>
      <w:r>
        <w:rPr>
          <w:rFonts w:ascii="Arial" w:cs="Arial" w:eastAsia="Arial" w:hAnsi="Arial"/>
          <w:sz w:val="13"/>
          <w:szCs w:val="13"/>
          <w:color w:val="auto"/>
        </w:rPr>
        <w:t>Wynn Resorts will contribute $50.0 million of the net proceeds of this offering to a special purpose entity formed with the intention of being bankruptcy-remote. This special purpose subsidiary will use these funds to provide a $50.0 million completion guarantee in favor of the lenders under the credit facilities and the second mortgage note holders in connection with the construction and opening of Le Rêve.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40" w:right="40" w:hanging="532"/>
        <w:spacing w:after="0" w:line="186" w:lineRule="auto"/>
        <w:tabs>
          <w:tab w:leader="none" w:pos="540" w:val="left"/>
        </w:tabs>
        <w:numPr>
          <w:ilvl w:val="0"/>
          <w:numId w:val="39"/>
        </w:numPr>
        <w:rPr>
          <w:rFonts w:ascii="Arial" w:cs="Arial" w:eastAsia="Arial" w:hAnsi="Arial"/>
          <w:sz w:val="24"/>
          <w:szCs w:val="24"/>
          <w:color w:val="auto"/>
          <w:vertAlign w:val="subscript"/>
        </w:rPr>
      </w:pPr>
      <w:r>
        <w:rPr>
          <w:rFonts w:ascii="Arial" w:cs="Arial" w:eastAsia="Arial" w:hAnsi="Arial"/>
          <w:sz w:val="12"/>
          <w:szCs w:val="12"/>
          <w:color w:val="auto"/>
        </w:rPr>
        <w:t>Wynn Resorts will contribute $30.0 million of the net proceeds of this offering to Wynn Las Vegas, which will be placed in a liquidity reserve account to be used in case there are not sufficient funds to complete Le Rêve. The liquidity reserve account will be pledged to the lenders under the credit facilities and the second mortgage note holders.</w:t>
      </w:r>
    </w:p>
    <w:p>
      <w:pPr>
        <w:ind w:left="540" w:hanging="532"/>
        <w:spacing w:after="0" w:line="187" w:lineRule="auto"/>
        <w:tabs>
          <w:tab w:leader="none" w:pos="540" w:val="left"/>
        </w:tabs>
        <w:numPr>
          <w:ilvl w:val="0"/>
          <w:numId w:val="39"/>
        </w:numPr>
        <w:rPr>
          <w:rFonts w:ascii="Arial" w:cs="Arial" w:eastAsia="Arial" w:hAnsi="Arial"/>
          <w:sz w:val="27"/>
          <w:szCs w:val="27"/>
          <w:color w:val="auto"/>
          <w:vertAlign w:val="subscript"/>
        </w:rPr>
      </w:pPr>
      <w:r>
        <w:rPr>
          <w:rFonts w:ascii="Arial" w:cs="Arial" w:eastAsia="Arial" w:hAnsi="Arial"/>
          <w:sz w:val="14"/>
          <w:szCs w:val="14"/>
          <w:color w:val="auto"/>
        </w:rPr>
        <w:t>Includes fees and expenses related to (a) this offering, (b) the second mortgage note offering and (c) the revolving credit facility, the term loan facility and the FF&amp;E facility.</w:t>
      </w:r>
    </w:p>
    <w:p>
      <w:pPr>
        <w:spacing w:after="0" w:line="85" w:lineRule="exact"/>
        <w:rPr>
          <w:rFonts w:ascii="Arial" w:cs="Arial" w:eastAsia="Arial" w:hAnsi="Arial"/>
          <w:sz w:val="27"/>
          <w:szCs w:val="27"/>
          <w:color w:val="auto"/>
          <w:vertAlign w:val="subscript"/>
        </w:rPr>
      </w:pPr>
    </w:p>
    <w:p>
      <w:pPr>
        <w:ind w:left="540" w:right="100" w:hanging="532"/>
        <w:spacing w:after="0" w:line="186" w:lineRule="auto"/>
        <w:tabs>
          <w:tab w:leader="none" w:pos="540" w:val="left"/>
        </w:tabs>
        <w:numPr>
          <w:ilvl w:val="0"/>
          <w:numId w:val="39"/>
        </w:numPr>
        <w:rPr>
          <w:rFonts w:ascii="Arial" w:cs="Arial" w:eastAsia="Arial" w:hAnsi="Arial"/>
          <w:sz w:val="24"/>
          <w:szCs w:val="24"/>
          <w:color w:val="auto"/>
          <w:vertAlign w:val="subscript"/>
        </w:rPr>
      </w:pPr>
      <w:r>
        <w:rPr>
          <w:rFonts w:ascii="Arial" w:cs="Arial" w:eastAsia="Arial" w:hAnsi="Arial"/>
          <w:sz w:val="12"/>
          <w:szCs w:val="12"/>
          <w:color w:val="auto"/>
        </w:rPr>
        <w:t>Represents expenditures in connection with negotiation of the Macau concession agreement, including Wynn Macau's share of a capital contribution required by Macau law. Does not include amounts necessary to finance the design, construction, development, equipping and opening of casino(s) in Macau.</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Wynn Resorts has never declared or paid cash dividends on its capital stock. We currently intend to retain all available funds and any future earnings to fund the design, construction development, equipping and opening of Le Rêve and to otherwise fund the development and growth of our business and, therefore, Wynn Resorts does not anticipate paying any cash dividends on its shares of common stock in the foreseeable future. Wynn Resorts is a holding company and, as a result, its ability to pay dividends is dependent on its subsidiaries' ability to provide funds to it. Since we expect the credit facilities, the FF&amp;E facility and the indenture governing the second mortgage notes to restrict our subsidiaries' ability to provide funds to Wynn Resorts, funds from subsidiaries of Wynn Resorts are not expected to be available to Wynn Resorts for the payment of dividends. Wynn Resorts' future dividend policy will also depend on the requirements of any future financing agreements to which it may be a party and other factors considered relevant by its board of directors, including the provisions of the Nevada Revised Statutes which govern corporations. The Nevada Revised Statutes generally provide that distributions may not be made if after any distribution Wynn Resorts would not be able to pay its debts as they become due in the usual course of business or its total assets would be less than the sum of its total liabilities plus any amounts needed to satisfy the preferential rights of stockholders if it were dissolved at the time of the distribution. Wynn Resorts' board of directors has the authority to issue one or more series of preferred stock without actions of the stockholders. The issuance of preferred stock could have the effect of limiting dividends on the common stock. Upon the consummation of this offering, Wynn Resorts' articles of incorporation will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Wynn Resorts' capitalization as of June 30, 2002:</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an actual basis;</w:t>
      </w:r>
    </w:p>
    <w:p>
      <w:pPr>
        <w:sectPr>
          <w:pgSz w:w="11900" w:h="16893" w:orient="portrait"/>
          <w:cols w:equalWidth="0" w:num="1">
            <w:col w:w="11420"/>
          </w:cols>
          <w:pgMar w:left="240" w:top="85" w:right="239" w:bottom="0" w:gutter="0" w:footer="0" w:header="0"/>
        </w:sect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a pro forma basis to give effect on the closing date of this offering to the sale of shares of Wynn Resorts' common stock in this offering at an assumed initial public offering price of $ per share, which is the mid-point of the initial public offering price range set forth on the cover of this prospectus, the expected concurrent sale of $350 million in aggregate principal amount of the second mortgage notes and the intended application of the net proceeds of both offerings, net of underwriting discounts and commissions and estimated expenses;</w:t>
      </w:r>
    </w:p>
    <w:p>
      <w:pPr>
        <w:spacing w:after="0" w:line="194" w:lineRule="exact"/>
        <w:rPr>
          <w:sz w:val="20"/>
          <w:szCs w:val="20"/>
          <w:color w:val="auto"/>
        </w:rPr>
      </w:pPr>
    </w:p>
    <w:p>
      <w:pPr>
        <w:sectPr>
          <w:pgSz w:w="11900" w:h="16893" w:orient="portrait"/>
          <w:cols w:equalWidth="0" w:num="2">
            <w:col w:w="600" w:space="480"/>
            <w:col w:w="10340"/>
          </w:cols>
          <w:pgMar w:left="240" w:top="85" w:right="239" w:bottom="0" w:gutter="0" w:footer="0" w:header="0"/>
          <w:type w:val="continuous"/>
        </w:sectPr>
      </w:pPr>
    </w:p>
    <w:p>
      <w:pPr>
        <w:ind w:left="1080" w:right="220" w:hanging="532"/>
        <w:spacing w:after="0" w:line="306"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a pro forma, as adjusted basis once all of the funding under the revolving credit facility, the delay draw term loan, the second mortgage note offering and the FF&amp;E facility expected to be necessary for the construction of Le Rêve has occurred. See "Use of Proceeds." We have assumed that approximately $701.4 million of the $750 million revolving credit facility will be drawn for the construction of Le Rêve; and</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93" w:orient="portrait"/>
          <w:cols w:equalWidth="0" w:num="1">
            <w:col w:w="11420"/>
          </w:cols>
          <w:pgMar w:left="240" w:top="85" w:right="239" w:bottom="0" w:gutter="0" w:footer="0" w:header="0"/>
          <w:type w:val="continuous"/>
        </w:sectPr>
      </w:pPr>
    </w:p>
    <w:bookmarkStart w:id="29" w:name="page30"/>
    <w:bookmarkEnd w:id="29"/>
    <w:p>
      <w:pPr>
        <w:ind w:left="1080"/>
        <w:spacing w:after="0"/>
        <w:rPr>
          <w:sz w:val="20"/>
          <w:szCs w:val="20"/>
          <w:color w:val="auto"/>
        </w:rPr>
      </w:pPr>
      <w:r>
        <w:rPr>
          <w:rFonts w:ascii="Arial" w:cs="Arial" w:eastAsia="Arial" w:hAnsi="Arial"/>
          <w:sz w:val="18"/>
          <w:szCs w:val="18"/>
          <w:color w:val="auto"/>
        </w:rPr>
        <w:t>in each case, without giving effect to any financing necessary to develop the Macau opportunity.</w:t>
      </w:r>
    </w:p>
    <w:p>
      <w:pPr>
        <w:spacing w:after="0" w:line="225" w:lineRule="exact"/>
        <w:rPr>
          <w:sz w:val="20"/>
          <w:szCs w:val="20"/>
          <w:color w:val="auto"/>
        </w:rPr>
      </w:pPr>
    </w:p>
    <w:p>
      <w:pPr>
        <w:ind w:right="100" w:firstLine="345"/>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financial statements and the accompanying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jc w:val="right"/>
              <w:ind w:right="201"/>
              <w:spacing w:after="0"/>
              <w:rPr>
                <w:sz w:val="20"/>
                <w:szCs w:val="20"/>
                <w:color w:val="auto"/>
              </w:rPr>
            </w:pPr>
            <w:r>
              <w:rPr>
                <w:rFonts w:ascii="Arial" w:cs="Arial" w:eastAsia="Arial" w:hAnsi="Arial"/>
                <w:sz w:val="14"/>
                <w:szCs w:val="14"/>
                <w:b w:val="1"/>
                <w:bCs w:val="1"/>
                <w:color w:val="auto"/>
              </w:rPr>
              <w:t>As of June 30, 2002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right"/>
              <w:ind w:right="421"/>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Pro Forma, as 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0"/>
              </w:rPr>
              <w:t>Pro Forma for the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8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Borrowings Expected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85"/>
              </w:rPr>
              <w:t>Second Mortgage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1"/>
              </w:rPr>
              <w:t>be Necessary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tcPr>
          <w:p>
            <w:pPr>
              <w:jc w:val="center"/>
              <w:ind w:right="221"/>
              <w:spacing w:after="0"/>
              <w:rPr>
                <w:sz w:val="20"/>
                <w:szCs w:val="20"/>
                <w:color w:val="auto"/>
              </w:rPr>
            </w:pPr>
            <w:r>
              <w:rPr>
                <w:rFonts w:ascii="Arial" w:cs="Arial" w:eastAsia="Arial" w:hAnsi="Arial"/>
                <w:sz w:val="14"/>
                <w:szCs w:val="14"/>
                <w:b w:val="1"/>
                <w:bCs w:val="1"/>
                <w:color w:val="auto"/>
                <w:w w:val="88"/>
              </w:rPr>
              <w:t>Note Offerings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8"/>
              <w:spacing w:after="0"/>
              <w:rPr>
                <w:sz w:val="20"/>
                <w:szCs w:val="20"/>
                <w:color w:val="auto"/>
              </w:rPr>
            </w:pPr>
            <w:r>
              <w:rPr>
                <w:rFonts w:ascii="Arial" w:cs="Arial" w:eastAsia="Arial" w:hAnsi="Arial"/>
                <w:sz w:val="14"/>
                <w:szCs w:val="14"/>
                <w:b w:val="1"/>
                <w:bCs w:val="1"/>
                <w:color w:val="auto"/>
                <w:w w:val="87"/>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ind w:left="180"/>
              <w:spacing w:after="0"/>
              <w:rPr>
                <w:sz w:val="20"/>
                <w:szCs w:val="20"/>
                <w:color w:val="auto"/>
              </w:rPr>
            </w:pPr>
            <w:r>
              <w:rPr>
                <w:rFonts w:ascii="Arial" w:cs="Arial" w:eastAsia="Arial" w:hAnsi="Arial"/>
                <w:sz w:val="18"/>
                <w:szCs w:val="18"/>
                <w:color w:val="auto"/>
              </w:rPr>
              <w:t>Revolving credit facility(1)</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Delay draw term loan facility(1)</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ind w:left="180"/>
              <w:spacing w:after="0"/>
              <w:rPr>
                <w:sz w:val="20"/>
                <w:szCs w:val="20"/>
                <w:color w:val="auto"/>
              </w:rPr>
            </w:pPr>
            <w:r>
              <w:rPr>
                <w:rFonts w:ascii="Arial" w:cs="Arial" w:eastAsia="Arial" w:hAnsi="Arial"/>
                <w:sz w:val="18"/>
                <w:szCs w:val="18"/>
                <w:color w:val="auto"/>
              </w:rPr>
              <w:t>FF&amp;E facility(2)</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Second mortgage notes(3)</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ind w:left="180"/>
              <w:spacing w:after="0"/>
              <w:rPr>
                <w:sz w:val="20"/>
                <w:szCs w:val="20"/>
                <w:color w:val="auto"/>
              </w:rPr>
            </w:pPr>
            <w:r>
              <w:rPr>
                <w:rFonts w:ascii="Arial" w:cs="Arial" w:eastAsia="Arial" w:hAnsi="Arial"/>
                <w:sz w:val="18"/>
                <w:szCs w:val="18"/>
                <w:color w:val="auto"/>
              </w:rPr>
              <w:t>Other long-term debt(4)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92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EEFF"/>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908.8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-2613025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-2613025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-1986915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-1986915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-1986915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-1986915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-1986915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-1986915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-923290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-923290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-923290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-923290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-923290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-923290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-477520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-477520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-477520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-477520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-477520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140" w:hanging="532"/>
        <w:spacing w:after="0" w:line="196" w:lineRule="auto"/>
        <w:tabs>
          <w:tab w:leader="none" w:pos="540" w:val="left"/>
        </w:tabs>
        <w:numPr>
          <w:ilvl w:val="0"/>
          <w:numId w:val="42"/>
        </w:numPr>
        <w:rPr>
          <w:rFonts w:ascii="Arial" w:cs="Arial" w:eastAsia="Arial" w:hAnsi="Arial"/>
          <w:sz w:val="27"/>
          <w:szCs w:val="27"/>
          <w:color w:val="auto"/>
          <w:vertAlign w:val="subscript"/>
        </w:rPr>
      </w:pPr>
      <w:r>
        <w:rPr>
          <w:rFonts w:ascii="Arial" w:cs="Arial" w:eastAsia="Arial" w:hAnsi="Arial"/>
          <w:sz w:val="14"/>
          <w:szCs w:val="14"/>
          <w:color w:val="auto"/>
        </w:rPr>
        <w:t>Wynn Las Vegas, Wynn Golf Course and Valvino have entered into a commitment letter with Deutsche Bank Securities Inc., Banc of America Securities LLC, Bear, Stearns &amp; Co. Inc. and certain of their affiliates for a $750.0 million revolving credit facility and a $250.0 million delay draw term loan facility. See "Description of Certain Indebtedness." These facilities will close concurrently with the closing of this offering. We expect to begin to borrow under these facilities, subject to satisfaction of the conditions in the disbursement agreement, approximately 16-19 months after the consummation of this offering and after expending all of the net proceeds of this offering. We anticipate that we will borrow approximately $701.4 million of the $750.0 million available under the revolving credit facility and the full $250.0 million available under the term loan facility to fund design, development, construction, equipping and opening of Le Rêve, assuming that Le Rêve opens within budget and on schedule.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40" w:right="80" w:hanging="532"/>
        <w:spacing w:after="0" w:line="196" w:lineRule="auto"/>
        <w:tabs>
          <w:tab w:leader="none" w:pos="540" w:val="left"/>
        </w:tabs>
        <w:numPr>
          <w:ilvl w:val="0"/>
          <w:numId w:val="43"/>
        </w:numPr>
        <w:rPr>
          <w:rFonts w:ascii="Arial" w:cs="Arial" w:eastAsia="Arial" w:hAnsi="Arial"/>
          <w:sz w:val="27"/>
          <w:szCs w:val="27"/>
          <w:color w:val="auto"/>
          <w:vertAlign w:val="subscript"/>
        </w:rPr>
      </w:pPr>
      <w:r>
        <w:rPr>
          <w:rFonts w:ascii="Arial" w:cs="Arial" w:eastAsia="Arial" w:hAnsi="Arial"/>
          <w:sz w:val="14"/>
          <w:szCs w:val="14"/>
          <w:color w:val="auto"/>
        </w:rPr>
        <w:t>Wynn Las Vegas has entered into an engagement letter with Bank of America, N.A., Banc of America Leasing &amp; Capital LLC and Deutsche Bank Securities Inc. for a $178.5 million FF&amp;E facility, which is currently syndicated. This facility will close concurrently with the closing of this offering. Wynn Las Vegas intends to use approximately $28.5 million of borrowings under the FF&amp;E facility to refinance a loan made by Bank of America, N.A. to World Travel, LLC, a wholly-owned subsidiary of Valvino.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Party Transactions—Aircraft Arrangements." World Travel intends to issue Wynn Las Vegas an intercompany note in the amount of the funds received by World Travel to repay the Bank of America loan.</w:t>
      </w:r>
    </w:p>
    <w:p>
      <w:pPr>
        <w:spacing w:after="0" w:line="74" w:lineRule="exact"/>
        <w:rPr>
          <w:rFonts w:ascii="Arial" w:cs="Arial" w:eastAsia="Arial" w:hAnsi="Arial"/>
          <w:sz w:val="27"/>
          <w:szCs w:val="27"/>
          <w:color w:val="auto"/>
          <w:vertAlign w:val="subscript"/>
        </w:rPr>
      </w:pPr>
    </w:p>
    <w:p>
      <w:pPr>
        <w:ind w:left="540" w:right="20" w:hanging="532"/>
        <w:spacing w:after="0" w:line="186" w:lineRule="auto"/>
        <w:tabs>
          <w:tab w:leader="none" w:pos="540" w:val="left"/>
        </w:tabs>
        <w:numPr>
          <w:ilvl w:val="0"/>
          <w:numId w:val="43"/>
        </w:numPr>
        <w:rPr>
          <w:rFonts w:ascii="Arial" w:cs="Arial" w:eastAsia="Arial" w:hAnsi="Arial"/>
          <w:sz w:val="24"/>
          <w:szCs w:val="24"/>
          <w:color w:val="auto"/>
          <w:vertAlign w:val="subscript"/>
        </w:rPr>
      </w:pPr>
      <w:r>
        <w:rPr>
          <w:rFonts w:ascii="Arial" w:cs="Arial" w:eastAsia="Arial" w:hAnsi="Arial"/>
          <w:sz w:val="12"/>
          <w:szCs w:val="12"/>
          <w:color w:val="auto"/>
        </w:rPr>
        <w:t>We expect to begin to request disbursements of the second mortgage note proceeds, subject to satisfaction of the conditions in the disbursement agreement, approximately ten to twelve months after the consummation of this offering and after expending all of the net proceeds of this offering.</w:t>
      </w:r>
    </w:p>
    <w:p>
      <w:pPr>
        <w:spacing w:after="0" w:line="70" w:lineRule="exact"/>
        <w:rPr>
          <w:rFonts w:ascii="Arial" w:cs="Arial" w:eastAsia="Arial" w:hAnsi="Arial"/>
          <w:sz w:val="24"/>
          <w:szCs w:val="24"/>
          <w:color w:val="auto"/>
          <w:vertAlign w:val="subscript"/>
        </w:rPr>
      </w:pPr>
    </w:p>
    <w:p>
      <w:pPr>
        <w:ind w:left="540" w:right="260" w:hanging="532"/>
        <w:spacing w:after="0" w:line="188" w:lineRule="auto"/>
        <w:tabs>
          <w:tab w:leader="none" w:pos="540" w:val="left"/>
        </w:tabs>
        <w:numPr>
          <w:ilvl w:val="0"/>
          <w:numId w:val="43"/>
        </w:numPr>
        <w:rPr>
          <w:rFonts w:ascii="Arial" w:cs="Arial" w:eastAsia="Arial" w:hAnsi="Arial"/>
          <w:sz w:val="26"/>
          <w:szCs w:val="26"/>
          <w:color w:val="auto"/>
          <w:vertAlign w:val="subscript"/>
        </w:rPr>
      </w:pPr>
      <w:r>
        <w:rPr>
          <w:rFonts w:ascii="Arial" w:cs="Arial" w:eastAsia="Arial" w:hAnsi="Arial"/>
          <w:sz w:val="13"/>
          <w:szCs w:val="13"/>
          <w:color w:val="auto"/>
        </w:rPr>
        <w:t>Includes a $28.5 million loan outstanding to Bank of America, N.A., with respect to the aircraft. See footnote (2). Also 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public offering price per share of our common stock and the pro forma net tangible book value per share of common stock upon completion of this offering.</w:t>
      </w:r>
    </w:p>
    <w:p>
      <w:pPr>
        <w:spacing w:after="0" w:line="186"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net tangible book value of our common stock on June 30, 2002 was $ million, or approximately $ per share. Net tangible book value per share represents the amount of our total tangible assets less total liabilities, divided by the number of shares of common stock outstanding. Dilution in net tangible book value per share represents the difference between the amount per share paid by purchasers of shares of our common stock in this offering and the net tangible book value per share of our common stock immediately afterwards. After giving effect to the sale of shares in this offering at an assumed initial</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gridSpan w:val="2"/>
          </w:tcPr>
          <w:p>
            <w:pPr>
              <w:spacing w:after="0"/>
              <w:rPr>
                <w:sz w:val="20"/>
                <w:szCs w:val="20"/>
                <w:color w:val="auto"/>
              </w:rPr>
            </w:pPr>
            <w:r>
              <w:rPr>
                <w:rFonts w:ascii="Arial" w:cs="Arial" w:eastAsia="Arial" w:hAnsi="Arial"/>
                <w:sz w:val="18"/>
                <w:szCs w:val="18"/>
                <w:color w:val="auto"/>
              </w:rPr>
              <w:t>public offering price of $</w:t>
            </w:r>
          </w:p>
        </w:tc>
        <w:tc>
          <w:tcPr>
            <w:tcW w:w="9080" w:type="dxa"/>
            <w:vAlign w:val="bottom"/>
            <w:gridSpan w:val="4"/>
          </w:tcPr>
          <w:p>
            <w:pPr>
              <w:ind w:left="60"/>
              <w:spacing w:after="0"/>
              <w:rPr>
                <w:sz w:val="20"/>
                <w:szCs w:val="20"/>
                <w:color w:val="auto"/>
              </w:rPr>
            </w:pPr>
            <w:r>
              <w:rPr>
                <w:rFonts w:ascii="Arial" w:cs="Arial" w:eastAsia="Arial" w:hAnsi="Arial"/>
                <w:sz w:val="18"/>
                <w:szCs w:val="18"/>
                <w:color w:val="auto"/>
                <w:w w:val="92"/>
              </w:rPr>
              <w:t>per share, which is the mid-point of the initial public offering price range set forth on the cover of this prospectus, and after</w:t>
            </w:r>
          </w:p>
        </w:tc>
        <w:tc>
          <w:tcPr>
            <w:tcW w:w="0" w:type="dxa"/>
            <w:vAlign w:val="bottom"/>
          </w:tcPr>
          <w:p>
            <w:pPr>
              <w:spacing w:after="0"/>
              <w:rPr>
                <w:sz w:val="1"/>
                <w:szCs w:val="1"/>
                <w:color w:val="auto"/>
              </w:rPr>
            </w:pPr>
          </w:p>
        </w:tc>
      </w:tr>
      <w:tr>
        <w:trPr>
          <w:trHeight w:val="216"/>
        </w:trPr>
        <w:tc>
          <w:tcPr>
            <w:tcW w:w="9320" w:type="dxa"/>
            <w:vAlign w:val="bottom"/>
            <w:gridSpan w:val="5"/>
          </w:tcPr>
          <w:p>
            <w:pPr>
              <w:spacing w:after="0"/>
              <w:rPr>
                <w:sz w:val="20"/>
                <w:szCs w:val="20"/>
                <w:color w:val="auto"/>
              </w:rPr>
            </w:pPr>
            <w:r>
              <w:rPr>
                <w:rFonts w:ascii="Arial" w:cs="Arial" w:eastAsia="Arial" w:hAnsi="Arial"/>
                <w:sz w:val="18"/>
                <w:szCs w:val="18"/>
                <w:color w:val="auto"/>
                <w:w w:val="89"/>
              </w:rPr>
              <w:t>deducting estimated underwriting discounts and commissions and offering expenses payable by us, our net tangible book value at</w:t>
            </w:r>
          </w:p>
        </w:tc>
        <w:tc>
          <w:tcPr>
            <w:tcW w:w="2000" w:type="dxa"/>
            <w:vAlign w:val="bottom"/>
          </w:tcPr>
          <w:p>
            <w:pPr>
              <w:ind w:left="320"/>
              <w:spacing w:after="0"/>
              <w:rPr>
                <w:sz w:val="20"/>
                <w:szCs w:val="20"/>
                <w:color w:val="auto"/>
              </w:rPr>
            </w:pPr>
            <w:r>
              <w:rPr>
                <w:rFonts w:ascii="Arial" w:cs="Arial" w:eastAsia="Arial" w:hAnsi="Arial"/>
                <w:sz w:val="18"/>
                <w:szCs w:val="18"/>
                <w:color w:val="auto"/>
                <w:w w:val="86"/>
              </w:rPr>
              <w:t>, 2002 would have been</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Arial" w:cs="Arial" w:eastAsia="Arial" w:hAnsi="Arial"/>
                <w:sz w:val="18"/>
                <w:szCs w:val="18"/>
                <w:color w:val="auto"/>
                <w:w w:val="96"/>
              </w:rPr>
              <w:t>approximately $  million, or $</w:t>
            </w:r>
          </w:p>
        </w:tc>
        <w:tc>
          <w:tcPr>
            <w:tcW w:w="7080" w:type="dxa"/>
            <w:vAlign w:val="bottom"/>
            <w:gridSpan w:val="3"/>
          </w:tcPr>
          <w:p>
            <w:pPr>
              <w:jc w:val="right"/>
              <w:ind w:right="912"/>
              <w:spacing w:after="0"/>
              <w:rPr>
                <w:sz w:val="20"/>
                <w:szCs w:val="20"/>
                <w:color w:val="auto"/>
              </w:rPr>
            </w:pPr>
            <w:r>
              <w:rPr>
                <w:rFonts w:ascii="Arial" w:cs="Arial" w:eastAsia="Arial" w:hAnsi="Arial"/>
                <w:sz w:val="18"/>
                <w:szCs w:val="18"/>
                <w:color w:val="auto"/>
                <w:w w:val="94"/>
              </w:rPr>
              <w:t>per share. This represents an immediate increase in net tangible book value of $</w:t>
            </w:r>
          </w:p>
        </w:tc>
        <w:tc>
          <w:tcPr>
            <w:tcW w:w="2000" w:type="dxa"/>
            <w:vAlign w:val="bottom"/>
          </w:tcPr>
          <w:p>
            <w:pPr>
              <w:ind w:left="580"/>
              <w:spacing w:after="0"/>
              <w:rPr>
                <w:sz w:val="20"/>
                <w:szCs w:val="20"/>
                <w:color w:val="auto"/>
              </w:rPr>
            </w:pPr>
            <w:r>
              <w:rPr>
                <w:rFonts w:ascii="Arial" w:cs="Arial" w:eastAsia="Arial" w:hAnsi="Arial"/>
                <w:sz w:val="18"/>
                <w:szCs w:val="18"/>
                <w:color w:val="auto"/>
                <w:w w:val="86"/>
              </w:rPr>
              <w:t>per share to existing</w:t>
            </w:r>
          </w:p>
        </w:tc>
        <w:tc>
          <w:tcPr>
            <w:tcW w:w="0" w:type="dxa"/>
            <w:vAlign w:val="bottom"/>
          </w:tcPr>
          <w:p>
            <w:pPr>
              <w:spacing w:after="0"/>
              <w:rPr>
                <w:sz w:val="1"/>
                <w:szCs w:val="1"/>
                <w:color w:val="auto"/>
              </w:rPr>
            </w:pPr>
          </w:p>
        </w:tc>
      </w:tr>
      <w:tr>
        <w:trPr>
          <w:trHeight w:val="216"/>
        </w:trPr>
        <w:tc>
          <w:tcPr>
            <w:tcW w:w="5600" w:type="dxa"/>
            <w:vAlign w:val="bottom"/>
            <w:gridSpan w:val="3"/>
          </w:tcPr>
          <w:p>
            <w:pPr>
              <w:spacing w:after="0"/>
              <w:rPr>
                <w:sz w:val="20"/>
                <w:szCs w:val="20"/>
                <w:color w:val="auto"/>
              </w:rPr>
            </w:pPr>
            <w:r>
              <w:rPr>
                <w:rFonts w:ascii="Arial" w:cs="Arial" w:eastAsia="Arial" w:hAnsi="Arial"/>
                <w:sz w:val="18"/>
                <w:szCs w:val="18"/>
                <w:color w:val="auto"/>
              </w:rPr>
              <w:t>stockholders and an immediate dilution in net tangible book value of $</w:t>
            </w:r>
          </w:p>
        </w:tc>
        <w:tc>
          <w:tcPr>
            <w:tcW w:w="5720" w:type="dxa"/>
            <w:vAlign w:val="bottom"/>
            <w:gridSpan w:val="3"/>
          </w:tcPr>
          <w:p>
            <w:pPr>
              <w:ind w:left="420"/>
              <w:spacing w:after="0"/>
              <w:rPr>
                <w:sz w:val="20"/>
                <w:szCs w:val="20"/>
                <w:color w:val="auto"/>
              </w:rPr>
            </w:pPr>
            <w:r>
              <w:rPr>
                <w:rFonts w:ascii="Arial" w:cs="Arial" w:eastAsia="Arial" w:hAnsi="Arial"/>
                <w:sz w:val="18"/>
                <w:szCs w:val="18"/>
                <w:color w:val="auto"/>
                <w:w w:val="94"/>
              </w:rPr>
              <w:t>per share to new investors purchasing shares of common stock in this</w:t>
            </w:r>
          </w:p>
        </w:tc>
        <w:tc>
          <w:tcPr>
            <w:tcW w:w="0" w:type="dxa"/>
            <w:vAlign w:val="bottom"/>
          </w:tcPr>
          <w:p>
            <w:pPr>
              <w:spacing w:after="0"/>
              <w:rPr>
                <w:sz w:val="1"/>
                <w:szCs w:val="1"/>
                <w:color w:val="auto"/>
              </w:rPr>
            </w:pPr>
          </w:p>
        </w:tc>
      </w:tr>
      <w:tr>
        <w:trPr>
          <w:trHeight w:val="222"/>
        </w:trPr>
        <w:tc>
          <w:tcPr>
            <w:tcW w:w="5600" w:type="dxa"/>
            <w:vAlign w:val="bottom"/>
            <w:gridSpan w:val="3"/>
          </w:tcPr>
          <w:p>
            <w:pPr>
              <w:spacing w:after="0"/>
              <w:rPr>
                <w:sz w:val="20"/>
                <w:szCs w:val="20"/>
                <w:color w:val="auto"/>
              </w:rPr>
            </w:pPr>
            <w:r>
              <w:rPr>
                <w:rFonts w:ascii="Arial" w:cs="Arial" w:eastAsia="Arial" w:hAnsi="Arial"/>
                <w:sz w:val="18"/>
                <w:szCs w:val="18"/>
                <w:color w:val="auto"/>
                <w:w w:val="98"/>
              </w:rPr>
              <w:t>offering. The following table illustrates this dilution on a per share basis:</w:t>
            </w:r>
          </w:p>
        </w:tc>
        <w:tc>
          <w:tcPr>
            <w:tcW w:w="17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20" w:type="dxa"/>
            <w:vAlign w:val="bottom"/>
            <w:vMerge w:val="restart"/>
          </w:tcPr>
          <w:p>
            <w:pPr>
              <w:spacing w:after="0"/>
              <w:rPr>
                <w:sz w:val="18"/>
                <w:szCs w:val="18"/>
                <w:color w:val="auto"/>
              </w:rPr>
            </w:pPr>
          </w:p>
        </w:tc>
        <w:tc>
          <w:tcPr>
            <w:tcW w:w="34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Assumed initial public offering price per share</w:t>
            </w:r>
          </w:p>
        </w:tc>
        <w:tc>
          <w:tcPr>
            <w:tcW w:w="176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Net tangible book value per share at</w:t>
            </w:r>
          </w:p>
        </w:tc>
        <w:tc>
          <w:tcPr>
            <w:tcW w:w="1760" w:type="dxa"/>
            <w:vAlign w:val="bottom"/>
          </w:tcPr>
          <w:p>
            <w:pPr>
              <w:jc w:val="right"/>
              <w:ind w:right="1032"/>
              <w:spacing w:after="0"/>
              <w:rPr>
                <w:sz w:val="20"/>
                <w:szCs w:val="20"/>
                <w:color w:val="auto"/>
              </w:rPr>
            </w:pPr>
            <w:r>
              <w:rPr>
                <w:rFonts w:ascii="Arial" w:cs="Arial" w:eastAsia="Arial" w:hAnsi="Arial"/>
                <w:sz w:val="18"/>
                <w:szCs w:val="18"/>
                <w:color w:val="auto"/>
              </w:rPr>
              <w:t>, 2002</w:t>
            </w:r>
          </w:p>
        </w:tc>
        <w:tc>
          <w:tcPr>
            <w:tcW w:w="196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Increase per share attributable to this offering</w:t>
            </w:r>
          </w:p>
        </w:tc>
        <w:tc>
          <w:tcPr>
            <w:tcW w:w="176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63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19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Dilution in pro forma net tangible book value per share to new investors</w:t>
            </w:r>
          </w:p>
        </w:tc>
        <w:tc>
          <w:tcPr>
            <w:tcW w:w="19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table summarizes, on a pro forma basis to reflect the issuance of shares in this offering as of June 30, 2002, the total number of shares of Wynn Resorts' common stock, the total consideration paid and the average price per share paid by existing stockholders and by the new investors in this offering, calculated before deducting the estimated underwriting discounts and commissions and offering expenses:</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81280</wp:posOffset>
            </wp:positionV>
            <wp:extent cx="2868295" cy="12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68295" cy="1206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30" w:name="page31"/>
    <w:bookmarkEnd w:id="30"/>
    <w:tbl>
      <w:tblPr>
        <w:tblLayout w:type="fixed"/>
        <w:tblInd w:w="19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680" w:type="dxa"/>
            <w:vAlign w:val="bottom"/>
            <w:gridSpan w:val="3"/>
          </w:tcPr>
          <w:p>
            <w:pPr>
              <w:ind w:left="32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5"/>
                <w:szCs w:val="15"/>
                <w:color w:val="auto"/>
              </w:rPr>
            </w:pPr>
          </w:p>
        </w:tc>
        <w:tc>
          <w:tcPr>
            <w:tcW w:w="1680" w:type="dxa"/>
            <w:vAlign w:val="bottom"/>
            <w:gridSpan w:val="4"/>
          </w:tcPr>
          <w:p>
            <w:pPr>
              <w:ind w:left="260"/>
              <w:spacing w:after="0"/>
              <w:rPr>
                <w:sz w:val="20"/>
                <w:szCs w:val="20"/>
                <w:color w:val="auto"/>
              </w:rPr>
            </w:pPr>
            <w:r>
              <w:rPr>
                <w:rFonts w:ascii="Arial" w:cs="Arial" w:eastAsia="Arial" w:hAnsi="Arial"/>
                <w:sz w:val="14"/>
                <w:szCs w:val="14"/>
                <w:b w:val="1"/>
                <w:bCs w:val="1"/>
                <w:color w:val="auto"/>
              </w:rPr>
              <w:t>Total Consideration</w:t>
            </w:r>
          </w:p>
        </w:tc>
        <w:tc>
          <w:tcPr>
            <w:tcW w:w="240" w:type="dxa"/>
            <w:vAlign w:val="bottom"/>
          </w:tcPr>
          <w:p>
            <w:pPr>
              <w:spacing w:after="0"/>
              <w:rPr>
                <w:sz w:val="15"/>
                <w:szCs w:val="15"/>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-758190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-758190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-758190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-758190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-509905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-509905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-509905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-509905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-509905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-509905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-509905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-509905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-509905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-509905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80" w:lineRule="exact"/>
        <w:rPr>
          <w:sz w:val="20"/>
          <w:szCs w:val="20"/>
          <w:color w:val="auto"/>
        </w:rPr>
      </w:pPr>
    </w:p>
    <w:p>
      <w:pPr>
        <w:ind w:left="540" w:right="120" w:hanging="532"/>
        <w:spacing w:after="0" w:line="188" w:lineRule="auto"/>
        <w:tabs>
          <w:tab w:leader="none" w:pos="540" w:val="left"/>
        </w:tabs>
        <w:numPr>
          <w:ilvl w:val="0"/>
          <w:numId w:val="44"/>
        </w:numPr>
        <w:rPr>
          <w:rFonts w:ascii="Arial" w:cs="Arial" w:eastAsia="Arial" w:hAnsi="Arial"/>
          <w:sz w:val="26"/>
          <w:szCs w:val="26"/>
          <w:color w:val="auto"/>
          <w:vertAlign w:val="subscript"/>
        </w:rPr>
      </w:pPr>
      <w:r>
        <w:rPr>
          <w:rFonts w:ascii="Arial" w:cs="Arial" w:eastAsia="Arial" w:hAnsi="Arial"/>
          <w:sz w:val="13"/>
          <w:szCs w:val="13"/>
          <w:color w:val="auto"/>
        </w:rPr>
        <w:t>Includes the contribution by Mr. Wynn in April 2002 of his interest in Wynn Macau, which was valued at approximately $56 million by the parties in the negotiation of the contribution of Mr. Wynn's interest. See "Management's Discussion &amp; Analysis of Financial Condition and Results of Operations—Liquidity and Capital Resources—Material Transactions Affecting Liquidity and Capital Resources."</w:t>
      </w:r>
    </w:p>
    <w:p>
      <w:pPr>
        <w:spacing w:after="0" w:line="196"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preceding discussion and tables assume no exercise by the underwriters of their over-allotment option. 8,600,000 shares are reserved for issuance under our stock incentive plan. To the extent the over-allotment option is exercised, or any shares under the stock incentive plan are issued, there may be further dilution to new investors.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Stephen A. Wynn. </w:t>
      </w:r>
      <w:r>
        <w:rPr>
          <w:rFonts w:ascii="Arial" w:cs="Arial" w:eastAsia="Arial" w:hAnsi="Arial"/>
          <w:sz w:val="16"/>
          <w:szCs w:val="16"/>
          <w:color w:val="auto"/>
        </w:rPr>
        <w:t>From 1973 until 2000, Mr. Wynn served as the Chairman of the Board, President and Chief Executive Officer of Mirage Resorts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predecessor. Mr. Wynn has more than thirty years of experience in the gaming, hotel and tourism industries as a designer, developer and operator of hotel casino resorts. During his tenure, he led the design and development of the following five hotel casino resorts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fifty-four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 1998, is marked by its eight-acre lake of dancing fountains inspired by Lake Como of Northern Italy, as well as the show "O" produced and performed by the Cirque du Soleil organization.</w:t>
      </w:r>
    </w:p>
    <w:p>
      <w:pPr>
        <w:spacing w:after="0" w:line="198"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Under Mr. Wynn, Mirage Resorts was ranked as the second most admired company in the United States in the March 3, 1997 issue of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In that issue,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pacing w:after="0" w:line="197" w:lineRule="exact"/>
        <w:rPr>
          <w:sz w:val="20"/>
          <w:szCs w:val="20"/>
          <w:color w:val="auto"/>
        </w:rPr>
      </w:pPr>
    </w:p>
    <w:p>
      <w:pPr>
        <w:ind w:firstLine="345"/>
        <w:spacing w:after="0" w:line="310" w:lineRule="auto"/>
        <w:rPr>
          <w:sz w:val="20"/>
          <w:szCs w:val="20"/>
          <w:color w:val="auto"/>
        </w:rPr>
      </w:pPr>
      <w:r>
        <w:rPr>
          <w:rFonts w:ascii="Arial" w:cs="Arial" w:eastAsia="Arial" w:hAnsi="Arial"/>
          <w:sz w:val="15"/>
          <w:szCs w:val="15"/>
          <w:b w:val="1"/>
          <w:bCs w:val="1"/>
          <w:i w:val="1"/>
          <w:iCs w:val="1"/>
          <w:color w:val="auto"/>
        </w:rPr>
        <w:t xml:space="preserve">Aruze USA. </w:t>
      </w:r>
      <w:r>
        <w:rPr>
          <w:rFonts w:ascii="Arial" w:cs="Arial" w:eastAsia="Arial" w:hAnsi="Arial"/>
          <w:sz w:val="15"/>
          <w:szCs w:val="15"/>
          <w:color w:val="auto"/>
        </w:rPr>
        <w:t>Aruze USA, a Nevada corporation, is a wholly owned subsidiary of Aruze Corp., a Japanese manufacturer of pachislot and pachinko machines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video game software. As of August 16, 2002, Aruze Corp. had a market capitalization of approximately ¥221 billion, or approximately $1.9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 stops each individual reel by pushing a button in front of that reel. The pachislot machine has grown to be very popular in Japan. To date, Aruze Corp. has sold more than 1 million pachislot machine units. Aruze Corp. is now the largest manufacturer of pachislot machines in Japan and holds a significant share of Japan's pachislot machine market in terms of annual sales.</w:t>
      </w:r>
    </w:p>
    <w:p>
      <w:pPr>
        <w:spacing w:after="0" w:line="162"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Baron Asset Fund. </w:t>
      </w:r>
      <w:r>
        <w:rPr>
          <w:rFonts w:ascii="Arial" w:cs="Arial" w:eastAsia="Arial" w:hAnsi="Arial"/>
          <w:sz w:val="18"/>
          <w:szCs w:val="18"/>
          <w:color w:val="auto"/>
        </w:rPr>
        <w:t>Baron Asset Fund, a Massachusetts business trust, is comprised of four fund series, each of which is a publicly traded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 managed by BAMCO, Inc., a New York corporation. Together, these fund series hold total assets equal to almost $5 billion. Baron Asset Fund holds shares of Wynn Resorts on behalf of two of the fund series: the Baron Asset Fund Series and the Baron Growth Fund Series. Ron Baron is the Chairman and Chief Executive Officer of Baron Asset Fund and BAMCO.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prospectus.(1)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20" w:lineRule="exact"/>
        <w:rPr>
          <w:sz w:val="20"/>
          <w:szCs w:val="20"/>
          <w:color w:val="auto"/>
        </w:rPr>
      </w:pPr>
    </w:p>
    <w:p>
      <w:pPr>
        <w:sectPr>
          <w:pgSz w:w="11900" w:h="16838" w:orient="portrait"/>
          <w:cols w:equalWidth="0" w:num="1">
            <w:col w:w="11420"/>
          </w:cols>
          <w:pgMar w:left="240" w:top="680" w:right="23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Inception to</w:t>
            </w:r>
          </w:p>
        </w:tc>
        <w:tc>
          <w:tcPr>
            <w:tcW w:w="120" w:type="dxa"/>
            <w:vAlign w:val="bottom"/>
          </w:tcPr>
          <w:p>
            <w:pPr>
              <w:spacing w:after="0"/>
              <w:rPr>
                <w:sz w:val="14"/>
                <w:szCs w:val="14"/>
                <w:color w:val="auto"/>
              </w:rPr>
            </w:pPr>
          </w:p>
        </w:tc>
        <w:tc>
          <w:tcPr>
            <w:tcW w:w="15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Year Ended</w:t>
            </w:r>
          </w:p>
        </w:tc>
        <w:tc>
          <w:tcPr>
            <w:tcW w:w="1060" w:type="dxa"/>
            <w:vAlign w:val="bottom"/>
            <w:gridSpan w:val="4"/>
          </w:tcPr>
          <w:p>
            <w:pPr>
              <w:jc w:val="center"/>
              <w:ind w:left="204"/>
              <w:spacing w:after="0"/>
              <w:rPr>
                <w:sz w:val="20"/>
                <w:szCs w:val="20"/>
                <w:color w:val="auto"/>
              </w:rPr>
            </w:pPr>
            <w:r>
              <w:rPr>
                <w:rFonts w:ascii="Arial" w:cs="Arial" w:eastAsia="Arial" w:hAnsi="Arial"/>
                <w:sz w:val="14"/>
                <w:szCs w:val="14"/>
                <w:b w:val="1"/>
                <w:bCs w:val="1"/>
                <w:color w:val="auto"/>
                <w:w w:val="88"/>
              </w:rPr>
              <w:t>Six Months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Six Months</w:t>
            </w:r>
          </w:p>
        </w:tc>
        <w:tc>
          <w:tcPr>
            <w:tcW w:w="20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5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80" w:type="dxa"/>
            <w:vAlign w:val="bottom"/>
            <w:gridSpan w:val="2"/>
          </w:tcPr>
          <w:p>
            <w:pPr>
              <w:jc w:val="center"/>
              <w:ind w:left="384"/>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89"/>
              </w:rPr>
              <w:t>2000</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left="424"/>
              <w:spacing w:after="0" w:line="149" w:lineRule="exact"/>
              <w:rPr>
                <w:sz w:val="20"/>
                <w:szCs w:val="20"/>
                <w:color w:val="auto"/>
              </w:rPr>
            </w:pPr>
            <w:r>
              <w:rPr>
                <w:rFonts w:ascii="Arial" w:cs="Arial" w:eastAsia="Arial" w:hAnsi="Arial"/>
                <w:sz w:val="14"/>
                <w:szCs w:val="14"/>
                <w:b w:val="1"/>
                <w:bCs w:val="1"/>
                <w:color w:val="auto"/>
                <w:w w:val="89"/>
              </w:rPr>
              <w:t>2001</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left="224"/>
              <w:spacing w:after="0" w:line="149" w:lineRule="exact"/>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16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left="384"/>
              <w:spacing w:after="0" w:line="131" w:lineRule="exact"/>
              <w:rPr>
                <w:sz w:val="20"/>
                <w:szCs w:val="20"/>
                <w:color w:val="auto"/>
              </w:rPr>
            </w:pPr>
            <w:r>
              <w:rPr>
                <w:rFonts w:ascii="Arial" w:cs="Arial" w:eastAsia="Arial" w:hAnsi="Arial"/>
                <w:sz w:val="14"/>
                <w:szCs w:val="14"/>
                <w:b w:val="1"/>
                <w:bCs w:val="1"/>
                <w:color w:val="auto"/>
                <w:w w:val="83"/>
              </w:rPr>
              <w:t>2001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jc w:val="center"/>
              <w:ind w:right="399"/>
              <w:spacing w:after="0" w:line="131" w:lineRule="exact"/>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3"/>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60" w:type="dxa"/>
            <w:vAlign w:val="bottom"/>
            <w:gridSpan w:val="6"/>
          </w:tcPr>
          <w:p>
            <w:pPr>
              <w:ind w:left="8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Consolidated Statement of Operations Data:</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6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720" w:type="dxa"/>
            <w:vAlign w:val="bottom"/>
          </w:tcPr>
          <w:p>
            <w:pPr>
              <w:jc w:val="right"/>
              <w:ind w:right="564"/>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342</w:t>
            </w:r>
          </w:p>
        </w:tc>
        <w:tc>
          <w:tcPr>
            <w:tcW w:w="80" w:type="dxa"/>
            <w:vAlign w:val="bottom"/>
          </w:tcPr>
          <w:p>
            <w:pPr>
              <w:spacing w:after="0"/>
              <w:rPr>
                <w:sz w:val="21"/>
                <w:szCs w:val="21"/>
                <w:color w:val="auto"/>
              </w:rPr>
            </w:pPr>
          </w:p>
        </w:tc>
        <w:tc>
          <w:tcPr>
            <w:tcW w:w="500" w:type="dxa"/>
            <w:vAlign w:val="bottom"/>
            <w:gridSpan w:val="2"/>
          </w:tcPr>
          <w:p>
            <w:pPr>
              <w:jc w:val="right"/>
              <w:ind w:right="31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(10,572)</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(19,233)</w:t>
            </w: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(9,471)</w:t>
            </w: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(15,627)</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ind w:left="220"/>
              <w:spacing w:after="0"/>
              <w:rPr>
                <w:sz w:val="20"/>
                <w:szCs w:val="20"/>
                <w:color w:val="auto"/>
              </w:rPr>
            </w:pPr>
            <w:r>
              <w:rPr>
                <w:rFonts w:ascii="Arial" w:cs="Arial" w:eastAsia="Arial" w:hAnsi="Arial"/>
                <w:sz w:val="18"/>
                <w:szCs w:val="18"/>
                <w:color w:val="auto"/>
              </w:rPr>
              <w:t>Development Stage</w:t>
            </w:r>
          </w:p>
        </w:tc>
        <w:tc>
          <w:tcPr>
            <w:tcW w:w="24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(9,155)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(16,899)</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(7,935)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(14,693)</w:t>
            </w: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(40,747)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(82.24)</w:t>
            </w:r>
          </w:p>
        </w:tc>
        <w:tc>
          <w:tcPr>
            <w:tcW w:w="72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(39.04)</w:t>
            </w:r>
          </w:p>
        </w:tc>
        <w:tc>
          <w:tcPr>
            <w:tcW w:w="5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 2000</w:t>
            </w:r>
          </w:p>
        </w:tc>
        <w:tc>
          <w:tcPr>
            <w:tcW w:w="160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w w:val="94"/>
              </w:rPr>
              <w:t>June 30, 2002</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Borders>
              <w:bottom w:val="single" w:sz="8" w:color="808080"/>
            </w:tcBorders>
            <w:gridSpan w:val="3"/>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360" w:type="dxa"/>
            <w:vAlign w:val="bottom"/>
            <w:gridSpan w:val="2"/>
          </w:tcPr>
          <w:p>
            <w:pPr>
              <w:jc w:val="right"/>
              <w:ind w:right="44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388,467</w:t>
            </w:r>
          </w:p>
        </w:tc>
        <w:tc>
          <w:tcPr>
            <w:tcW w:w="260" w:type="dxa"/>
            <w:vAlign w:val="bottom"/>
          </w:tcPr>
          <w:p>
            <w:pPr>
              <w:spacing w:after="0"/>
              <w:rPr>
                <w:sz w:val="18"/>
                <w:szCs w:val="18"/>
                <w:color w:val="auto"/>
              </w:rPr>
            </w:pPr>
          </w:p>
        </w:tc>
        <w:tc>
          <w:tcPr>
            <w:tcW w:w="600" w:type="dxa"/>
            <w:vAlign w:val="bottom"/>
          </w:tcPr>
          <w:p>
            <w:pPr>
              <w:jc w:val="right"/>
              <w:ind w:right="44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390,788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586,407</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28,810</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383,417</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386,518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545,319</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-2415540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-2415540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-2415540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-2415540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-2320925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-2320925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-2320925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-2320925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-2415540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-2415540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-966470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-966470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-966470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-966470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-966470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-966470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440" w:hanging="532"/>
        <w:spacing w:after="0" w:line="186" w:lineRule="auto"/>
        <w:tabs>
          <w:tab w:leader="none" w:pos="540" w:val="left"/>
        </w:tabs>
        <w:numPr>
          <w:ilvl w:val="0"/>
          <w:numId w:val="45"/>
        </w:numPr>
        <w:rPr>
          <w:rFonts w:ascii="Arial" w:cs="Arial" w:eastAsia="Arial" w:hAnsi="Arial"/>
          <w:sz w:val="24"/>
          <w:szCs w:val="24"/>
          <w:color w:val="auto"/>
          <w:vertAlign w:val="subscript"/>
        </w:rPr>
      </w:pPr>
      <w:r>
        <w:rPr>
          <w:rFonts w:ascii="Arial" w:cs="Arial" w:eastAsia="Arial" w:hAnsi="Arial"/>
          <w:sz w:val="12"/>
          <w:szCs w:val="12"/>
          <w:color w:val="auto"/>
        </w:rPr>
        <w:t>As of June 30, 2002, Wynn Resorts had no assets, liabilities or operations. Until the contribution of the Valvino membership interests to Wynn Resorts, Wynn Resorts will not have any financial transactions reflected in its financial statements other than the initial issuance of one share of common stock and, therefore, financial statements of Wynn Resorts are not included herein.</w:t>
      </w:r>
    </w:p>
    <w:p>
      <w:pPr>
        <w:ind w:left="540" w:hanging="532"/>
        <w:spacing w:after="0" w:line="187" w:lineRule="auto"/>
        <w:tabs>
          <w:tab w:leader="none" w:pos="540" w:val="left"/>
        </w:tabs>
        <w:numPr>
          <w:ilvl w:val="0"/>
          <w:numId w:val="45"/>
        </w:numPr>
        <w:rPr>
          <w:rFonts w:ascii="Arial" w:cs="Arial" w:eastAsia="Arial" w:hAnsi="Arial"/>
          <w:sz w:val="27"/>
          <w:szCs w:val="27"/>
          <w:color w:val="auto"/>
          <w:vertAlign w:val="subscript"/>
        </w:rPr>
      </w:pPr>
      <w:r>
        <w:rPr>
          <w:rFonts w:ascii="Arial" w:cs="Arial" w:eastAsia="Arial" w:hAnsi="Arial"/>
          <w:sz w:val="14"/>
          <w:szCs w:val="14"/>
          <w:color w:val="auto"/>
        </w:rPr>
        <w:t>Includes the current portion of long-term debt.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historical financial statements and related notes included elsewhere in this prospectus. Some of the information contained in this discussion and analysis or set forth elsewhere in this prospectus, including information with respect to our plans and strategies for our business, includes forward-looking statements that involve risk and uncertainties. You should review the "Risk Factors" set forth elsewhere in this prospectus for a discussion of important factors which could cause actual results to differ materially from the results described in or implied by the forward-looking statements contained herein. See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Valvino was organized in April 2000. Wynn Resorts was formed in June 2002, and before the consummation of this offering, Mr. Wynn, Aruze USA, Baron Asset Fund and the Kenneth R. Wynn Family Trust will contribute their Valvino membership interests to Wynn Resorts in exchange for all of the issued and outstanding shares of Wynn Resorts. Since Valvino's formation, our activities have been limited principally to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 course located behind the hotel, will occupy approximately 192 acres of a 212-acre parcel of land at a premier location on the Las Vegas Strip in Las Vegas, Nevada. The site is the former location of the Desert Inn Resort &amp; Casino. We expect Le Rêve to commence operations in March 2005.</w:t>
      </w:r>
    </w:p>
    <w:p>
      <w:pPr>
        <w:spacing w:after="0" w:line="172"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Wynn Macau also has spent considerable time preparing and presenting to the Macau government a proposal to obtain a provisional concession to engage in gaming activities in Macau and negotiating the concession agreement and land concession. On June 24, 2002, Wynn Macau entered into a 20-year concession agreement with the government of Macau permitting Wynn Macau to construct and operate one or more casinos in Macau. The concession agreement obligates Wynn Macau to invest 4 billion patacas (currently approximately $500 million) on Macau-related projects by June 26, 2009 and to commence operations of its first permanent casino resort no later than December 2006. Wynn Macau, the entity which will own and operate Wynn Resorts' Macau operations, is majority-owned by Wynn Resorts through a series of wholly owned and partially owned domestic and foreign subsidiaries, none of which are guarantors of the second mortgage notes or the other debt facilities related to Le Rêve.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in the Registration Statement</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Resorts was recently formed with Stephen A. Wynn owning one share of common stock of the corporation. As of June 30, 2002, Wynn Resorts had no assets, liabilities or operations. Until the contribution of the Valvino membership interests to Wynn Resorts occurs and Valvino becomes a wholly owned subsidiary, Wynn Resorts will not have any financial transactions reflected in its financial statements other than the initial issuance of one share of common stock and therefore financial statements of Wynn Resorts are not included herein. Upon the contribution, approximately 189.7 shares of Wynn Resorts' common stock, rounded to the nearest share, will be issued in exchange for each common share of Valvino membership interests. Upon the contribution of membership interests, Wynn Resorts'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will reflect the financial position and results of operations of Valvino and its subsidiaries.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exchange of Wynn Resorts shares for contributed Valvino membership interests will be a tax-free contribution under the Internal Revenue Code and will be accounted for as a reorganization of entities under common control. Accordingly, Wynn Resorts will recognize the assets and liabilities transferred at their carrying value in the books and records of Valvino at the time of contribution. The financial statements of Wynn Resorts will report the results of operations for the period in which the transfer occurs as if the contribution of equity interests had occurred at the beginning of the period. Financial information for prior periods</w:t>
      </w:r>
    </w:p>
    <w:p>
      <w:pPr>
        <w:sectPr>
          <w:pgSz w:w="11900" w:h="16838" w:orient="portrait"/>
          <w:cols w:equalWidth="0" w:num="1">
            <w:col w:w="11420"/>
          </w:cols>
          <w:pgMar w:left="240" w:top="114" w:right="239" w:bottom="0" w:gutter="0" w:footer="0" w:header="0"/>
        </w:sectPr>
      </w:pPr>
    </w:p>
    <w:bookmarkStart w:id="32" w:name="page33"/>
    <w:bookmarkEnd w:id="32"/>
    <w:p>
      <w:pPr>
        <w:ind w:right="40"/>
        <w:spacing w:after="0" w:line="268" w:lineRule="auto"/>
        <w:rPr>
          <w:sz w:val="20"/>
          <w:szCs w:val="20"/>
          <w:color w:val="auto"/>
        </w:rPr>
      </w:pPr>
      <w:r>
        <w:rPr>
          <w:rFonts w:ascii="Arial" w:cs="Arial" w:eastAsia="Arial" w:hAnsi="Arial"/>
          <w:sz w:val="18"/>
          <w:szCs w:val="18"/>
          <w:color w:val="auto"/>
        </w:rPr>
        <w:t>will be restated to furnish comparative information. Upon the contribution, management does not expect the consolidated financial statements of Wynn Resorts to differ from the consolidated financial statements of Valvino and its subsidiaries included herein.</w:t>
      </w:r>
    </w:p>
    <w:p>
      <w:pPr>
        <w:spacing w:after="0" w:line="186" w:lineRule="exact"/>
        <w:rPr>
          <w:sz w:val="20"/>
          <w:szCs w:val="20"/>
          <w:color w:val="auto"/>
        </w:rPr>
      </w:pPr>
    </w:p>
    <w:p>
      <w:pPr>
        <w:ind w:right="780" w:firstLine="348"/>
        <w:spacing w:after="0" w:line="332" w:lineRule="auto"/>
        <w:rPr>
          <w:sz w:val="20"/>
          <w:szCs w:val="20"/>
          <w:color w:val="auto"/>
        </w:rPr>
      </w:pPr>
      <w:r>
        <w:rPr>
          <w:rFonts w:ascii="Arial" w:cs="Arial" w:eastAsia="Arial" w:hAnsi="Arial"/>
          <w:sz w:val="16"/>
          <w:szCs w:val="16"/>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are met.</w:t>
      </w:r>
    </w:p>
    <w:p>
      <w:pPr>
        <w:spacing w:after="0" w:line="139"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231"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have had no significant operations to date. In June 2000, we acquired the Desert Inn Resort &amp; Casino assets from Starwood Hotels &amp; Resorts Worldwide, Inc. We ceased operating the Desert Inn Resort &amp; Casino after approximately ten weeks. We have demolished some of the buildings constituting the former Desert Inn Resort &amp; Casino hotel in anticipation of the construction of Le Rêve. The remaining structures have been and will continue to be utilized as offices at least through the completion of Le Rêve. Since we ceased operating the Desert Inn Resort &amp; Casino, our efforts have been devoted principally to the development activities described above with respect to Le Rêve and Wynn Macau's opportunity in Macau. In addition, we continue to operate an art gallery displaying works from The Wynn Collection, which consists of artwork from the personal art collection of Stephen and Elaine Wynn, and, until summer 2002, the golf course located on the site of the former Desert Inn Resort &amp; Casino. Our historical operating results will not be indicative of future operating results.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year ended December 31, 2001 compared to the period from inception to December 31, 2000</w:t>
      </w:r>
    </w:p>
    <w:p>
      <w:pPr>
        <w:spacing w:after="0" w:line="225"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As a result of increased development activities, Valvino recognized a net loss accumulated during the development stage of approximately $16.9 million for the year ended December 31, 2001, an approximate increase of 85% from the loss incurred during the period from inception (April 21, 2000) to December 2000 of approximately $9.2 million.</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Total revenues for the year ended December 31, 2001 increased approximately $920,000 from the period from inception to December 31, 2000 primarily as a result of Kevyn, LLC, which Valvino acquired in April 2001, leasing its aircraft to Las Vegas Jet, LLC, then an unconsolidated affiliate, for approximately $840,000 for the year ended December 31, 2001. In addition, revenues of approximately $80,000 were recognized for the year ended December 31, 2001, primarily as a result of the art gallery and retail shop opening in November 2001.</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Total expenses for the year ended December 31, 2001 increased approximately $9.6 million as compared to the period from inception to December 31, 2000 primarily as a result of increased pre-opening costs and depreciation and amortization expenses which were partially offset by lower facility closure expense and losses from incidental operations. This resulted in an increase in net operating losses of approximately $8.7 million for the year ended December 31, 2001 as compared to the period from inception to December 31, 2000.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Pre-opening costs for the year ended December 31, 2001 increased approximately $6.5 million, as compared to the period from inception to December 31,</w:t>
      </w:r>
    </w:p>
    <w:p>
      <w:pPr>
        <w:spacing w:after="0" w:line="38" w:lineRule="exact"/>
        <w:rPr>
          <w:sz w:val="20"/>
          <w:szCs w:val="20"/>
          <w:color w:val="auto"/>
        </w:rPr>
      </w:pPr>
    </w:p>
    <w:p>
      <w:pPr>
        <w:ind w:right="400"/>
        <w:spacing w:after="0" w:line="320" w:lineRule="auto"/>
        <w:rPr>
          <w:sz w:val="20"/>
          <w:szCs w:val="20"/>
          <w:color w:val="auto"/>
        </w:rPr>
      </w:pPr>
      <w:r>
        <w:rPr>
          <w:rFonts w:ascii="Arial" w:cs="Arial" w:eastAsia="Arial" w:hAnsi="Arial"/>
          <w:sz w:val="15"/>
          <w:szCs w:val="15"/>
          <w:color w:val="auto"/>
        </w:rPr>
        <w:t>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$4.3 million.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Facility closure expenses were approximately $830,000 less for the year ended December 31, 2001, as compared to the period from inception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2000, primarily because a majority of the costs incurred for the period from inception to December 31, 2000 related to the closing of the 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which was completed in August 2000. During the period from inception to December 31, 2000, Valvino recognized a net loss from incidental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approximately $1.2 million as compared to no recognized net loss for the year ended December 31, 2001. The net loss in 2000 was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incidental casino and hotel operations incurred prior to its closing in August 2000.</w:t>
      </w:r>
    </w:p>
    <w:p>
      <w:pPr>
        <w:spacing w:after="0" w:line="21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Other income—net increased approximately $920,000 from the year ended December 31, 2001 as compared to the period from inception to December 31, 2000 primarily as a result of an approximate $930,000 increase in interest income in 2001. Interest income for the year ended December 31, 2001 reflects interest earned for the 12-month period whereas interest income for the period from inception to December 31, 2000 reflects interest earned for approximately eight months.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six months ended June 30, 2002 compared to the six months ended June 30, 2001</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Continued development activities resulted in a net loss during the development stage for the six months ended June 30, 2002. The net loss for the six months ended June 30, 2002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was approximately $14.7 million as compared to an approximate $7.9 million net loss accumulated during the development stage for the six months ended June 2001.</w:t>
      </w:r>
    </w:p>
    <w:p>
      <w:pPr>
        <w:sectPr>
          <w:pgSz w:w="11900" w:h="16838" w:orient="portrait"/>
          <w:cols w:equalWidth="0" w:num="1">
            <w:col w:w="11420"/>
          </w:cols>
          <w:pgMar w:left="240" w:top="131" w:right="239" w:bottom="0" w:gutter="0" w:footer="0" w:header="0"/>
        </w:sectPr>
      </w:pPr>
    </w:p>
    <w:bookmarkStart w:id="33" w:name="page34"/>
    <w:bookmarkEnd w:id="33"/>
    <w:p>
      <w:pPr>
        <w:ind w:right="80" w:firstLine="348"/>
        <w:spacing w:after="0" w:line="335" w:lineRule="auto"/>
        <w:rPr>
          <w:sz w:val="20"/>
          <w:szCs w:val="20"/>
          <w:color w:val="auto"/>
        </w:rPr>
      </w:pPr>
      <w:r>
        <w:rPr>
          <w:rFonts w:ascii="Arial" w:cs="Arial" w:eastAsia="Arial" w:hAnsi="Arial"/>
          <w:sz w:val="15"/>
          <w:szCs w:val="15"/>
          <w:color w:val="auto"/>
        </w:rPr>
        <w:t>Total revenues for the six months ended June 30, 2002 decreased approximately $54,000 from the six months ended June 30, 2001 as a result of decreased airplane lease revenue recognized in the 2002 period than the 2001 period. Airplane lease revenues decreased primarily as a result of the sale of the aircraft at the end of March 2002. This decrease in revenues was partially offset by revenues from the art gallery and the retail shop, which were opened in November 2001.</w:t>
      </w:r>
    </w:p>
    <w:p>
      <w:pPr>
        <w:spacing w:after="0" w:line="142"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Total expenses for the six months ended June 30, 2002 increased approximately $6.1 million as compared to the same period in 2001 primarily due to an approximate $4.2 million increase in pre-opening costs and the recognition of approximately $2.1 million of losses on the acquisition of affiliates during the six months ended June 30, 2002. The increase in pre-opening costs is directly attributable to an increase in pre-opening activities as compared to the same period in the prior year. Management expects pre-opening costs to continue to increase as development of Le Rêve progresses. During the six months ended June 30, 2002, Valvino acquired an affiliate, Las Vegas Jet, and forgave amounts receivable from Las Vegas Jet, which resulted in the recognition of a loss on the acquisition.</w:t>
      </w:r>
    </w:p>
    <w:p>
      <w:pPr>
        <w:spacing w:after="0" w:line="15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Other income—net for the six months ended June 30, 2002 decreased approximately $880,000 from the six months ended June 30, 2001, primarily as a result of an approximate $770,000 decrease in interest income from 2002 to 2001. This reduction in interest income is mainly attributable to lower interest rates during the six months ended June 30, 2002 as compared to the six months ended June 30, 2001.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trends that may affect results of operations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w:t>
      </w:r>
    </w:p>
    <w:p>
      <w:pPr>
        <w:spacing w:after="0" w:line="17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Material Transactions Affecting Liquidity and Capital Resources</w:t>
      </w:r>
    </w:p>
    <w:p>
      <w:pPr>
        <w:spacing w:after="0" w:line="225" w:lineRule="exact"/>
        <w:rPr>
          <w:sz w:val="20"/>
          <w:szCs w:val="20"/>
          <w:color w:val="auto"/>
        </w:rPr>
      </w:pPr>
    </w:p>
    <w:p>
      <w:pPr>
        <w:jc w:val="both"/>
        <w:ind w:right="720" w:firstLine="351"/>
        <w:spacing w:after="0" w:line="332" w:lineRule="auto"/>
        <w:rPr>
          <w:sz w:val="20"/>
          <w:szCs w:val="20"/>
          <w:color w:val="auto"/>
        </w:rPr>
      </w:pPr>
      <w:r>
        <w:rPr>
          <w:rFonts w:ascii="Arial" w:cs="Arial" w:eastAsia="Arial" w:hAnsi="Arial"/>
          <w:sz w:val="16"/>
          <w:szCs w:val="16"/>
          <w:color w:val="auto"/>
        </w:rPr>
        <w:t>Since Valvino's inception on April 21, 2000, there have been a number of transactions that have had a significant impact on Valvino's liquidity. Our operations have required substantial capital investment for the acquisition of the land on which Le Rêve will be located and development of the project.</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Mr. Stephen A. Wynn organized Valvino and, initially, Mr. Wynn was the sole member of Valvino. Between April of 2000 and September of 2000, Mr. Wynn made equity contributions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Valvino in an aggregate amount of approximately $220.7 million. On June 15, 2000, Mr. Wynn loaned Valvino $100 million at an interest rate of 7.875% per year.</w:t>
      </w:r>
    </w:p>
    <w:p>
      <w:pPr>
        <w:spacing w:after="0" w:line="186"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In addition to acquiring the assets of the Desert Inn Resort &amp; Casino, Valvino assumed all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pacing w:after="0" w:line="172" w:lineRule="exact"/>
        <w:rPr>
          <w:sz w:val="20"/>
          <w:szCs w:val="20"/>
          <w:color w:val="auto"/>
        </w:rPr>
      </w:pPr>
    </w:p>
    <w:p>
      <w:pPr>
        <w:jc w:val="both"/>
        <w:ind w:right="480" w:firstLine="351"/>
        <w:spacing w:after="0" w:line="259" w:lineRule="auto"/>
        <w:rPr>
          <w:sz w:val="20"/>
          <w:szCs w:val="20"/>
          <w:color w:val="auto"/>
        </w:rPr>
      </w:pPr>
      <w:r>
        <w:rPr>
          <w:rFonts w:ascii="Arial" w:cs="Arial" w:eastAsia="Arial" w:hAnsi="Arial"/>
          <w:sz w:val="18"/>
          <w:szCs w:val="18"/>
          <w:color w:val="auto"/>
        </w:rPr>
        <w:t>On July 11, 2000, Valvino used proceeds from a $125 million loan agreement it entered into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94"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On October 3, 2000, Aruze USA made a contribution of $260 million in cash ($250 million net of finders' fee) to Valvino in exchange for 50% of the membership interests in Valvino and was admitted as a member of Valvino. Mr. Wynn was designated as, and remains, the managing member of Valvino. On October 10, 2000, the Deutsche Bank loan was repaid in full and $70 million of Mr. Wynn's loan was repaid out of the proceeds of this capital contribution. The remaining approximately $32.3 million balance of Mr. Wynn's loan, including accrued interest, was converted to equity as a member contribution.</w:t>
      </w:r>
    </w:p>
    <w:p>
      <w:pPr>
        <w:spacing w:after="0" w:line="16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39" w:lineRule="exact"/>
        <w:rPr>
          <w:sz w:val="20"/>
          <w:szCs w:val="20"/>
          <w:color w:val="auto"/>
        </w:rPr>
      </w:pPr>
    </w:p>
    <w:p>
      <w:pPr>
        <w:ind w:left="1080" w:right="20" w:hanging="532"/>
        <w:spacing w:after="0" w:line="291"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Wynn contributed approximately $32 million in cash plus his interest in Wynn Macau, which in June 2002 entered into a concession agreement with the government of Macau permitting the construction and operation of one or more casinos in Macau. Mr. Wynn was not obligated to contribute his interest in Wynn Macau to Valvino. This interest was valued at approximately $56 million by the parties in the negotiation of Mr. Wynn's contribution of his interest,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34" w:name="page35"/>
    <w:bookmarkEnd w:id="34"/>
    <w:p>
      <w:pPr>
        <w:ind w:left="1080"/>
        <w:spacing w:after="0"/>
        <w:rPr>
          <w:sz w:val="20"/>
          <w:szCs w:val="20"/>
          <w:color w:val="auto"/>
        </w:rPr>
      </w:pPr>
      <w:r>
        <w:rPr>
          <w:rFonts w:ascii="Arial" w:cs="Arial" w:eastAsia="Arial" w:hAnsi="Arial"/>
          <w:sz w:val="18"/>
          <w:szCs w:val="18"/>
          <w:color w:val="auto"/>
        </w:rPr>
        <w:t>Aruze USA contributed an additional $120 million in cash; and</w:t>
      </w:r>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Immediately following these additional capital contributions, Mr. Wynn and Aruze USA each owned 47.5% of the membership interests and Baron Asset Fund owned 5%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membership interests in Valvino. The percentage of membership interests held by Baron Asset Fund are held by it on behalf of two series of Baron Asset Fund:</w:t>
      </w:r>
    </w:p>
    <w:p>
      <w:pPr>
        <w:spacing w:after="0" w:line="38" w:lineRule="exact"/>
        <w:rPr>
          <w:sz w:val="20"/>
          <w:szCs w:val="20"/>
          <w:color w:val="auto"/>
        </w:rPr>
      </w:pPr>
    </w:p>
    <w:p>
      <w:pPr>
        <w:ind w:right="40" w:firstLine="8"/>
        <w:spacing w:after="0" w:line="255" w:lineRule="auto"/>
        <w:tabs>
          <w:tab w:leader="none" w:pos="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Baron Asset Fund Series, on whose behalf approximately 3.7% of the membership interests in Valvino are held, and (2) the Baron Growth Fund Series, on whose behalf approximately 1.4% of the membership interests in Valvino are held. Neither Mr. Wynn nor Aruze USA received additional shares in connection with the April 2002 capital contributions.</w:t>
      </w:r>
    </w:p>
    <w:p>
      <w:pPr>
        <w:spacing w:after="0" w:line="19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Contributions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jc w:val="right"/>
              <w:ind w:right="499"/>
              <w:spacing w:after="0"/>
              <w:rPr>
                <w:sz w:val="20"/>
                <w:szCs w:val="20"/>
                <w:color w:val="auto"/>
              </w:rPr>
            </w:pPr>
            <w:r>
              <w:rPr>
                <w:rFonts w:ascii="Arial" w:cs="Arial" w:eastAsia="Arial" w:hAnsi="Arial"/>
                <w:sz w:val="14"/>
                <w:szCs w:val="14"/>
                <w:b w:val="1"/>
                <w:bCs w:val="1"/>
                <w:color w:val="auto"/>
              </w:rPr>
              <w:t>Net Value of Non-</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jc w:val="right"/>
              <w:ind w:right="579"/>
              <w:spacing w:after="0"/>
              <w:rPr>
                <w:sz w:val="20"/>
                <w:szCs w:val="20"/>
                <w:color w:val="auto"/>
              </w:rPr>
            </w:pPr>
            <w:r>
              <w:rPr>
                <w:rFonts w:ascii="Arial" w:cs="Arial" w:eastAsia="Arial" w:hAnsi="Arial"/>
                <w:sz w:val="14"/>
                <w:szCs w:val="14"/>
                <w:b w:val="1"/>
                <w:bCs w:val="1"/>
                <w:color w:val="auto"/>
              </w:rPr>
              <w:t>Allocation of Net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Cash Invested</w:t>
            </w:r>
          </w:p>
        </w:tc>
        <w:tc>
          <w:tcPr>
            <w:tcW w:w="320" w:type="dxa"/>
            <w:vAlign w:val="bottom"/>
          </w:tcPr>
          <w:p>
            <w:pPr>
              <w:spacing w:after="0"/>
              <w:rPr>
                <w:sz w:val="15"/>
                <w:szCs w:val="15"/>
                <w:color w:val="auto"/>
              </w:rPr>
            </w:pPr>
          </w:p>
        </w:tc>
        <w:tc>
          <w:tcPr>
            <w:tcW w:w="1880" w:type="dxa"/>
            <w:vAlign w:val="bottom"/>
          </w:tcPr>
          <w:p>
            <w:pPr>
              <w:jc w:val="right"/>
              <w:ind w:right="459"/>
              <w:spacing w:after="0"/>
              <w:rPr>
                <w:sz w:val="20"/>
                <w:szCs w:val="20"/>
                <w:color w:val="auto"/>
              </w:rPr>
            </w:pPr>
            <w:r>
              <w:rPr>
                <w:rFonts w:ascii="Arial" w:cs="Arial" w:eastAsia="Arial" w:hAnsi="Arial"/>
                <w:sz w:val="14"/>
                <w:szCs w:val="14"/>
                <w:b w:val="1"/>
                <w:bCs w:val="1"/>
                <w:color w:val="auto"/>
              </w:rPr>
              <w:t>Cash Contributions</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tcPr>
          <w:p>
            <w:pPr>
              <w:jc w:val="right"/>
              <w:ind w:right="439"/>
              <w:spacing w:after="0"/>
              <w:rPr>
                <w:sz w:val="20"/>
                <w:szCs w:val="20"/>
                <w:color w:val="auto"/>
              </w:rPr>
            </w:pPr>
            <w:r>
              <w:rPr>
                <w:rFonts w:ascii="Arial" w:cs="Arial" w:eastAsia="Arial" w:hAnsi="Arial"/>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Borders>
              <w:top w:val="single" w:sz="8" w:color="808080"/>
            </w:tcBorders>
          </w:tcPr>
          <w:p>
            <w:pPr>
              <w:spacing w:after="0"/>
              <w:rPr>
                <w:sz w:val="9"/>
                <w:szCs w:val="9"/>
                <w:color w:val="auto"/>
              </w:rPr>
            </w:pPr>
          </w:p>
        </w:tc>
        <w:tc>
          <w:tcPr>
            <w:tcW w:w="20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1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18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20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55,659(3)$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10,400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41,095</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Kenneth R. Wynn Family Trust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27"/>
          <w:szCs w:val="27"/>
          <w:color w:val="auto"/>
          <w:vertAlign w:val="subscript"/>
        </w:rPr>
      </w:pPr>
      <w:r>
        <w:rPr>
          <w:rFonts w:ascii="Arial" w:cs="Arial" w:eastAsia="Arial" w:hAnsi="Arial"/>
          <w:sz w:val="14"/>
          <w:szCs w:val="14"/>
          <w:color w:val="auto"/>
        </w:rPr>
        <w:t>As determined by arm's-length agreement, these amounts reflect the allocation of appreciation of the assets held by Valvino.</w:t>
      </w:r>
    </w:p>
    <w:p>
      <w:pPr>
        <w:spacing w:after="0" w:line="40"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49"/>
        </w:numPr>
        <w:rPr>
          <w:rFonts w:ascii="Arial" w:cs="Arial" w:eastAsia="Arial" w:hAnsi="Arial"/>
          <w:sz w:val="23"/>
          <w:szCs w:val="23"/>
          <w:color w:val="auto"/>
          <w:vertAlign w:val="subscript"/>
        </w:rPr>
      </w:pPr>
      <w:r>
        <w:rPr>
          <w:rFonts w:ascii="Arial" w:cs="Arial" w:eastAsia="Arial" w:hAnsi="Arial"/>
          <w:sz w:val="12"/>
          <w:szCs w:val="12"/>
          <w:color w:val="auto"/>
        </w:rPr>
        <w:t>These amounts reflect the book capital accounts as determined under federal partnership tax principles.</w:t>
      </w:r>
    </w:p>
    <w:p>
      <w:pPr>
        <w:spacing w:after="0" w:line="71" w:lineRule="exact"/>
        <w:rPr>
          <w:rFonts w:ascii="Arial" w:cs="Arial" w:eastAsia="Arial" w:hAnsi="Arial"/>
          <w:sz w:val="23"/>
          <w:szCs w:val="23"/>
          <w:color w:val="auto"/>
          <w:vertAlign w:val="subscript"/>
        </w:rPr>
      </w:pPr>
    </w:p>
    <w:p>
      <w:pPr>
        <w:ind w:left="540" w:hanging="532"/>
        <w:spacing w:after="0" w:line="186" w:lineRule="auto"/>
        <w:tabs>
          <w:tab w:leader="none" w:pos="540" w:val="left"/>
        </w:tabs>
        <w:numPr>
          <w:ilvl w:val="0"/>
          <w:numId w:val="49"/>
        </w:numPr>
        <w:rPr>
          <w:rFonts w:ascii="Arial" w:cs="Arial" w:eastAsia="Arial" w:hAnsi="Arial"/>
          <w:sz w:val="24"/>
          <w:szCs w:val="24"/>
          <w:color w:val="auto"/>
          <w:vertAlign w:val="subscript"/>
        </w:rPr>
      </w:pPr>
      <w:r>
        <w:rPr>
          <w:rFonts w:ascii="Arial" w:cs="Arial" w:eastAsia="Arial" w:hAnsi="Arial"/>
          <w:sz w:val="12"/>
          <w:szCs w:val="12"/>
          <w:color w:val="auto"/>
        </w:rPr>
        <w:t>As described above, Mr. Wynn's interest in Wynn Macau was valued at approximately $55,659,000 by the parties in the negotiation of Mr. Wynn's contribution of such interest to Valvino in April 2002, prior to Wynn Macau's entry into a concession agreement with the government of Macau permitting the construction and operation of one or more casinos in Macau.</w:t>
      </w:r>
    </w:p>
    <w:p>
      <w:pPr>
        <w:spacing w:after="0" w:line="195" w:lineRule="exact"/>
        <w:rPr>
          <w:sz w:val="20"/>
          <w:szCs w:val="20"/>
          <w:color w:val="auto"/>
        </w:rPr>
      </w:pPr>
    </w:p>
    <w:p>
      <w:pPr>
        <w:ind w:right="500" w:firstLine="341"/>
        <w:spacing w:after="0" w:line="268" w:lineRule="auto"/>
        <w:rPr>
          <w:sz w:val="20"/>
          <w:szCs w:val="20"/>
          <w:color w:val="auto"/>
        </w:rPr>
      </w:pPr>
      <w:r>
        <w:rPr>
          <w:rFonts w:ascii="Arial" w:cs="Arial" w:eastAsia="Arial" w:hAnsi="Arial"/>
          <w:sz w:val="18"/>
          <w:szCs w:val="18"/>
          <w:color w:val="auto"/>
        </w:rPr>
        <w:t>At June 30, 2002, Valvino had approximately $187.9 million of cash and cash equivalents, with all of its cash equivalents comprised of investments in overnight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Expected Capital Resources and Commercial Commitments</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of June 30, 2002, approximately $399.3 million of the total Le Rêve project cost of approximately $2.4 billion (including the cost of the land, capitalized interest, pre-opening expenses and all financing fees) had been expended or incurred to fund the development of Le Rêve. The remaining approximately $2 billion of the estimated development costs for Le Rêve is expected to be funded from a combination of:</w:t>
      </w:r>
    </w:p>
    <w:p>
      <w:pPr>
        <w:spacing w:after="0" w:line="221"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borrowings of approximately $701.4 million of the available $750 million under the revolving credit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borrowings of $250 million under the delay draw term loan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borrowings of $178.5 million under the FF&amp;E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anticipated interest income of approximately $30.5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gross proceeds from the expected offering of second mortgage notes of approximately $350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gross proceeds from Wynn Resorts' initial public offering of approximately $395 million;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$45 million of our cash on hand.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following table summarizes certain information regarding our subsidiaries' expected long-term indebtedness and commercial commitments at the completion of Le Rêve. All time periods in these tables are measured from the closing of this offering and are based upon our best estimate at this time of our expected long-term indebtedness and commercial commitments.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05"/>
        </w:trPr>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241"/>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left="172"/>
              <w:spacing w:after="0"/>
              <w:rPr>
                <w:sz w:val="20"/>
                <w:szCs w:val="20"/>
                <w:color w:val="auto"/>
              </w:rPr>
            </w:pPr>
            <w:r>
              <w:rPr>
                <w:rFonts w:ascii="Arial" w:cs="Arial" w:eastAsia="Arial" w:hAnsi="Arial"/>
                <w:sz w:val="14"/>
                <w:szCs w:val="14"/>
                <w:b w:val="1"/>
                <w:bCs w:val="1"/>
                <w:color w:val="auto"/>
                <w:w w:val="82"/>
              </w:rPr>
              <w:t>Less than</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After</w:t>
            </w:r>
          </w:p>
        </w:tc>
      </w:tr>
      <w:tr>
        <w:trPr>
          <w:trHeight w:val="174"/>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Long-Term Indebtedness</w:t>
            </w:r>
          </w:p>
        </w:tc>
        <w:tc>
          <w:tcPr>
            <w:tcW w:w="1040" w:type="dxa"/>
            <w:vAlign w:val="bottom"/>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900" w:type="dxa"/>
            <w:vAlign w:val="bottom"/>
          </w:tcPr>
          <w:p>
            <w:pPr>
              <w:jc w:val="center"/>
              <w:ind w:left="172"/>
              <w:spacing w:after="0"/>
              <w:rPr>
                <w:sz w:val="20"/>
                <w:szCs w:val="20"/>
                <w:color w:val="auto"/>
              </w:rPr>
            </w:pPr>
            <w:r>
              <w:rPr>
                <w:rFonts w:ascii="Arial" w:cs="Arial" w:eastAsia="Arial" w:hAnsi="Arial"/>
                <w:sz w:val="14"/>
                <w:szCs w:val="14"/>
                <w:b w:val="1"/>
                <w:bCs w:val="1"/>
                <w:color w:val="auto"/>
                <w:w w:val="90"/>
              </w:rPr>
              <w:t>1 Year</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1-3 Years</w:t>
            </w: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4-5 Years</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4"/>
              </w:rPr>
              <w:t>5 Years</w:t>
            </w:r>
          </w:p>
        </w:tc>
      </w:tr>
      <w:tr>
        <w:trPr>
          <w:trHeight w:val="105"/>
        </w:trPr>
        <w:tc>
          <w:tcPr>
            <w:tcW w:w="3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266"/>
        </w:trPr>
        <w:tc>
          <w:tcPr>
            <w:tcW w:w="3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 millions)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-526415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-526415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-183515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-183515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-183515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-183515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-183515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-183515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-183515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-183515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-183515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-183515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-183515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22" w:lineRule="exact"/>
        <w:rPr>
          <w:sz w:val="20"/>
          <w:szCs w:val="20"/>
          <w:color w:val="auto"/>
        </w:rPr>
      </w:pPr>
    </w:p>
    <w:p>
      <w:pPr>
        <w:spacing w:after="0"/>
        <w:tabs>
          <w:tab w:leader="none" w:pos="4140" w:val="left"/>
          <w:tab w:leader="none" w:pos="4800" w:val="left"/>
          <w:tab w:leader="none" w:pos="6380" w:val="left"/>
          <w:tab w:leader="none" w:pos="7440" w:val="left"/>
          <w:tab w:leader="none" w:pos="8540" w:val="left"/>
          <w:tab w:leader="none" w:pos="9620" w:val="left"/>
        </w:tabs>
        <w:rPr>
          <w:sz w:val="20"/>
          <w:szCs w:val="20"/>
          <w:color w:val="auto"/>
        </w:rPr>
      </w:pPr>
      <w:r>
        <w:rPr>
          <w:rFonts w:ascii="Arial" w:cs="Arial" w:eastAsia="Arial" w:hAnsi="Arial"/>
          <w:sz w:val="18"/>
          <w:szCs w:val="18"/>
          <w:color w:val="auto"/>
        </w:rPr>
        <w:t>Revolving credit facility(1)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701.4</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—(1) $</w:t>
      </w:r>
      <w:r>
        <w:rPr>
          <w:sz w:val="20"/>
          <w:szCs w:val="20"/>
          <w:color w:val="auto"/>
        </w:rPr>
        <w:tab/>
      </w:r>
      <w:r>
        <w:rPr>
          <w:rFonts w:ascii="Arial" w:cs="Arial" w:eastAsia="Arial" w:hAnsi="Arial"/>
          <w:sz w:val="16"/>
          <w:szCs w:val="16"/>
          <w:color w:val="auto"/>
        </w:rPr>
        <w:t>701.4(1)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51764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Delay draw term loan facility(2)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9"/>
                <w:szCs w:val="19"/>
                <w:color w:val="auto"/>
              </w:rPr>
            </w:pPr>
          </w:p>
        </w:tc>
      </w:tr>
      <w:tr>
        <w:trPr>
          <w:trHeight w:val="21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FF&amp;E facility(3)</w:t>
            </w:r>
          </w:p>
        </w:tc>
        <w:tc>
          <w:tcPr>
            <w:tcW w:w="3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4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Second mortgage notes</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350.0</w:t>
            </w:r>
          </w:p>
        </w:tc>
        <w:tc>
          <w:tcPr>
            <w:tcW w:w="2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3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r>
      <w:tr>
        <w:trPr>
          <w:trHeight w:val="118"/>
        </w:trPr>
        <w:tc>
          <w:tcPr>
            <w:tcW w:w="41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r>
      <w:tr>
        <w:trPr>
          <w:trHeight w:val="319"/>
        </w:trPr>
        <w:tc>
          <w:tcPr>
            <w:tcW w:w="4160" w:type="dxa"/>
            <w:vAlign w:val="bottom"/>
          </w:tcPr>
          <w:p>
            <w:pPr>
              <w:spacing w:after="0"/>
              <w:rPr>
                <w:sz w:val="20"/>
                <w:szCs w:val="20"/>
                <w:color w:val="auto"/>
              </w:rPr>
            </w:pPr>
            <w:r>
              <w:rPr>
                <w:rFonts w:ascii="Arial" w:cs="Arial" w:eastAsia="Arial" w:hAnsi="Arial"/>
                <w:sz w:val="18"/>
                <w:szCs w:val="18"/>
                <w:color w:val="auto"/>
              </w:rPr>
              <w:t>Total long-term indebtedness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1,480.2</w:t>
            </w:r>
          </w:p>
        </w:tc>
        <w:tc>
          <w:tcPr>
            <w:tcW w:w="200" w:type="dxa"/>
            <w:vAlign w:val="bottom"/>
          </w:tcPr>
          <w:p>
            <w:pPr>
              <w:spacing w:after="0"/>
              <w:rPr>
                <w:sz w:val="24"/>
                <w:szCs w:val="24"/>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1,480.0</w:t>
            </w:r>
          </w:p>
        </w:tc>
        <w:tc>
          <w:tcPr>
            <w:tcW w:w="240" w:type="dxa"/>
            <w:vAlign w:val="bottom"/>
          </w:tcPr>
          <w:p>
            <w:pPr>
              <w:spacing w:after="0"/>
              <w:rPr>
                <w:sz w:val="24"/>
                <w:szCs w:val="24"/>
                <w:color w:val="auto"/>
              </w:rPr>
            </w:pPr>
          </w:p>
        </w:tc>
      </w:tr>
      <w:tr>
        <w:trPr>
          <w:trHeight w:val="107"/>
        </w:trPr>
        <w:tc>
          <w:tcPr>
            <w:tcW w:w="4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61"/>
        </w:trPr>
        <w:tc>
          <w:tcPr>
            <w:tcW w:w="41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-323215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-323215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-323215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-323215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-323215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-323215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-323215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-323215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88"/>
              </w:rPr>
              <w:t>Amount of Commitment Expiration Per Period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85"/>
              </w:rPr>
              <w:t>Amounts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Less than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4"/>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Other Commercial Commitments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41"/>
              <w:spacing w:after="0"/>
              <w:rPr>
                <w:sz w:val="20"/>
                <w:szCs w:val="20"/>
                <w:color w:val="auto"/>
              </w:rPr>
            </w:pPr>
            <w:r>
              <w:rPr>
                <w:rFonts w:ascii="Arial" w:cs="Arial" w:eastAsia="Arial" w:hAnsi="Arial"/>
                <w:sz w:val="14"/>
                <w:szCs w:val="14"/>
                <w:b w:val="1"/>
                <w:bCs w:val="1"/>
                <w:color w:val="auto"/>
                <w:w w:val="90"/>
              </w:rPr>
              <w:t>Committed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1 Year</w:t>
            </w:r>
          </w:p>
        </w:tc>
        <w:tc>
          <w:tcPr>
            <w:tcW w:w="12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1-3 Years</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4-5 Years</w:t>
            </w:r>
          </w:p>
        </w:tc>
        <w:tc>
          <w:tcPr>
            <w:tcW w:w="200" w:type="dxa"/>
            <w:vAlign w:val="bottom"/>
          </w:tcPr>
          <w:p>
            <w:pPr>
              <w:spacing w:after="0"/>
              <w:rPr>
                <w:sz w:val="15"/>
                <w:szCs w:val="15"/>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gridSpan w:val="5"/>
          </w:tcPr>
          <w:p>
            <w:pPr>
              <w:jc w:val="center"/>
              <w:ind w:left="302"/>
              <w:spacing w:after="0"/>
              <w:rPr>
                <w:sz w:val="20"/>
                <w:szCs w:val="20"/>
                <w:color w:val="auto"/>
              </w:rPr>
            </w:pPr>
            <w:r>
              <w:rPr>
                <w:rFonts w:ascii="Arial" w:cs="Arial" w:eastAsia="Arial" w:hAnsi="Arial"/>
                <w:sz w:val="14"/>
                <w:szCs w:val="14"/>
                <w:b w:val="1"/>
                <w:bCs w:val="1"/>
                <w:color w:val="auto"/>
                <w:w w:val="89"/>
              </w:rPr>
              <w:t>(in millions)</w:t>
            </w: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Standby letter of credit(6)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Macau concession agreement(7)</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89"/>
              </w:rPr>
              <w:t>—(7)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—(7)</w:t>
            </w:r>
          </w:p>
        </w:tc>
        <w:tc>
          <w:tcPr>
            <w:tcW w:w="8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500.0(7)</w:t>
            </w: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40" w:type="dxa"/>
            <w:vAlign w:val="bottom"/>
            <w:gridSpan w:val="3"/>
          </w:tcPr>
          <w:p>
            <w:pPr>
              <w:spacing w:after="0"/>
              <w:rPr>
                <w:sz w:val="20"/>
                <w:szCs w:val="20"/>
                <w:color w:val="auto"/>
              </w:rPr>
            </w:pPr>
            <w:r>
              <w:rPr>
                <w:rFonts w:ascii="Arial" w:cs="Arial" w:eastAsia="Arial" w:hAnsi="Arial"/>
                <w:sz w:val="18"/>
                <w:szCs w:val="18"/>
                <w:color w:val="auto"/>
              </w:rPr>
              <w:t>Total commercial commitments</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1,431.5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259.8</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671.7</w:t>
            </w:r>
          </w:p>
        </w:tc>
        <w:tc>
          <w:tcPr>
            <w:tcW w:w="200" w:type="dxa"/>
            <w:vAlign w:val="bottom"/>
          </w:tcPr>
          <w:p>
            <w:pPr>
              <w:spacing w:after="0"/>
              <w:rPr>
                <w:sz w:val="24"/>
                <w:szCs w:val="24"/>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5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6580505</wp:posOffset>
            </wp:positionH>
            <wp:positionV relativeFrom="paragraph">
              <wp:posOffset>-1729740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-1729740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-1292225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-1292225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-1292225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-1292225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-1292225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-1292225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-1292225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-1292225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-1292225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-1292225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-1292225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-1292225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-477520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-477520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-477520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-477520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-477520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-477520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-477520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-477520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-477520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20" w:hanging="532"/>
        <w:spacing w:after="0" w:line="192" w:lineRule="auto"/>
        <w:tabs>
          <w:tab w:leader="none" w:pos="540" w:val="left"/>
        </w:tabs>
        <w:numPr>
          <w:ilvl w:val="0"/>
          <w:numId w:val="51"/>
        </w:numPr>
        <w:rPr>
          <w:rFonts w:ascii="Arial" w:cs="Arial" w:eastAsia="Arial" w:hAnsi="Arial"/>
          <w:sz w:val="27"/>
          <w:szCs w:val="27"/>
          <w:color w:val="auto"/>
          <w:vertAlign w:val="subscript"/>
        </w:rPr>
      </w:pPr>
      <w:r>
        <w:rPr>
          <w:rFonts w:ascii="Arial" w:cs="Arial" w:eastAsia="Arial" w:hAnsi="Arial"/>
          <w:sz w:val="14"/>
          <w:szCs w:val="14"/>
          <w:color w:val="auto"/>
        </w:rPr>
        <w:t>We anticipate that we will draw down approximately $701.4 million under the revolving credit facility to fund the design, construction, development, equipping and opening of Le Rêve, assuming that Le Rêve is completed on schedule. At such time as the total extensions of credit under the revolving credit facility equal or exceed $200 million, two of the three lead agents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2"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51"/>
        </w:numPr>
        <w:rPr>
          <w:rFonts w:ascii="Arial" w:cs="Arial" w:eastAsia="Arial" w:hAnsi="Arial"/>
          <w:sz w:val="27"/>
          <w:szCs w:val="27"/>
          <w:color w:val="auto"/>
          <w:vertAlign w:val="subscript"/>
        </w:rPr>
      </w:pPr>
      <w:r>
        <w:rPr>
          <w:rFonts w:ascii="Arial" w:cs="Arial" w:eastAsia="Arial" w:hAnsi="Arial"/>
          <w:sz w:val="14"/>
          <w:szCs w:val="14"/>
          <w:color w:val="auto"/>
        </w:rPr>
        <w:t>Term loans under this facility will be repayable in quarterly installments in amounts to be determined from the opening of Le Rêve until the seventh anniversary of the closing.</w:t>
      </w:r>
    </w:p>
    <w:p>
      <w:pPr>
        <w:spacing w:after="0" w:line="85" w:lineRule="exact"/>
        <w:rPr>
          <w:rFonts w:ascii="Arial" w:cs="Arial" w:eastAsia="Arial" w:hAnsi="Arial"/>
          <w:sz w:val="27"/>
          <w:szCs w:val="27"/>
          <w:color w:val="auto"/>
          <w:vertAlign w:val="subscript"/>
        </w:rPr>
      </w:pPr>
    </w:p>
    <w:p>
      <w:pPr>
        <w:ind w:left="540" w:right="220" w:hanging="532"/>
        <w:spacing w:after="0" w:line="186" w:lineRule="auto"/>
        <w:tabs>
          <w:tab w:leader="none" w:pos="540" w:val="left"/>
        </w:tabs>
        <w:numPr>
          <w:ilvl w:val="0"/>
          <w:numId w:val="51"/>
        </w:numPr>
        <w:rPr>
          <w:rFonts w:ascii="Arial" w:cs="Arial" w:eastAsia="Arial" w:hAnsi="Arial"/>
          <w:sz w:val="24"/>
          <w:szCs w:val="24"/>
          <w:color w:val="auto"/>
          <w:vertAlign w:val="subscript"/>
        </w:rPr>
      </w:pPr>
      <w:r>
        <w:rPr>
          <w:rFonts w:ascii="Arial" w:cs="Arial" w:eastAsia="Arial" w:hAnsi="Arial"/>
          <w:sz w:val="12"/>
          <w:szCs w:val="12"/>
          <w:color w:val="auto"/>
        </w:rPr>
        <w:t>Wynn Las Vegas has entered into an engagement letter with Bank of America, N.A., Banc of America Leasing &amp; Capital LLC and Deutsche Bank Securities Inc. for a $178.5 million FF&amp;E facility, which is currently syndicated. This facility will close concurrently with the closing of this offering. Wynn Las Vegas intends to use approximately</w:t>
      </w:r>
    </w:p>
    <w:p>
      <w:pPr>
        <w:spacing w:after="0" w:line="192" w:lineRule="exact"/>
        <w:rPr>
          <w:rFonts w:ascii="Arial" w:cs="Arial" w:eastAsia="Arial" w:hAnsi="Arial"/>
          <w:sz w:val="24"/>
          <w:szCs w:val="24"/>
          <w:color w:val="auto"/>
          <w:vertAlign w:val="subscript"/>
        </w:rPr>
      </w:pPr>
    </w:p>
    <w:p>
      <w:pPr>
        <w:ind w:left="540"/>
        <w:spacing w:after="0" w:line="230" w:lineRule="auto"/>
        <w:rPr>
          <w:rFonts w:ascii="Arial" w:cs="Arial" w:eastAsia="Arial" w:hAnsi="Arial"/>
          <w:sz w:val="24"/>
          <w:szCs w:val="24"/>
          <w:color w:val="auto"/>
          <w:vertAlign w:val="subscript"/>
        </w:rPr>
      </w:pPr>
      <w:r>
        <w:rPr>
          <w:rFonts w:ascii="Arial" w:cs="Arial" w:eastAsia="Arial" w:hAnsi="Arial"/>
          <w:sz w:val="14"/>
          <w:szCs w:val="14"/>
          <w:color w:val="auto"/>
        </w:rPr>
        <w:t>$28.5 million of borrowings under the FF&amp;E facility to refinance a loan made by Bank of America, N.A. to World Travel, LLC, a wholly-owned subsidiary of Valvino.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Party Transactions—Aircraft Arrangements." World Travel intends to issue Wynn Las Vegas an intercompany note in the amount of the funds received by World Travel to repay the Bank of America loan.</w:t>
      </w:r>
    </w:p>
    <w:p>
      <w:pPr>
        <w:spacing w:after="0" w:line="139" w:lineRule="exact"/>
        <w:rPr>
          <w:rFonts w:ascii="Arial" w:cs="Arial" w:eastAsia="Arial" w:hAnsi="Arial"/>
          <w:sz w:val="24"/>
          <w:szCs w:val="24"/>
          <w:color w:val="auto"/>
          <w:vertAlign w:val="subscript"/>
        </w:rPr>
      </w:pPr>
    </w:p>
    <w:p>
      <w:pPr>
        <w:ind w:left="540" w:right="100" w:hanging="532"/>
        <w:spacing w:after="0" w:line="186" w:lineRule="auto"/>
        <w:tabs>
          <w:tab w:leader="none" w:pos="540" w:val="left"/>
        </w:tabs>
        <w:numPr>
          <w:ilvl w:val="0"/>
          <w:numId w:val="51"/>
        </w:numPr>
        <w:rPr>
          <w:rFonts w:ascii="Arial" w:cs="Arial" w:eastAsia="Arial" w:hAnsi="Arial"/>
          <w:sz w:val="24"/>
          <w:szCs w:val="24"/>
          <w:color w:val="auto"/>
          <w:vertAlign w:val="subscript"/>
        </w:rPr>
      </w:pPr>
      <w:r>
        <w:rPr>
          <w:rFonts w:ascii="Arial" w:cs="Arial" w:eastAsia="Arial" w:hAnsi="Arial"/>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84" w:lineRule="exact"/>
        <w:rPr>
          <w:rFonts w:ascii="Arial" w:cs="Arial" w:eastAsia="Arial" w:hAnsi="Arial"/>
          <w:sz w:val="24"/>
          <w:szCs w:val="24"/>
          <w:color w:val="auto"/>
          <w:vertAlign w:val="subscript"/>
        </w:rPr>
      </w:pPr>
    </w:p>
    <w:p>
      <w:pPr>
        <w:ind w:left="540" w:right="100" w:hanging="532"/>
        <w:spacing w:after="0" w:line="186" w:lineRule="auto"/>
        <w:tabs>
          <w:tab w:leader="none" w:pos="540" w:val="left"/>
        </w:tabs>
        <w:numPr>
          <w:ilvl w:val="0"/>
          <w:numId w:val="51"/>
        </w:numPr>
        <w:rPr>
          <w:rFonts w:ascii="Arial" w:cs="Arial" w:eastAsia="Arial" w:hAnsi="Arial"/>
          <w:sz w:val="24"/>
          <w:szCs w:val="24"/>
          <w:color w:val="auto"/>
          <w:vertAlign w:val="subscript"/>
        </w:rPr>
      </w:pPr>
      <w:r>
        <w:rPr>
          <w:rFonts w:ascii="Arial" w:cs="Arial" w:eastAsia="Arial" w:hAnsi="Arial"/>
          <w:sz w:val="12"/>
          <w:szCs w:val="12"/>
          <w:color w:val="auto"/>
        </w:rPr>
        <w:t>Represents obligations under our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54"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27"/>
          <w:szCs w:val="27"/>
          <w:color w:val="auto"/>
          <w:vertAlign w:val="subscript"/>
        </w:rPr>
      </w:pPr>
      <w:r>
        <w:rPr>
          <w:rFonts w:ascii="Arial" w:cs="Arial" w:eastAsia="Arial" w:hAnsi="Arial"/>
          <w:sz w:val="14"/>
          <w:szCs w:val="14"/>
          <w:color w:val="auto"/>
        </w:rPr>
        <w:t>Standby letter of credit for our owner-controlled insurance program.</w:t>
      </w:r>
    </w:p>
    <w:p>
      <w:pPr>
        <w:spacing w:after="0" w:line="70" w:lineRule="exact"/>
        <w:rPr>
          <w:rFonts w:ascii="Arial" w:cs="Arial" w:eastAsia="Arial" w:hAnsi="Arial"/>
          <w:sz w:val="27"/>
          <w:szCs w:val="27"/>
          <w:color w:val="auto"/>
          <w:vertAlign w:val="subscript"/>
        </w:rPr>
      </w:pPr>
    </w:p>
    <w:p>
      <w:pPr>
        <w:ind w:left="540" w:right="40" w:hanging="532"/>
        <w:spacing w:after="0" w:line="199" w:lineRule="auto"/>
        <w:tabs>
          <w:tab w:leader="none" w:pos="540" w:val="left"/>
        </w:tabs>
        <w:numPr>
          <w:ilvl w:val="0"/>
          <w:numId w:val="52"/>
        </w:numPr>
        <w:rPr>
          <w:rFonts w:ascii="Arial" w:cs="Arial" w:eastAsia="Arial" w:hAnsi="Arial"/>
          <w:sz w:val="24"/>
          <w:szCs w:val="24"/>
          <w:color w:val="auto"/>
          <w:vertAlign w:val="subscript"/>
        </w:rPr>
      </w:pPr>
      <w:r>
        <w:rPr>
          <w:rFonts w:ascii="Arial" w:cs="Arial" w:eastAsia="Arial" w:hAnsi="Arial"/>
          <w:sz w:val="12"/>
          <w:szCs w:val="12"/>
          <w:color w:val="auto"/>
        </w:rPr>
        <w:t>The Macau concession agreement requires Wynn Macau to invest approximately $500 millon (using the exchange rate as of August 11, 2002) on one or more Macau projects over a seven year period. Wynn Macau is obligated to open to the public its first casino in Macau by December 2006. Wynn Macau has not yet determined how many casinos it will build, the timing of the project(s), or whether it will begin construction and operations in separate phases at the first permanent casino resort site or open one or more temporary casinos during the construction of a permanent casino resort.</w:t>
      </w:r>
    </w:p>
    <w:p>
      <w:pPr>
        <w:ind w:left="540"/>
        <w:spacing w:after="0"/>
        <w:rPr>
          <w:rFonts w:ascii="Arial" w:cs="Arial" w:eastAsia="Arial" w:hAnsi="Arial"/>
          <w:sz w:val="24"/>
          <w:szCs w:val="24"/>
          <w:color w:val="auto"/>
          <w:vertAlign w:val="subscript"/>
        </w:rPr>
      </w:pPr>
      <w:r>
        <w:rPr>
          <w:rFonts w:ascii="Arial" w:cs="Arial" w:eastAsia="Arial" w:hAnsi="Arial"/>
          <w:sz w:val="14"/>
          <w:szCs w:val="14"/>
          <w:color w:val="auto"/>
        </w:rPr>
        <w:t>Accordingly, the full contractual commitment is shown as having to be made after five years, but the timing of the expenditures is subject to change.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Las Vegas, Wynn Golf Course and Valvino have entered into a commitment letter with Deutsche Bank Securities Inc., Banc of America Securities LLC, Bear, Stearns &amp; Co. Inc. and certain of their affiliates for a revolving credit facility of $750 million and a delay draw term loan facility of $250 million as part of the financing of Le Rêve. These lenders or their affiliates are also serving as the joint book-running managers of this offering. The revolving credit facility will mature on the sixth anniversary of the closing of the credit facilities. Borrowings under the delay draw term loan facility will be available until the second anniversary of the closing of the credit facilities and will be repayable in quarterly installments in amounts to be determined from the opening of Le Rêve until the seventh anniversary of the closing of the credit facilities. The credit facilities are expected to close concurrently with the closing of this offering. All amounts outstanding under the credit facilities will bear interest, at our option (subject to certain limitations), at either (1) a base rate equal to the greater of the administrative agent's prime lending rate and 0.5% in excess of the federal funds rate or (2) the Eurodollar rate, as determined by the administrative agent, in both cases plus certain margins. For each year after Le Rêve commences operations, our subsidiaries will be required to prepay our borrowings under the credit facilities with a percentage of our excess cash flow (as it will be defined in the credit facilities), initially 75%, reducing to 50% and then to 0% as we meet certain leverage ratios. The availability of financing under the credit facilities is subject to certain conditions, including the negotiation and execution of definitive agreements, the progress of the construction and other customary funding conditions for facilities of this kind.</w:t>
      </w:r>
    </w:p>
    <w:p>
      <w:pPr>
        <w:spacing w:after="0" w:line="17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we expect that the credit facilities will be secured by liens on substantially all of the assets of our subsidiaries that are necessary for the development, construction or operation of Le Rêve, including the real property underlying Le Rêve and the golf course and the 20-acre parcel fronting Las Vegas Boulevard adjacent to the site of Le Rêve. For a description of the terms of the credit facilities, see "Description of Certain Indebtedness—Credit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FF&amp;E Facility</w:t>
      </w:r>
    </w:p>
    <w:p>
      <w:pPr>
        <w:spacing w:after="0" w:line="225"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referred to as the FF&amp;E agents, for a $178.5 million FF&amp;E facility. The engagement letter provides that the FF&amp;E agents have agreed on a best efforts basis to syndicate the FF&amp;E facility. Wynn Las Vegas and the FF&amp;E agents are currently in the process of syndicating the FF&amp;E facility and negotiating the terms of the FF&amp;E facility with proposed lenders. The facility will provide financing or refinancing for furniture, fixtures and equipment to be used at Le Rêve. Wynn Las Vegas intends to use approximately $28.5 million of the FF&amp;E facility to refinance a loan made by Bank of America, N.A. to World Travel by</w:t>
      </w:r>
    </w:p>
    <w:p>
      <w:pPr>
        <w:sectPr>
          <w:pgSz w:w="11900" w:h="16838" w:orient="portrait"/>
          <w:cols w:equalWidth="0" w:num="1">
            <w:col w:w="11420"/>
          </w:cols>
          <w:pgMar w:left="240" w:top="131" w:right="239" w:bottom="0" w:gutter="0" w:footer="0" w:header="0"/>
        </w:sectPr>
      </w:pPr>
    </w:p>
    <w:bookmarkStart w:id="36" w:name="page37"/>
    <w:bookmarkEnd w:id="36"/>
    <w:p>
      <w:pPr>
        <w:spacing w:after="0" w:line="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means of a loan to be evidenced by an intercompany note from World Travel, secured by an aircraft mortgage on World Travel's Bombardier Global Express aircraft, legal title to which is owned by a trust in which World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Travel holds 100% of the beneficial interests. Valvino acquired World Travel from Mr. Wynn and has guaranteed the Bank of America loan. Wynn Las Vegas may use additional proceeds of the FF&amp;E facility to finance or refinance other furniture, fixtures or equipment purchased with proceeds of this offering or other funds. Obtaining the FF&amp;E facility will be a condition to the consummation of this offering. For more information, see "Use of Proceeds," "Certain Relationships and Related Party Transactions—Aircraft Arrangements" and "Description of Certain Indebtedness."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Concurrent with this offering, Wynn Las Vegas and Wynn Capital, our indirect subsidiaries, are jointly offering $350 million in aggregate principal amount of second mortgage notes as part of the financing for Le Rêve. We expect that the second mortgage notes will be secured by first priority liens on the account holding the proceeds of the second mortgage notes, by second priority liens on the assets that secure the credit facilities and by third priority liens on the assets that secure the FF&amp;E facility. For additional information about the terms of the second mortgage notes, see "Description of Certain Indebtedness—Second Mortgage Notes."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Resorts and its domestic and foreign subsidiaries related to the Macau opportunity will not be guarantors and will not be subject to the covenants in the second mortgage notes and the credit facilities. However, Wynn Resorts itself will become a guarantor, but will not be bound by the covenants, under the second mortgage notes or the credit facilities if Wynn Resorts incurs, or becomes a guarantor on, other indebtedness, subject to certain limited exceptions. If Wynn Resorts pledges assets to secure guarantees of other specified indebtedness prior to meeting prescribed leverage ratio and debt rating tests, then the second mortgage notes may be secured by second priority liens on the same Wynn Resorts' assets. The security interests in these assets may be released if certain tests are met.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Release of Certain Collateral</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representatives for the lenders under the credit facilities and the trustee for the second mortgage notes may release the liens on the approximately 137-acre golf course parcel and related collateral. The credit facility and the indenture will provide that the liens will be released after the third anniversary of commencing operations at Le Rêve and once we have achieved a total debt to earnings before interest, tax, depreciation and amortization ratio of 3.0 to 1.0 or less and if the credit facilities are rated BB+ or higher by Standard &amp; Poor's and Ba1 or higher by Moody's Investors Service immediately after giving effect to the release.</w:t>
      </w:r>
    </w:p>
    <w:p>
      <w:pPr>
        <w:spacing w:after="0" w:line="197"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to permit residential or other non-gaming related development if we satisfy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materially impair the overall value of Le Rêve. In addition, the credit facilities will provide that two acres of the golf course parcel will be released from the liens to permit the construction of a home for Mr. Wynn, so long as the construction will not interfere with the use of the golf course and otherwise could not reasonably be expected to materially impair the overall value of Le Rêve and Mr. Wynn pays us fair market value for the property. Upon release by the representative for the lenders under the credit facilities of these portions of the golf course, the trustee for the second mortgage note holders will automatically release their second priority liens on that property as well.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Finally, the credit facilities will provide that the liens on the 20-acre parcel fronting Las Vegas Boulevard adjacent to the site of Le Rêve will be released by representatives for the lenders under the credit facilities if we meet certain earnings before interest, taxes, depreciation and amortization targets for four consecutive calendar quarters after the commencement of operations at Le Rêve. In addition, the representatives of the lenders, by action of a specified percentage of the lenders, may release the liens on the 20-acre parcel if we meet certain earnings before interest, taxes, depreciation and amortization targets for two consecutive calendar quarters after the commencement of operations at Le Rêve. Upon such release by the representatives for the lenders, the trustee for the noteholders will automatically release their second priority liens on the 20-acre parcel. Upon release by the trustee and bank agent, the golf course parcel, or portions of such parcel, and the 20-acre parcel will not be available as security for the second mortgage notes or the indebtedness under the credit facilities. See "Risk Factors—Risks Related to Our Substantial Indebtedness—Our subsidiaries' indebtedness will be secured by a substantial portion of their assets."</w:t>
      </w:r>
    </w:p>
    <w:p>
      <w:pPr>
        <w:spacing w:after="0" w:line="172"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these assets are released from the liens under our subsidiaries' indebtedness, then those parcels provide a basis for future development of our business in Las Vegas, including a possible second hotel casino as a phase II development on the 20-acre parcel.</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Disbursements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intend to deposit all of the net proceeds from the offering of the second mortgage notes in a secured account pledged to the second mortgage note holders pursuant to an agreement with the trustee for the second mortgage note holders. Pursuant to the terms of the disbursement agreement, we are required to use a substantial portion of the cash equity contributed to Wynn Las Vegas before accessing the proceeds from the offering of the second mortgage notes or borrowing under the credit facilities or the FF&amp;E facility. We do not expect to request disbursements of the second mortgage note proceeds or to borrow under the credit facilities or the FF&amp;E facility until approximately ten to twelve months after the closing of this offering.</w:t>
      </w:r>
    </w:p>
    <w:p>
      <w:pPr>
        <w:spacing w:after="0" w:line="17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ability to receive disbursements from time to time of the second mortgage note proceeds from the secured account and to borrow under the credit facilities and the FF&amp;E facility will be, in addition to other customary conditions to funding for these types of facilities, subject to various conditions, including the following:</w:t>
      </w:r>
    </w:p>
    <w:p>
      <w:pPr>
        <w:spacing w:after="0" w:line="208"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the FF&amp;E facility or the indenture governing second mortgage notes;</w:t>
      </w:r>
    </w:p>
    <w:p>
      <w:pPr>
        <w:spacing w:after="0" w:line="252"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w:t>
      </w:r>
    </w:p>
    <w:p>
      <w:pPr>
        <w:sectPr>
          <w:pgSz w:w="11900" w:h="16844" w:orient="portrait"/>
          <w:cols w:equalWidth="0" w:num="1">
            <w:col w:w="11420"/>
          </w:cols>
          <w:pgMar w:left="240" w:top="131" w:right="239" w:bottom="0" w:gutter="0" w:footer="0" w:header="0"/>
        </w:sectPr>
      </w:pPr>
    </w:p>
    <w:bookmarkStart w:id="37" w:name="page38"/>
    <w:bookmarkEnd w:id="37"/>
    <w:p>
      <w:pPr>
        <w:ind w:left="1080"/>
        <w:spacing w:after="0"/>
        <w:rPr>
          <w:sz w:val="20"/>
          <w:szCs w:val="20"/>
          <w:color w:val="auto"/>
        </w:rPr>
      </w:pPr>
      <w:r>
        <w:rPr>
          <w:rFonts w:ascii="Arial" w:cs="Arial" w:eastAsia="Arial" w:hAnsi="Arial"/>
          <w:sz w:val="18"/>
          <w:szCs w:val="18"/>
          <w:color w:val="auto"/>
        </w:rPr>
        <w:t>construction plus the required contingency;</w:t>
      </w:r>
    </w:p>
    <w:p>
      <w:pPr>
        <w:spacing w:after="0" w:line="239" w:lineRule="exact"/>
        <w:rPr>
          <w:sz w:val="20"/>
          <w:szCs w:val="20"/>
          <w:color w:val="auto"/>
        </w:rPr>
      </w:pPr>
    </w:p>
    <w:p>
      <w:pPr>
        <w:ind w:left="1080" w:right="6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must certify that the Le Rêve project will be completed no later than August 31, 2005, subject to limited permitted extensions due to force majeure events;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certain of its affiliates;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conditions set forth in the disbursement agreement for the disbursement of funds must be satisfied;</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arrangements reasonably satisfactory to the lenders under the credit facilities and the FF&amp;E facility shall have been entered into and shall be in full force and effect to ensure that a gaming license for the Le Rêve project will be obtainable in the event that one of our major stockholders is unable to qualify for such license;</w:t>
      </w:r>
    </w:p>
    <w:p>
      <w:pPr>
        <w:spacing w:after="0" w:line="207"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subsidiaries must have obtained, if available on commercially reasonable terms, taking into account the state of the insurance market at such time and the then current practices of comparable projects, terrorism insurance in size and substance satisfactory to the lenders under the credit facilities; and</w:t>
      </w:r>
    </w:p>
    <w:p>
      <w:pPr>
        <w:spacing w:after="0" w:line="207" w:lineRule="exact"/>
        <w:rPr>
          <w:rFonts w:ascii="Arial" w:cs="Arial" w:eastAsia="Arial" w:hAnsi="Arial"/>
          <w:sz w:val="18"/>
          <w:szCs w:val="18"/>
          <w:color w:val="auto"/>
        </w:rPr>
      </w:pPr>
    </w:p>
    <w:p>
      <w:pPr>
        <w:ind w:left="1080" w:right="44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lenders under the credit facilities must be satisfied with the subcontractor bids received by our general contractor in respect of a specified percentage of the guaranteed maximum price under the construction contract, which percentage is to be mutually agreed upon by us and the lenders under the credit facilities.</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5"/>
          <w:szCs w:val="15"/>
          <w:color w:val="auto"/>
        </w:rPr>
        <w:t>See "Risk Factors—Risks Associated with Our Construction—There are significant conditions to the funding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Factors—Risks Associated with Our Construction— Development costs of Le Rêve are estimates only and actual costs may be higher than expected." The disbursement agreement will contain conditions precedent to our entering into scope change orders that will increase the anticipated costs of the project. These conditions will require us to fund equity into an account subject to a security interest in favor of the lenders under the credit facilities and the holders of the second mortgage notes in an amount equal to the anticipated incremental cost of the change orders. In addition, if we do not complete construction of Le Rêve by August 31, 2005, subject to limited permitted extensions due to force majeure events, our subsidiaries will be in default under the credit facilities, the indenture governing the second mortgage notes and the FF&amp;E facility, and the holders of the indebtedness will have the right to accelerate the indebtedness and exercise other rights and remedies against our subsidiaries, and against Wynn Resorts if Wynn Resorts becomes a guarantor of the indebtedness under the credit facilities and the second mortgage notes, or if liens on assets of Wynn Resorts secure the credit facilities or second mortgage notes. See "Risk Factors—Risks Related to Our Substantial Indebtedness—We are highly leveraged and future cash flow may not be sufficient for our subsidiaries to meet their obligations, and we might have difficulty obtaining more financing."</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Following the completion of Le Rêve, we expect to fund our operations and capital requirements from operating cash flow, and borrowings under the revolving credit facility. Assuming that Le Rêve opens in March 2005, we expect that the aggregate principal amount outstanding under the credit facilities, the FF&amp;E facility and the second mortgage notes will be approximately $1.5 billion. If completion of the project is delayed, then our subsidiaries' debt service obligations accruing prior to the actual opening of Le Rêve will increase correspondingly. We cannot assure you, however, that our business will generate sufficient cash flow from operations or that future borrowings available to us under the credit facilities will be sufficient to enable our subsidiaries to service and repay their indebtedness and to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fund our other liquidity needs. We may need to refinance all or a portion of our subsidiaries' indebtedness on or before maturity and, if Wynn Resorts incurs debt to do this, it may become a guarantor under the second mortgage notes and the credit facilities, subject to certain limited exceptions. Similarly, if Wynn Resorts pledges assets to secure guarantees of other specified indebtedness prior to meeting prescribed leverage ratio and debt rating tests, then the credit facilities and second mortgage notes may be secured by liens on the Wynn Resorts' assets. We cannot assure you that we will be able to refinance any of the indebtedness, including the credit facilities, the FF&amp;E facility or the second mortgage notes on acceptable terms or at all. See "Risk Factors—Risks Related to Our Substantial Indebtedness—We may not generate sufficient cash flow to meet our substantial debt service obligations and other obligations."</w:t>
      </w:r>
    </w:p>
    <w:p>
      <w:pPr>
        <w:spacing w:after="0" w:line="174"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 special purpose subsidiary of Wynn Las Vegas, formed with the intention of being bankruptcy-remote,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quarantee. These funds will be deposited into a collateral account to be held in cash or short-term highly-rated securities, and pledged to the senior lenders under the credit facilities and the holders of the second mortgage notes as security for the completion quarantee. Pursuant to the disbursement agreement, these funds will become available to us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Upon the completion and opening of Le Rêve, any amounts remaining in this account will be released to Wynn Resorts.</w:t>
      </w:r>
    </w:p>
    <w:p>
      <w:pPr>
        <w:spacing w:after="0" w:line="18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 addition, we will contribute $30 million of the net proceeds of this offering to Wynn Las Vegas to be held in a liquidity reserve account and pledged to the lenders under the credit facilities and second mortgage note holders to secure Wynn Las Vegas' obligation to complete Le Rêve. Until the opening of Le Rêve,</w:t>
      </w:r>
    </w:p>
    <w:p>
      <w:pPr>
        <w:sectPr>
          <w:pgSz w:w="11900" w:h="16838" w:orient="portrait"/>
          <w:cols w:equalWidth="0" w:num="1">
            <w:col w:w="11420"/>
          </w:cols>
          <w:pgMar w:left="240" w:top="131" w:right="239" w:bottom="0" w:gutter="0" w:footer="0" w:header="0"/>
        </w:sectPr>
      </w:pPr>
    </w:p>
    <w:bookmarkStart w:id="38" w:name="page39"/>
    <w:bookmarkEnd w:id="38"/>
    <w:p>
      <w:pPr>
        <w:spacing w:after="0" w:line="7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these funds may be applied to the costs to develop and construct Le Rêve in accordance with the disbursement agreement.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Following the completion and opening of Le Rêve, these funds will be available to meet our debt service needs in connection with the operation of Le Rêve. At such time as Wynn Las Vegas has met prescribed earnings before interest, taxes, depreciation and amortization targets for a period of four consecutive fiscal quarters after the opening of Le Rêve, any remaining funds will be used to reduce the outstanding balance on our revolving credit facility, but without reducing the revolving credit facility commitment.</w:t>
      </w:r>
    </w:p>
    <w:p>
      <w:pPr>
        <w:spacing w:after="0" w:line="172"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6"/>
          <w:szCs w:val="16"/>
          <w:color w:val="auto"/>
        </w:rPr>
        <w:t>As noted above, we operate an art gallery displaying works from The Wynn Collection on the former premises of the Desert Inn Resort &amp; Casino. We expect the art gallery to remain open during the construction of Le Rêve. We currently lease The Wynn Collection from Mr. and Mrs. Wynn at a monthly rate equal to the gross revenue received by the gallery each month, less direct expenses, subject to a monthly cap. Our lease agreement with Mr.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Mrs. Wynn did not require any such lease payments through June 30, 2002. However, had we been required to make such payments, no amounts would have been due under the lease payment formula because, to date, our expenses in operating the art gallery have exceeded the revenue generated from such operations. Prior to opening Le Rêve, we do not expect to make any material payments under this lease. The only financial exposure that we have under this lease is the cost of operating the art gallery, including insurance, which is not material. After specified notice periods, we or Mr. and Mrs. Wynn may terminate this lease.</w:t>
      </w:r>
    </w:p>
    <w:p>
      <w:pPr>
        <w:spacing w:after="0" w:line="152"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will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Wynn Macau has entered into a 20-year concession agreement with the government of Macau permitting it to construct and operate one or more casinos in Macau. The concession agreement obligates Wynn Macau to invest no less than a total of 4 billion patacas (currently approximately $500 million) on one or more projects by June 26, 2009 and to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 While Wynn Macau is still formulating its plans for the development of its operations in Macau, it is expected that significant additional financing will be needed to fund the development and construction of any Wynn Macau project in Macau. We do not expect financing for any such project to be provided by or through any of the issuers or guarantors (except for possibly Wynn Resorts, if it becomes a guarantor) of the second mortgage notes or any other financing relating to the Le Rêve project. Wynn Resorts' indirect economic ownership interest in Wynn Macau is expected to be approximately 82.5% prior to any such financing.</w:t>
      </w:r>
    </w:p>
    <w:p>
      <w:pPr>
        <w:spacing w:after="0" w:line="17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Wynn Macau's plans relating to the financing of the Macau opportunity are at the preliminary stages. Wynn Macau is considering different financing alternatives, including equity financing at the Wynn Macau level or at the level of one of Wynn Macau's intermediary holding companies, such as Wynn Resorts (Macau), Limited, and debt financing at the Wynn Macau level. If Wynn Resorts decides to raise equity at the Wynn Resorts level or at the Wynn Macau or intermediary holding company level to fund the Macau opportunity, its stockholders would suffer direct or indirect dilution of their interests. Wynn Macau has no commitments relating to such financing and we cannot assure you that Wynn Macau will be able to obtain such financing on acceptable terms or at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Our primary exposure to market risk will be interest rate risk associated with our revolving credit facility, delay draw term loan facility and FF&amp;E facility, each of which will bear interest based on floating rates. We will attempt to manage our interest rate risk by managing the mix of our long-term fixed rate borrowings and variable rate borrowings. We are required to obtain interest rate protection through interest rate swap arrangements with respect to 50% of our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Foreign Currency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results of operations do not depend upon moderate changes in the inflation rate.</w:t>
      </w:r>
    </w:p>
    <w:p>
      <w:pPr>
        <w:spacing w:after="0" w:line="225" w:lineRule="exact"/>
        <w:rPr>
          <w:sz w:val="20"/>
          <w:szCs w:val="20"/>
          <w:color w:val="auto"/>
        </w:rPr>
      </w:pPr>
    </w:p>
    <w:p>
      <w:pPr>
        <w:ind w:right="40" w:firstLine="341"/>
        <w:spacing w:after="0" w:line="310" w:lineRule="auto"/>
        <w:rPr>
          <w:sz w:val="20"/>
          <w:szCs w:val="20"/>
          <w:color w:val="auto"/>
        </w:rPr>
      </w:pPr>
      <w:r>
        <w:rPr>
          <w:rFonts w:ascii="Arial" w:cs="Arial" w:eastAsia="Arial" w:hAnsi="Arial"/>
          <w:sz w:val="15"/>
          <w:szCs w:val="15"/>
          <w:color w:val="auto"/>
        </w:rPr>
        <w:t>Although the Macau pataca is not a freely convertible currency, the Macau pataca and the Hong Kong dollar are linked to each other, and in many cases are used interchangeably in Macau. If Wynn Macau builds and/or operates one or more casinos in Macau, Wynn Resorts will be subject to foreign exchange risk with respect to the foreign currency exchange rates between the Hong Kong dollar and the U.S. dollar. We expect that most of the revenue for any casino that Wynn Macau operates in Macau will be in Hong Kong dollars. We expect that some of the revenue will be in Macau patacas, and we intend that substantially all expenses for such casino operations will be paid in Macau patacas first, and then in Hong Kong dollars. The exchange rate between the U.S. dollar and the Hong Kong dollar is linked and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and economic and political developments. Also, if Wynn Resorts' Macau-related entities incur debt denominated in U.S. dollars, fluctuations in the</w:t>
      </w:r>
    </w:p>
    <w:p>
      <w:pPr>
        <w:sectPr>
          <w:pgSz w:w="11900" w:h="16916" w:orient="portrait"/>
          <w:cols w:equalWidth="0" w:num="1">
            <w:col w:w="11420"/>
          </w:cols>
          <w:pgMar w:left="240" w:top="131" w:right="239" w:bottom="0" w:gutter="0" w:footer="0" w:header="0"/>
        </w:sectPr>
      </w:pPr>
    </w:p>
    <w:bookmarkStart w:id="39" w:name="page40"/>
    <w:bookmarkEnd w:id="39"/>
    <w:p>
      <w:pPr>
        <w:ind w:right="80"/>
        <w:spacing w:after="0" w:line="256" w:lineRule="auto"/>
        <w:rPr>
          <w:sz w:val="20"/>
          <w:szCs w:val="20"/>
          <w:color w:val="auto"/>
        </w:rPr>
      </w:pPr>
      <w:r>
        <w:rPr>
          <w:rFonts w:ascii="Arial" w:cs="Arial" w:eastAsia="Arial" w:hAnsi="Arial"/>
          <w:sz w:val="18"/>
          <w:szCs w:val="18"/>
          <w:color w:val="auto"/>
        </w:rPr>
        <w:t>exchange rates of the Macau pataca or the Hong Kong dollar, in relation to the U.S. dollar, could have an adverse effect on Wynn Macau's ability to service its debt and its results of operations and financial condition. In addition, Wynn Macau's payment and expenditure obligations under the concession agreement would increase in the case of unfavorable currency rate changes. Wynn Resorts has not yet determined whether it will engage in hedging activities to protect against foreign currency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Party Transactions."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Le Rêve. </w:t>
      </w:r>
      <w:r>
        <w:rPr>
          <w:rFonts w:ascii="Arial" w:cs="Arial" w:eastAsia="Arial" w:hAnsi="Arial"/>
          <w:sz w:val="16"/>
          <w:szCs w:val="16"/>
          <w:color w:val="auto"/>
        </w:rPr>
        <w:t>We are constructing and will own and operate Le Rêve, which we have designed to be the preeminent luxury hotel and destination casino resort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111,500 square foot casino, 18 distinctive dining outlets, an exclusive on-site 18-hole championship golf course and a new water-based entertainment production.</w:t>
      </w:r>
    </w:p>
    <w:p>
      <w:pPr>
        <w:spacing w:after="0" w:line="170"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Le Rêve is the concept of Stephen A. Wynn, one of Wynn Resorts' principal stockholders and its Chairman of the Board and Chief Executive Officer. 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8"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September 2002, with an opening to the general public scheduled for March 2005.</w:t>
      </w:r>
    </w:p>
    <w:p>
      <w:pPr>
        <w:spacing w:after="0" w:line="19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b w:val="1"/>
          <w:bCs w:val="1"/>
          <w:i w:val="1"/>
          <w:iCs w:val="1"/>
          <w:color w:val="auto"/>
        </w:rPr>
        <w:t xml:space="preserve">The Macau Opportunity. </w:t>
      </w:r>
      <w:r>
        <w:rPr>
          <w:rFonts w:ascii="Arial" w:cs="Arial" w:eastAsia="Arial" w:hAnsi="Arial"/>
          <w:sz w:val="16"/>
          <w:szCs w:val="16"/>
          <w:color w:val="auto"/>
        </w:rPr>
        <w:t>In addition to our planned operations in Las Vegas, Wynn Macau, which is a majority-owned indirect subsidiary of Wynn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Resorts, recently entered into a 20-year concession agreement with the government of the Macau Special Administrative Region of the People's Republic of China permitting Wynn Macau to construct and operate one or more casino gaming properties in Macau. Macau has been an established gaming market for at least 40 years and according to the U.S. &amp; Foreign Commercial Service American Consulate General, Hong Kong, generated approximately US $2.1 billion in gaming revenue in 2000. Wynn Macau is obligated to invest no less than a total of 4 billion patacas (currently approximately US $500 million) in one or more casino projects by June 26, 2009, and to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projects of public interest designated by the Macau government. There remain a number of objectives to be met by Wynn Macau and the government of Macau before Wynn Macau can pursue this opportunity. Currently, Wynn Macau is in the preliminary stages of formulating the strategy for its Macau operations. For example, in connection with the development and construction of the permanent Macau casino resort(s), Wynn Macau may decide to begin operations in separate phases at the first permanent Macau casino resort site or open one or more temporary casinos in Macau in locations other than the permanent site. Wynn Macau may begin casino operations in Macau prior to the opening of Le Rêve. See "Concession Agreement with the Government of Macau."</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Showcase the "Wynn Brand."</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Mr. Wynn's involvement with Le Rêve and the Macau opportunity provides a distinct advantage over other gaming enterprises in Las Vegas and Macau. We believe that Mr. Wynn is widely viewed as the premier designer, developer and operator of destination casino resorts in Las Vegas and, as such, has in effect developed a "brand name" status in the gaming industry.</w:t>
      </w:r>
    </w:p>
    <w:p>
      <w:pPr>
        <w:spacing w:after="0" w:line="194"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9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the major hotel destination casino resorts he has previously developed, Mr. Wynn has successfully employed a formula which integrates luxurious surroundings, upscale design, distinctive entertainment and superior amenities, including fine dining and high-end retail offerings, to create resorts that appeal to a variety of customers, especially high-end customers. We believe that Le Rêve will be Mr. Wynn's most innovative work to date.</w:t>
      </w:r>
    </w:p>
    <w:p>
      <w:pPr>
        <w:sectPr>
          <w:pgSz w:w="11900" w:h="16838" w:orient="portrait"/>
          <w:cols w:equalWidth="0" w:num="1">
            <w:col w:w="11420"/>
          </w:cols>
          <w:pgMar w:left="240" w:top="131" w:right="239" w:bottom="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40" w:name="page41"/>
    <w:bookmarkEnd w:id="40"/>
    <w:p>
      <w:pPr>
        <w:spacing w:after="0" w:line="20"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The Mirage(1)</w:t>
            </w:r>
          </w:p>
        </w:tc>
        <w:tc>
          <w:tcPr>
            <w:tcW w:w="10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Bellagio(1)</w:t>
            </w:r>
          </w:p>
        </w:tc>
        <w:tc>
          <w:tcPr>
            <w:tcW w:w="12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Le Rêve</w:t>
            </w:r>
          </w:p>
        </w:tc>
      </w:tr>
      <w:tr>
        <w:trPr>
          <w:trHeight w:val="120"/>
        </w:trPr>
        <w:tc>
          <w:tcPr>
            <w:tcW w:w="35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13"/>
        </w:trPr>
        <w:tc>
          <w:tcPr>
            <w:tcW w:w="3500" w:type="dxa"/>
            <w:vAlign w:val="bottom"/>
          </w:tcPr>
          <w:p>
            <w:pPr>
              <w:spacing w:after="0"/>
              <w:rPr>
                <w:sz w:val="20"/>
                <w:szCs w:val="20"/>
                <w:color w:val="auto"/>
              </w:rPr>
            </w:pPr>
            <w:r>
              <w:rPr>
                <w:rFonts w:ascii="Arial" w:cs="Arial" w:eastAsia="Arial" w:hAnsi="Arial"/>
                <w:sz w:val="18"/>
                <w:szCs w:val="18"/>
                <w:color w:val="auto"/>
              </w:rPr>
              <w:t>Year of Opening</w:t>
            </w:r>
          </w:p>
        </w:tc>
        <w:tc>
          <w:tcPr>
            <w:tcW w:w="10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1998(2)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March 2005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Property Acreage</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Total Hotel Rooms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2,701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Total Casino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107,200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111,500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Table Games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Slot Machines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Restaurants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Retail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35,000(2)</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92,160(6)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77,500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Convention Sq. Ft. (Gross)(7)</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170,000(8)</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125,000(6)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223,000</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Approx. Show Rooms Seating (#)</w:t>
            </w:r>
          </w:p>
        </w:tc>
        <w:tc>
          <w:tcPr>
            <w:tcW w:w="10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2,769(8)</w:t>
            </w: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1,800(6)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2,080</w:t>
            </w:r>
          </w:p>
        </w:tc>
      </w:tr>
      <w:tr>
        <w:trPr>
          <w:trHeight w:val="642"/>
        </w:trPr>
        <w:tc>
          <w:tcPr>
            <w:tcW w:w="3500" w:type="dxa"/>
            <w:vAlign w:val="bottom"/>
          </w:tcPr>
          <w:p>
            <w:pPr>
              <w:spacing w:after="0"/>
              <w:rPr>
                <w:sz w:val="20"/>
                <w:szCs w:val="20"/>
                <w:color w:val="auto"/>
              </w:rPr>
            </w:pPr>
            <w:r>
              <w:rPr>
                <w:rFonts w:ascii="Arial" w:cs="Arial" w:eastAsia="Arial" w:hAnsi="Arial"/>
                <w:sz w:val="18"/>
                <w:szCs w:val="18"/>
                <w:color w:val="auto"/>
              </w:rPr>
              <w:t>Entertainment/Attractions</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54 ft. erupting</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Dancing fountains</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Art gallery(10)</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volcano</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"O" (Cirque</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Franco Dragone's</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Dolphin habitat</w:t>
            </w:r>
          </w:p>
        </w:tc>
        <w:tc>
          <w:tcPr>
            <w:tcW w:w="1680" w:type="dxa"/>
            <w:vAlign w:val="bottom"/>
            <w:gridSpan w:val="3"/>
          </w:tcPr>
          <w:p>
            <w:pPr>
              <w:spacing w:after="0"/>
              <w:rPr>
                <w:sz w:val="20"/>
                <w:szCs w:val="20"/>
                <w:color w:val="auto"/>
              </w:rPr>
            </w:pPr>
            <w:r>
              <w:rPr>
                <w:rFonts w:ascii="Arial" w:cs="Arial" w:eastAsia="Arial" w:hAnsi="Arial"/>
                <w:sz w:val="18"/>
                <w:szCs w:val="18"/>
                <w:color w:val="auto"/>
              </w:rPr>
              <w:t>du Soleil)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water-based</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100 ft. atrium with</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Botanical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entertainment</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tropical garden</w:t>
            </w:r>
          </w:p>
        </w:tc>
        <w:tc>
          <w:tcPr>
            <w:tcW w:w="1680" w:type="dxa"/>
            <w:vAlign w:val="bottom"/>
            <w:gridSpan w:val="3"/>
          </w:tcPr>
          <w:p>
            <w:pPr>
              <w:spacing w:after="0"/>
              <w:rPr>
                <w:sz w:val="20"/>
                <w:szCs w:val="20"/>
                <w:color w:val="auto"/>
              </w:rPr>
            </w:pPr>
            <w:r>
              <w:rPr>
                <w:rFonts w:ascii="Arial" w:cs="Arial" w:eastAsia="Arial" w:hAnsi="Arial"/>
                <w:sz w:val="18"/>
                <w:szCs w:val="18"/>
                <w:color w:val="auto"/>
              </w:rPr>
              <w:t>conservatory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production</w:t>
            </w: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Siegfried &amp; Roy</w:t>
            </w:r>
          </w:p>
        </w:tc>
        <w:tc>
          <w:tcPr>
            <w:tcW w:w="1680" w:type="dxa"/>
            <w:vAlign w:val="bottom"/>
            <w:gridSpan w:val="3"/>
          </w:tcPr>
          <w:p>
            <w:pPr>
              <w:spacing w:after="0"/>
              <w:rPr>
                <w:sz w:val="20"/>
                <w:szCs w:val="20"/>
                <w:color w:val="auto"/>
              </w:rPr>
            </w:pPr>
            <w:r>
              <w:rPr>
                <w:rFonts w:ascii="Arial" w:cs="Arial" w:eastAsia="Arial" w:hAnsi="Arial"/>
                <w:sz w:val="18"/>
                <w:szCs w:val="18"/>
                <w:color w:val="auto"/>
              </w:rPr>
              <w:t>• Art gallery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Adjacent</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championship golf</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Shadow Creek golf</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course</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course(9)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Atrium garden</w:t>
            </w:r>
          </w:p>
        </w:tc>
      </w:tr>
      <w:tr>
        <w:trPr>
          <w:trHeight w:val="216"/>
        </w:trPr>
        <w:tc>
          <w:tcPr>
            <w:tcW w:w="35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Danny Gans 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feature</w:t>
            </w:r>
          </w:p>
        </w:tc>
      </w:tr>
      <w:tr>
        <w:trPr>
          <w:trHeight w:val="222"/>
        </w:trPr>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Mountain/lake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-3235325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-3235325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-3235325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-3235325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-3235325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-3235325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setting</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 Ferrari/Maserati</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dealership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22"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24"/>
          <w:szCs w:val="24"/>
          <w:color w:val="auto"/>
          <w:vertAlign w:val="subscript"/>
        </w:rPr>
      </w:pPr>
      <w:r>
        <w:rPr>
          <w:rFonts w:ascii="Arial" w:cs="Arial" w:eastAsia="Arial" w:hAnsi="Arial"/>
          <w:sz w:val="12"/>
          <w:szCs w:val="12"/>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56"/>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56"/>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1992 filed by Mirage Resorts. This number does not include Shadow Creek, an off-site golf course.</w:t>
      </w:r>
    </w:p>
    <w:p>
      <w:pPr>
        <w:ind w:left="540" w:right="120" w:hanging="532"/>
        <w:spacing w:after="0" w:line="191" w:lineRule="auto"/>
        <w:tabs>
          <w:tab w:leader="none" w:pos="540" w:val="left"/>
        </w:tabs>
        <w:numPr>
          <w:ilvl w:val="0"/>
          <w:numId w:val="56"/>
        </w:numPr>
        <w:rPr>
          <w:rFonts w:ascii="Arial" w:cs="Arial" w:eastAsia="Arial" w:hAnsi="Arial"/>
          <w:sz w:val="18"/>
          <w:szCs w:val="18"/>
          <w:color w:val="auto"/>
          <w:vertAlign w:val="subscript"/>
        </w:rPr>
      </w:pPr>
      <w:r>
        <w:rPr>
          <w:rFonts w:ascii="Arial" w:cs="Arial" w:eastAsia="Arial" w:hAnsi="Arial"/>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56"/>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The Mirage on May 23, 2002.</w:t>
      </w:r>
    </w:p>
    <w:p>
      <w:pPr>
        <w:ind w:left="540" w:hanging="532"/>
        <w:spacing w:after="0" w:line="197" w:lineRule="auto"/>
        <w:tabs>
          <w:tab w:leader="none" w:pos="540" w:val="left"/>
        </w:tabs>
        <w:numPr>
          <w:ilvl w:val="0"/>
          <w:numId w:val="56"/>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Bellagio on May 23, 2002.</w:t>
      </w:r>
    </w:p>
    <w:p>
      <w:pPr>
        <w:ind w:left="540" w:hanging="532"/>
        <w:spacing w:after="0" w:line="187" w:lineRule="auto"/>
        <w:tabs>
          <w:tab w:leader="none" w:pos="540" w:val="left"/>
        </w:tabs>
        <w:numPr>
          <w:ilvl w:val="0"/>
          <w:numId w:val="56"/>
        </w:numPr>
        <w:rPr>
          <w:rFonts w:ascii="Arial" w:cs="Arial" w:eastAsia="Arial" w:hAnsi="Arial"/>
          <w:sz w:val="12"/>
          <w:szCs w:val="12"/>
          <w:color w:val="auto"/>
          <w:vertAlign w:val="subscript"/>
        </w:rPr>
      </w:pPr>
      <w:r>
        <w:rPr>
          <w:rFonts w:ascii="Arial" w:cs="Arial" w:eastAsia="Arial" w:hAnsi="Arial"/>
          <w:sz w:val="8"/>
          <w:szCs w:val="8"/>
          <w:color w:val="auto"/>
        </w:rPr>
        <w:t>Includes circulation (corridors) and patio space.</w:t>
      </w:r>
    </w:p>
    <w:p>
      <w:pPr>
        <w:ind w:left="540" w:hanging="532"/>
        <w:spacing w:after="0" w:line="197" w:lineRule="auto"/>
        <w:tabs>
          <w:tab w:leader="none" w:pos="540" w:val="left"/>
        </w:tabs>
        <w:numPr>
          <w:ilvl w:val="0"/>
          <w:numId w:val="56"/>
        </w:numPr>
        <w:rPr>
          <w:rFonts w:ascii="Arial" w:cs="Arial" w:eastAsia="Arial" w:hAnsi="Arial"/>
          <w:sz w:val="10"/>
          <w:szCs w:val="10"/>
          <w:color w:val="auto"/>
          <w:vertAlign w:val="subscript"/>
        </w:rPr>
      </w:pPr>
      <w:r>
        <w:rPr>
          <w:rFonts w:ascii="Arial" w:cs="Arial" w:eastAsia="Arial" w:hAnsi="Arial"/>
          <w:sz w:val="8"/>
          <w:szCs w:val="8"/>
          <w:color w:val="auto"/>
        </w:rPr>
        <w:t xml:space="preserve">Based on information located at </w:t>
      </w:r>
      <w:r>
        <w:rPr>
          <w:rFonts w:ascii="Arial" w:cs="Arial" w:eastAsia="Arial" w:hAnsi="Arial"/>
          <w:sz w:val="8"/>
          <w:szCs w:val="8"/>
          <w:i w:val="1"/>
          <w:iCs w:val="1"/>
          <w:color w:val="auto"/>
        </w:rPr>
        <w:t>www.mirage.com</w:t>
      </w:r>
      <w:r>
        <w:rPr>
          <w:rFonts w:ascii="Arial" w:cs="Arial" w:eastAsia="Arial" w:hAnsi="Arial"/>
          <w:sz w:val="8"/>
          <w:szCs w:val="8"/>
          <w:color w:val="auto"/>
        </w:rPr>
        <w:t xml:space="preserve"> as of May 23, 2002.</w:t>
      </w:r>
    </w:p>
    <w:p>
      <w:pPr>
        <w:ind w:left="540" w:hanging="532"/>
        <w:spacing w:after="0" w:line="197" w:lineRule="auto"/>
        <w:tabs>
          <w:tab w:leader="none" w:pos="540" w:val="left"/>
        </w:tabs>
        <w:numPr>
          <w:ilvl w:val="0"/>
          <w:numId w:val="56"/>
        </w:numPr>
        <w:rPr>
          <w:rFonts w:ascii="Arial" w:cs="Arial" w:eastAsia="Arial" w:hAnsi="Arial"/>
          <w:sz w:val="10"/>
          <w:szCs w:val="10"/>
          <w:color w:val="auto"/>
          <w:vertAlign w:val="subscript"/>
        </w:rPr>
      </w:pPr>
      <w:r>
        <w:rPr>
          <w:rFonts w:ascii="Arial" w:cs="Arial" w:eastAsia="Arial" w:hAnsi="Arial"/>
          <w:sz w:val="8"/>
          <w:szCs w:val="8"/>
          <w:color w:val="auto"/>
        </w:rPr>
        <w:t>Shadow Creek golf course is located off-site approximately twelve miles from The Mirage.</w:t>
      </w:r>
    </w:p>
    <w:p>
      <w:pPr>
        <w:ind w:left="540" w:hanging="532"/>
        <w:spacing w:after="0" w:line="185" w:lineRule="auto"/>
        <w:tabs>
          <w:tab w:leader="none" w:pos="540" w:val="left"/>
        </w:tabs>
        <w:numPr>
          <w:ilvl w:val="0"/>
          <w:numId w:val="56"/>
        </w:numPr>
        <w:rPr>
          <w:rFonts w:ascii="Arial" w:cs="Arial" w:eastAsia="Arial" w:hAnsi="Arial"/>
          <w:sz w:val="18"/>
          <w:szCs w:val="18"/>
          <w:color w:val="auto"/>
          <w:vertAlign w:val="subscript"/>
        </w:rPr>
      </w:pPr>
      <w:r>
        <w:rPr>
          <w:rFonts w:ascii="Arial" w:cs="Arial" w:eastAsia="Arial" w:hAnsi="Arial"/>
          <w:sz w:val="10"/>
          <w:szCs w:val="10"/>
          <w:color w:val="auto"/>
        </w:rPr>
        <w:t>Featuring works from The Wynn Collection.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 guests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luxurious experience at a premier destination casino resort in Las Vegas. We believe that the quality of our hotel, the gaming experience that we intend to offer and the restaurants, retail outlets, entertainment offerings, golf course and other amenities at Le Rêve will enable us to create a first-class environment of elegance, sophistication and luxury.</w:t>
      </w:r>
    </w:p>
    <w:p>
      <w:pPr>
        <w:spacing w:after="0" w:line="197" w:lineRule="exact"/>
        <w:rPr>
          <w:sz w:val="20"/>
          <w:szCs w:val="20"/>
          <w:color w:val="auto"/>
        </w:rPr>
      </w:pPr>
    </w:p>
    <w:p>
      <w:pPr>
        <w:ind w:right="80" w:firstLine="351"/>
        <w:spacing w:after="0" w:line="284" w:lineRule="auto"/>
        <w:rPr>
          <w:sz w:val="20"/>
          <w:szCs w:val="20"/>
          <w:color w:val="auto"/>
        </w:rPr>
      </w:pPr>
      <w:r>
        <w:rPr>
          <w:rFonts w:ascii="Arial" w:cs="Arial" w:eastAsia="Arial" w:hAnsi="Arial"/>
          <w:sz w:val="16"/>
          <w:szCs w:val="16"/>
          <w:b w:val="1"/>
          <w:bCs w:val="1"/>
          <w:i w:val="1"/>
          <w:iCs w:val="1"/>
          <w:color w:val="auto"/>
        </w:rPr>
        <w:t xml:space="preserve">Pursue the Opportunity to be One of Three Casino Operators in Macau. </w:t>
      </w:r>
      <w:r>
        <w:rPr>
          <w:rFonts w:ascii="Arial" w:cs="Arial" w:eastAsia="Arial" w:hAnsi="Arial"/>
          <w:sz w:val="16"/>
          <w:szCs w:val="16"/>
          <w:color w:val="auto"/>
        </w:rPr>
        <w:t>Currently, Wynn Macau is one of only three concessionaires permitted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casinos in an established gaming market with access to gaming patrons principally from Hong Kong and mainland China. The concession agreement into which Wynn Macau has entered with the Macau government obligates Wynn Macau to invest not less than 4 billion patacas (currently approximately</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$500 million) on one or more casino projects by June 26, 2009 and to commence operations of its first permanent casino resort by the end of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 Wynn Macau is in the preliminary stages of formulating its strategy to capitalize on this opportunity while managing the risks of developing and operating gaming facilities in Macau. See "Business—The Macau Opportunity."</w:t>
      </w:r>
    </w:p>
    <w:p>
      <w:pPr>
        <w:spacing w:after="0" w:line="19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Explore Opportunities for Future Growth. </w:t>
      </w:r>
      <w:r>
        <w:rPr>
          <w:rFonts w:ascii="Arial" w:cs="Arial" w:eastAsia="Arial" w:hAnsi="Arial"/>
          <w:sz w:val="16"/>
          <w:szCs w:val="16"/>
          <w:color w:val="auto"/>
        </w:rPr>
        <w:t>We currently own approximately 212 acres of land, comprised of an approximately 55-acre plot on which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 is being constructed, an approximately 137-acre plot located behind the hotel on which the new golf course will be built, and an additional parcel of approximately 20 acres fronting Las Vegas Boulevard next to the Le Rêve site. We will use the 20-acre parcel while we are constructing Le Rêve for our corporate offices, pre-opening activities, recruiting and employment purposes and employee parking. If we meet prescribed cash flow tests for four consecutive calendar quarters after commencement of operations at Le Rêve, the 20-acre parcel will be released from the liens under the credit facilities and second mortgage notes and, in that event, we may decide to develop the parcel in the future, either on our own or through a joint venture. For example, in the future, we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pacing w:after="0" w:line="17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Similarly, three years after commencement of operations at Le Rêve and upon our satisfaction of prescribed maximum leverage ratio and minimum credit rating requirements, the land underlying the golf course, which is owned by Wynn Golf Course, a wholly owned indirect subsidiary of Wynn Resorts, will be released from the liens under the credit facilities and the indenture governing the second mortgage notes and could be transferred by Wynn Golf Course to Wynn Resorts or another entity. Should the land be released from the liens, the golf course parcel and our related property rights present further opportunities for future development by Wynn Resorts. In addition, portions of the golf course land may be released from the liens to permit residential or other non-gaming development if we satisfy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72"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In addition, we continue to explore opportunities to develop additional gaming or related businesses in Las Vegas or other markets, whether through acquisition, investment or development. Any such development would require us to obtain additional financing. We may</w:t>
      </w:r>
    </w:p>
    <w:p>
      <w:pPr>
        <w:sectPr>
          <w:pgSz w:w="11900" w:h="16858" w:orient="portrait"/>
          <w:cols w:equalWidth="0" w:num="1">
            <w:col w:w="11420"/>
          </w:cols>
          <w:pgMar w:left="240" w:top="131" w:right="239" w:bottom="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also decide to conduct any such development through Wynn Resorts or through a line of subsidiaries separate from the Le Rêve entities.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Capitalize on Our Experienced Management Team</w:t>
      </w:r>
    </w:p>
    <w:p>
      <w:pPr>
        <w:spacing w:after="0" w:line="225"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members of our management team have extensive experience in developing and operating large scale hotels and casinos, and many of them worked with Mr. Wynn at Mirage Resorts to develop Bellagio. In addition to our executive officers, each of whose backgrounds is described in "Management," Wynn Resorts' management team includes:</w:t>
      </w:r>
    </w:p>
    <w:p>
      <w:pPr>
        <w:spacing w:after="0" w:line="208"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Rob Oseland, who is Chief Operating Officer of Wynn Las Vegas and previously served as Vice President of Slot Operations of Bellagio;</w:t>
      </w:r>
    </w:p>
    <w:p>
      <w:pPr>
        <w:spacing w:after="0" w:line="275"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Linda Chen who is Executive Vice President of Wynn Las Vegas and previously served as Executive Vice President of Far East Marketing of MGM Grand;</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Doreen Whennen who is Vice President—Hotel Operations of Wynn Las Vegas and previously served as Vice President of Hotel Operations of The Mirage Casino-Hotel;</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Kevin Stuessi who is Vice President—Food &amp; Beverage of Wynn Las Vegas and previously served as Vice President of Food Service Planning of Mirage Resorts;</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Karen Bozich who is Vice President—Chief Information Officer of Wynn Las Vegas and oversaw the information systems requirements for the design, building and opening of Bellagio and Beau Rivage;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Pete Lexis who is Vice President—Customer Development of Wynn Las Vegas and previously served as Vice President of Casino Marketing of the Desert Inn;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 experience, talent and commitment of the members of our management team provide a substantial competitive advantage.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 Rêve Strategy</w:t>
      </w:r>
    </w:p>
    <w:p>
      <w:pPr>
        <w:spacing w:after="0" w:line="231" w:lineRule="exact"/>
        <w:rPr>
          <w:sz w:val="20"/>
          <w:szCs w:val="20"/>
          <w:color w:val="auto"/>
        </w:rPr>
      </w:pPr>
    </w:p>
    <w:p>
      <w:pPr>
        <w:ind w:right="240" w:firstLine="351"/>
        <w:spacing w:after="0" w:line="253" w:lineRule="auto"/>
        <w:rPr>
          <w:sz w:val="20"/>
          <w:szCs w:val="20"/>
          <w:color w:val="auto"/>
        </w:rPr>
      </w:pPr>
      <w:r>
        <w:rPr>
          <w:rFonts w:ascii="Arial" w:cs="Arial" w:eastAsia="Arial" w:hAnsi="Arial"/>
          <w:sz w:val="18"/>
          <w:szCs w:val="18"/>
          <w:b w:val="1"/>
          <w:bCs w:val="1"/>
          <w:i w:val="1"/>
          <w:iCs w:val="1"/>
          <w:color w:val="auto"/>
        </w:rPr>
        <w:t xml:space="preserve">Create a "Must-Visit" Destination Casino Resort on the Las Vegas Strip. </w:t>
      </w:r>
      <w:r>
        <w:rPr>
          <w:rFonts w:ascii="Arial" w:cs="Arial" w:eastAsia="Arial" w:hAnsi="Arial"/>
          <w:sz w:val="18"/>
          <w:szCs w:val="18"/>
          <w:color w:val="auto"/>
        </w:rPr>
        <w:t>We believe that Le Rêve will represent a natural extension of the concepts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20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elegance of Le Rêve, and its convenient location on the Las Vegas Strip, will appeal to a variety of market segments, including high-end, casino, convention, leisure and tour and travel customers.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i w:val="1"/>
          <w:iCs w:val="1"/>
          <w:color w:val="auto"/>
        </w:rPr>
        <w:t xml:space="preserve">Open the First New Major Hotel Casino Resort on the Las Vegas Strip in Almost Five Years. </w:t>
      </w:r>
      <w:r>
        <w:rPr>
          <w:rFonts w:ascii="Arial" w:cs="Arial" w:eastAsia="Arial" w:hAnsi="Arial"/>
          <w:sz w:val="16"/>
          <w:szCs w:val="16"/>
          <w:color w:val="auto"/>
        </w:rPr>
        <w:t>Although a number of hotel casino resorts have announced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March 2005, we believe that it will have been almost five years since a major new hotel casino resort opened on the Las Vegas Strip. As a result, we expect that there will be a high level of 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pacing w:after="0" w:line="172" w:lineRule="exact"/>
        <w:rPr>
          <w:sz w:val="20"/>
          <w:szCs w:val="20"/>
          <w:color w:val="auto"/>
        </w:rPr>
      </w:pPr>
    </w:p>
    <w:p>
      <w:pPr>
        <w:jc w:val="both"/>
        <w:ind w:right="5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Provide an Experience of the Highest Standard of Luxury in an Atmosphere of Casual Elegance. </w:t>
      </w:r>
      <w:r>
        <w:rPr>
          <w:rFonts w:ascii="Arial" w:cs="Arial" w:eastAsia="Arial" w:hAnsi="Arial"/>
          <w:sz w:val="16"/>
          <w:szCs w:val="16"/>
          <w:color w:val="auto"/>
        </w:rPr>
        <w:t>We are designing Le Rêve to appeal to upscale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key elements of our approach include:</w:t>
      </w:r>
    </w:p>
    <w:p>
      <w:pPr>
        <w:spacing w:after="0" w:line="252" w:lineRule="exact"/>
        <w:rPr>
          <w:sz w:val="20"/>
          <w:szCs w:val="20"/>
          <w:color w:val="auto"/>
        </w:rPr>
      </w:pPr>
    </w:p>
    <w:p>
      <w:pPr>
        <w:jc w:val="both"/>
        <w:ind w:left="1080" w:right="20" w:hanging="532"/>
        <w:spacing w:after="0" w:line="335" w:lineRule="auto"/>
        <w:tabs>
          <w:tab w:leader="none" w:pos="10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w:t>
      </w:r>
    </w:p>
    <w:p>
      <w:pPr>
        <w:sectPr>
          <w:pgSz w:w="11900" w:h="16838" w:orient="portrait"/>
          <w:cols w:equalWidth="0" w:num="1">
            <w:col w:w="11420"/>
          </w:cols>
          <w:pgMar w:left="240" w:top="131" w:right="239" w:bottom="0" w:gutter="0" w:footer="0" w:header="0"/>
        </w:sectPr>
      </w:pPr>
    </w:p>
    <w:bookmarkStart w:id="42" w:name="page43"/>
    <w:bookmarkEnd w:id="42"/>
    <w:p>
      <w:pPr>
        <w:spacing w:after="0" w:line="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feet and six large villas averaging approximately 7,000 square feet;</w:t>
      </w:r>
    </w:p>
    <w:p>
      <w:pPr>
        <w:spacing w:after="0" w:line="239" w:lineRule="exact"/>
        <w:rPr>
          <w:sz w:val="20"/>
          <w:szCs w:val="20"/>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Offering a casually elegant casino featuring an estimated 2,000 slot machines and 136 table games with gaming limits to accommodate a full range of casino customers;</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Offering 18 dining outlets, including six fine-dining restaurants, one of which will feature cuisine by Daniel Boulud of New York's DANIEL and Café Boulud restaurants;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Offering an on-site, full-service Ferrari and Maserati dealership;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10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Providing a high level of guest service at Le Rêve that we believe will surpass that offered at any other destination casino hotel in Las Vegas; and</w:t>
      </w:r>
    </w:p>
    <w:p>
      <w:pPr>
        <w:spacing w:after="0" w:line="261"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our guests easy access to premium shopping either at Le Rêve or across the street at the newly expanded and renovated Fashion Show Mall.</w:t>
      </w:r>
    </w:p>
    <w:p>
      <w:pPr>
        <w:spacing w:after="0" w:line="186" w:lineRule="exact"/>
        <w:rPr>
          <w:sz w:val="20"/>
          <w:szCs w:val="20"/>
          <w:color w:val="auto"/>
        </w:rPr>
      </w:pPr>
    </w:p>
    <w:p>
      <w:pPr>
        <w:ind w:right="80" w:firstLine="345"/>
        <w:spacing w:after="0" w:line="255" w:lineRule="auto"/>
        <w:rPr>
          <w:sz w:val="20"/>
          <w:szCs w:val="20"/>
          <w:color w:val="auto"/>
        </w:rPr>
      </w:pPr>
      <w:r>
        <w:rPr>
          <w:rFonts w:ascii="Arial" w:cs="Arial" w:eastAsia="Arial" w:hAnsi="Arial"/>
          <w:sz w:val="18"/>
          <w:szCs w:val="18"/>
          <w:b w:val="1"/>
          <w:bCs w:val="1"/>
          <w:i w:val="1"/>
          <w:iCs w:val="1"/>
          <w:color w:val="auto"/>
        </w:rPr>
        <w:t xml:space="preserve">Appeal to "High-Roller" and Premium Gaming Patrons. </w:t>
      </w:r>
      <w:r>
        <w:rPr>
          <w:rFonts w:ascii="Arial" w:cs="Arial" w:eastAsia="Arial" w:hAnsi="Arial"/>
          <w:sz w:val="18"/>
          <w:szCs w:val="18"/>
          <w:color w:val="auto"/>
        </w:rPr>
        <w:t>We believe that the premium level of luxury, sophistication and service we intend to offer at 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will offer approximately 290 suites and six villas, all elegantly decorated and furnished.</w:t>
      </w:r>
    </w:p>
    <w:p>
      <w:pPr>
        <w:spacing w:after="0" w:line="197"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Singapore, Taiwan, Europe, New York and southern California, as well as independent marketing representatives in major U.S. and foreign cities. Mr. Wynn is not bound by any non-competition or non-solicitation agreements with MGM Mirage arising out of the acquisition of MGM Grand's acquisition of Mirage Resorts.</w:t>
      </w:r>
    </w:p>
    <w:p>
      <w:pPr>
        <w:spacing w:after="0" w:line="20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Generate Substantial Revenue from Le Rêve's Non-Gaming Facilities. </w:t>
      </w:r>
      <w:r>
        <w:rPr>
          <w:rFonts w:ascii="Arial" w:cs="Arial" w:eastAsia="Arial" w:hAnsi="Arial"/>
          <w:sz w:val="18"/>
          <w:szCs w:val="18"/>
          <w:color w:val="auto"/>
        </w:rPr>
        <w:t>We have planned Le Rêve as a luxury destination resort with amenities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substantial non-gaming revenue. We expect that Le Rêve's superior non-gaming amenities outlined above will account for a substantial portion of our overall revenue.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Capitalize on the Attractive Location of Le Rêve.</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Extensive Frontage on the Las Vegas Strip. </w:t>
      </w:r>
      <w:r>
        <w:rPr>
          <w:rFonts w:ascii="Arial" w:cs="Arial" w:eastAsia="Arial" w:hAnsi="Arial"/>
          <w:sz w:val="18"/>
          <w:szCs w:val="18"/>
          <w:color w:val="auto"/>
        </w:rPr>
        <w:t>Le Rêve will be located on the Las Vegas Strip at the site of the former Desert Inn Resort &amp; Casino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 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300" w:firstLine="432"/>
        <w:spacing w:after="0" w:line="256" w:lineRule="auto"/>
        <w:rPr>
          <w:sz w:val="20"/>
          <w:szCs w:val="20"/>
          <w:color w:val="auto"/>
        </w:rPr>
      </w:pPr>
      <w:r>
        <w:rPr>
          <w:rFonts w:ascii="Arial" w:cs="Arial" w:eastAsia="Arial" w:hAnsi="Arial"/>
          <w:sz w:val="18"/>
          <w:szCs w:val="18"/>
          <w:i w:val="1"/>
          <w:iCs w:val="1"/>
          <w:color w:val="auto"/>
        </w:rPr>
        <w:t xml:space="preserve">Proximity to the Las Vegas Convention Center and the Sands Expo and Convention Center. </w:t>
      </w:r>
      <w:r>
        <w:rPr>
          <w:rFonts w:ascii="Arial" w:cs="Arial" w:eastAsia="Arial" w:hAnsi="Arial"/>
          <w:sz w:val="18"/>
          <w:szCs w:val="18"/>
          <w:color w:val="auto"/>
        </w:rPr>
        <w:t>According to Tradeshow Week 200, Las Vegas was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popular trade show destination in the United States in terms of net square footage and number of Tradeshow Week 200 shows in 2001, and one of the most popular convention destinations in the United States. Le Rêve will be across the street from two of the nation's largest convention centers, the Las Vegas Convention Center and the Sands Expo and Convention Center.</w:t>
      </w:r>
    </w:p>
    <w:p>
      <w:pPr>
        <w:spacing w:after="0" w:line="197" w:lineRule="exact"/>
        <w:rPr>
          <w:sz w:val="20"/>
          <w:szCs w:val="20"/>
          <w:color w:val="auto"/>
        </w:rPr>
      </w:pPr>
    </w:p>
    <w:p>
      <w:pPr>
        <w:ind w:right="180" w:firstLine="348"/>
        <w:spacing w:after="0" w:line="370" w:lineRule="auto"/>
        <w:rPr>
          <w:sz w:val="20"/>
          <w:szCs w:val="20"/>
          <w:color w:val="auto"/>
        </w:rPr>
      </w:pPr>
      <w:r>
        <w:rPr>
          <w:rFonts w:ascii="Arial" w:cs="Arial" w:eastAsia="Arial" w:hAnsi="Arial"/>
          <w:sz w:val="15"/>
          <w:szCs w:val="15"/>
          <w:color w:val="auto"/>
        </w:rPr>
        <w:t>The Las Vegas Convention Center contains approximately 3.2 million square feet of space. According to the Las Vegas Convention and Visitors Authority, approximately 1.3 million visitors attended trade shows and conventions at the Las Vegas Convention Center during 2001. We anticipate that Le Rêve will be</w:t>
      </w:r>
    </w:p>
    <w:p>
      <w:pPr>
        <w:sectPr>
          <w:pgSz w:w="11900" w:h="16894" w:orient="portrait"/>
          <w:cols w:equalWidth="0" w:num="1">
            <w:col w:w="11420"/>
          </w:cols>
          <w:pgMar w:left="240" w:top="131" w:right="239" w:bottom="0" w:gutter="0" w:footer="0" w:header="0"/>
        </w:sectPr>
      </w:pPr>
    </w:p>
    <w:bookmarkStart w:id="43" w:name="page44"/>
    <w:bookmarkEnd w:id="43"/>
    <w:p>
      <w:pPr>
        <w:ind w:right="80"/>
        <w:spacing w:after="0" w:line="254" w:lineRule="auto"/>
        <w:rPr>
          <w:sz w:val="20"/>
          <w:szCs w:val="20"/>
          <w:color w:val="auto"/>
        </w:rPr>
      </w:pPr>
      <w:r>
        <w:rPr>
          <w:rFonts w:ascii="Arial" w:cs="Arial" w:eastAsia="Arial" w:hAnsi="Arial"/>
          <w:sz w:val="18"/>
          <w:szCs w:val="18"/>
          <w:color w:val="auto"/>
        </w:rPr>
        <w:t>connected to the Las Vegas Convention Center by a pedestrian bridge over Paradise Road, and that the Las Vegas monorail at the intersection of Desert Inn Road and Paradise Road will meet the anticipated pedestrian bridge. In addition, we anticipate that our free shuttle service will transport convention and trade show attendees and other Le Rêve visitors to and from the Las Vegas Convention Center in approximately four minutes. The shuttle service will run along the north perimeter of the golf course and will be able to move several thousand people per hour. We believe that this will be attractive to convention and trade show visitors who will not need to wait in long lines for taxicabs and can avoid traffic congestion around the Las Vegas Convention Center in travelling to or from Le Rêve.</w:t>
      </w:r>
    </w:p>
    <w:p>
      <w:pPr>
        <w:spacing w:after="0" w:line="19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Le Rêve will be connected to the Sands Expo and Convention Center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believe that our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Proximity to the Fashion Show Mall. </w:t>
      </w:r>
      <w:r>
        <w:rPr>
          <w:rFonts w:ascii="Arial" w:cs="Arial" w:eastAsia="Arial" w:hAnsi="Arial"/>
          <w:sz w:val="16"/>
          <w:szCs w:val="16"/>
          <w:color w:val="auto"/>
        </w:rPr>
        <w:t>Le Rêve will be directly across Las Vegas Boulevard from The Rouse Company's Fashion Show Mall.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Carefully Manage Construction Costs and Risks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Wynn Design &amp; Development, a wholly owned indirect subsidiary of Wynn Resorts, is responsible for managing construction costs and risks associated with the project. Marnell Corrao will be the builder and general contractor for Le Rêve. Marnell Corrao has extensive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experience in building large Las Vegas destination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the design and construction costs are estimated to be approximately $1.4 billion. We have entered into a guaranteed maximum price construction contract covering approximately $919 million of the budgeted construction cost. The guaranteed maximum price is subject to increases based on scope changes and other exceptions, to construct the Le Rêve hotel and casino. Plans for a substantial portion of the budget for this contract have not been finalized. We plan to implement specific mechanisms that are intended to reduce the risk of construction cost overruns and delays, including:</w:t>
      </w:r>
    </w:p>
    <w:p>
      <w:pPr>
        <w:spacing w:after="0" w:line="215" w:lineRule="exact"/>
        <w:rPr>
          <w:sz w:val="20"/>
          <w:szCs w:val="20"/>
          <w:color w:val="auto"/>
        </w:rPr>
      </w:pPr>
    </w:p>
    <w:p>
      <w:pPr>
        <w:ind w:left="1080" w:right="2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212" w:lineRule="exact"/>
        <w:rPr>
          <w:rFonts w:ascii="Arial" w:cs="Arial" w:eastAsia="Arial" w:hAnsi="Arial"/>
          <w:sz w:val="18"/>
          <w:szCs w:val="18"/>
          <w:color w:val="auto"/>
        </w:rPr>
      </w:pPr>
    </w:p>
    <w:p>
      <w:pPr>
        <w:ind w:left="1080" w:right="420" w:hanging="532"/>
        <w:spacing w:after="0" w:line="298"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second mortgage note holders by a special purpose subsidiary of Wynn Las Vegas, which capital commitment will be secured by $50 million of the proceeds of this offering contributed to the subsidiary and deposited in a collateral account and pledged to the lenders under the credit facilities and second mortgage note holders, to be applied to the costs of the project in accordance with disbursement agreement;</w:t>
      </w:r>
    </w:p>
    <w:p>
      <w:pPr>
        <w:spacing w:after="0" w:line="180" w:lineRule="exact"/>
        <w:rPr>
          <w:rFonts w:ascii="Arial" w:cs="Arial" w:eastAsia="Arial" w:hAnsi="Arial"/>
          <w:sz w:val="16"/>
          <w:szCs w:val="16"/>
          <w:color w:val="auto"/>
        </w:rPr>
      </w:pPr>
    </w:p>
    <w:p>
      <w:pPr>
        <w:ind w:left="1080" w:right="180" w:hanging="532"/>
        <w:spacing w:after="0" w:line="306"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separate liquidity reserve account to be held by Wynn Las Vegas into which we will deposit $30 million of the net proceeds of this offering pledged to the lenders under the credit facilities and second mortgage note holders to secure Wynn Las Vegas' obligation to complete the project and to be applied to the costs of the project in accordance with the disbursement agreement; and</w:t>
      </w:r>
    </w:p>
    <w:p>
      <w:pPr>
        <w:spacing w:after="0" w:line="174"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anticipated availability under our subsidiaries' revolving credit facility to fund interest and commitment fees on our subsidiaries' debt obligations through the fourth month after our scheduled opening, if the opening is delayed.</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expect to solicit competitive bids in late summer 2002 for construction of the new golf course and to award the contract in the fourth quarter of 2002. We expect that the newly constructed golf course will be available for play when Le Rêve opens.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Features of the Le Rêve Project</w:t>
      </w:r>
    </w:p>
    <w:p>
      <w:pPr>
        <w:sectPr>
          <w:pgSz w:w="11900" w:h="16838" w:orient="portrait"/>
          <w:cols w:equalWidth="0" w:num="1">
            <w:col w:w="11400"/>
          </w:cols>
          <w:pgMar w:left="240" w:top="131" w:right="259" w:bottom="9"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9" w:gutter="0" w:footer="0" w:header="0"/>
          <w:type w:val="continuous"/>
        </w:sectPr>
      </w:pPr>
    </w:p>
    <w:bookmarkStart w:id="44" w:name="page45"/>
    <w:bookmarkEnd w:id="44"/>
    <w:p>
      <w:pPr>
        <w:ind w:right="200" w:firstLine="351"/>
        <w:spacing w:after="0" w:line="294" w:lineRule="auto"/>
        <w:rPr>
          <w:sz w:val="20"/>
          <w:szCs w:val="20"/>
          <w:color w:val="auto"/>
        </w:rPr>
      </w:pPr>
      <w:r>
        <w:rPr>
          <w:rFonts w:ascii="Arial" w:cs="Arial" w:eastAsia="Arial" w:hAnsi="Arial"/>
          <w:sz w:val="16"/>
          <w:szCs w:val="16"/>
          <w:b w:val="1"/>
          <w:bCs w:val="1"/>
          <w:i w:val="1"/>
          <w:iCs w:val="1"/>
          <w:color w:val="auto"/>
        </w:rPr>
        <w:t xml:space="preserve">The Hotel. </w:t>
      </w:r>
      <w:r>
        <w:rPr>
          <w:rFonts w:ascii="Arial" w:cs="Arial" w:eastAsia="Arial" w:hAnsi="Arial"/>
          <w:sz w:val="16"/>
          <w:szCs w:val="16"/>
          <w:color w:val="auto"/>
        </w:rPr>
        <w:t>We have designed Le Rêve's hotel tower to contain 45 floors of hotel rooms and suites on top of a three-story low-rise building housing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restaurants, retail outlets and the 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7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Le Rêve hotel guest main arrival area will feature an atrium garden adjacent to the registration desk with a view of Le Rêve lake below. We are designing Le Rêve to provide an intimate setting by minimizing walking distances throughout the hotel with a well-designed, organized floor plan to facilitate guest orientation and familiarity with the property. On average, walking distances from the registration hosts to the guest elevators will be only 460 feet. Comparative distances at The Venetian, Bellagio and The Mirage are approximately 530 feet, approximately 545 feet and approximately 570 feet, respectively. Once the guests arrive on their floor, the maximum walking distance to the most remote guest room will be approximately 240 feet, as compared to similar hotels such as Bellagio, The Mirage, Treasure Island at The Mirage and The Venetian at approximately 360 feet.</w:t>
      </w:r>
    </w:p>
    <w:p>
      <w:pPr>
        <w:spacing w:after="0" w:line="17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will also have large working desks equipped with convenient and accessible electrical outlets. Additionally, we expect that each guest room will have a dedicated high-speed Internet connection utilizing state-of-the-art broadband connections that, for a fee, can be upgraded for in-room wireless Internet access with an adapter. Generally, this type of broadband connection is not currently available in the guest rooms of other hotels in Las Vegas. Standard room bathrooms will have an oversized countertop, double sinks, a makeup area and television, a glass shower enclosure, a separate toilet compartment and a bathtub for two.</w:t>
      </w:r>
    </w:p>
    <w:p>
      <w:pPr>
        <w:spacing w:after="0" w:line="174"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also plan for Le Rêve to provide single and multiple bedroom luxury suites with superior amenities and furnishings designed to accommodate high-end hotel guests. Le Rêve will offer 270 parlor and salon suites (beginning at approximately 1,250 square feet) located in the tower of the hotel high-rise building and 21 one- and two-bedroom fairway 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pacing w:after="0" w:line="20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believe that we have designed these elegant and spacious suites to satisfy the expectations of the highly sought-after international gaming customer. The salon suites' living rooms and bedrooms are designed to have views overlooking the Las Vegas Strip or Las Vegas' surrounding geography. We plan for each salon suite to feature a luxurious lounge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area with a media center, adjacent dining or conference area, wet bar and oversized bathroom.</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21 fairway lanai suites will be situated in a three-story structure with seven suites on each floor and will be conveniently located near our four swimming pools. Each of our fairway lanai suites will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70"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also will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Casino. </w:t>
      </w:r>
      <w:r>
        <w:rPr>
          <w:rFonts w:ascii="Arial" w:cs="Arial" w:eastAsia="Arial" w:hAnsi="Arial"/>
          <w:sz w:val="16"/>
          <w:szCs w:val="16"/>
          <w:color w:val="auto"/>
        </w:rPr>
        <w:t>We expect Le Rêve to have an approximately 111,500 square foot casino located in the center of the first level of the low-rise building.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 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Each private gaming room will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The Golf Course. </w:t>
      </w:r>
      <w:r>
        <w:rPr>
          <w:rFonts w:ascii="Arial" w:cs="Arial" w:eastAsia="Arial" w:hAnsi="Arial"/>
          <w:sz w:val="16"/>
          <w:szCs w:val="16"/>
          <w:color w:val="auto"/>
        </w:rPr>
        <w:t>We plan to construct a world-class, 18-hole championship golf course at the site of the former Desert Inn golf course. Based on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available plans, when Le Rêve opens, we believe this golf course will be the only golf course on the site of a hotel casino resort on the Las Vegas Strip. Tom Fazio and Mr. Wynn, the designers of the Shadow Creek golf course owned by MGM Mirage, have designed our course. The Le Rêve golf course will be accessible only to hotel guests of Le Rêve. We expect that the course will feature three lakes and a series of meandering streams that will carve their way from the west to east end of the property. We have designed the golf course with dramatic elevation changes and plan to include water on almost every hole. Unlike other courses available to Las Vegas visitors, our golf course will be adjacent to the hotel and will be visible from the windows of many of Le Rêve's meeting and convention rooms. We expect that Le Rêve's golf course will be available for play when Le Rêve opens.</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Restaurants, Lounges, Bars and Nightclub. </w:t>
      </w:r>
      <w:r>
        <w:rPr>
          <w:rFonts w:ascii="Arial" w:cs="Arial" w:eastAsia="Arial" w:hAnsi="Arial"/>
          <w:sz w:val="16"/>
          <w:szCs w:val="16"/>
          <w:color w:val="auto"/>
        </w:rPr>
        <w:t>We plan to offer 18 food and beverage outlets, including six fine-dining restaurants and an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 Management, LLC to provide the cuisine and services of Daniel Boulud, who was named "Chef of the Year" by </w:t>
      </w:r>
      <w:r>
        <w:rPr>
          <w:rFonts w:ascii="Arial" w:cs="Arial" w:eastAsia="Arial" w:hAnsi="Arial"/>
          <w:sz w:val="16"/>
          <w:szCs w:val="16"/>
          <w:i w:val="1"/>
          <w:iCs w:val="1"/>
          <w:color w:val="auto"/>
        </w:rPr>
        <w:t>Bon Appetit Magazine</w:t>
      </w:r>
      <w:r>
        <w:rPr>
          <w:rFonts w:ascii="Arial" w:cs="Arial" w:eastAsia="Arial" w:hAnsi="Arial"/>
          <w:sz w:val="16"/>
          <w:szCs w:val="16"/>
          <w:color w:val="auto"/>
        </w:rPr>
        <w:t>, and is known for his New York restaurants, DANIEL and Café Boulud. DANIEL has been awarded four stars by the New York</w:t>
      </w:r>
    </w:p>
    <w:p>
      <w:pPr>
        <w:sectPr>
          <w:pgSz w:w="11900" w:h="16838" w:orient="portrait"/>
          <w:cols w:equalWidth="0" w:num="1">
            <w:col w:w="11400"/>
          </w:cols>
          <w:pgMar w:left="240" w:top="131"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00"/>
          </w:cols>
          <w:pgMar w:left="240" w:top="131" w:right="259" w:bottom="0" w:gutter="0" w:footer="0" w:header="0"/>
          <w:type w:val="continuous"/>
        </w:sectPr>
      </w:pPr>
    </w:p>
    <w:bookmarkStart w:id="45" w:name="page46"/>
    <w:bookmarkEnd w:id="45"/>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xml:space="preserve">Times, rated one of the ten best restaurants in the world by </w:t>
      </w:r>
      <w:r>
        <w:rPr>
          <w:rFonts w:ascii="Arial" w:cs="Arial" w:eastAsia="Arial" w:hAnsi="Arial"/>
          <w:sz w:val="16"/>
          <w:szCs w:val="16"/>
          <w:i w:val="1"/>
          <w:iCs w:val="1"/>
          <w:color w:val="auto"/>
        </w:rPr>
        <w:t>The International Herald Tribune</w:t>
      </w:r>
      <w:r>
        <w:rPr>
          <w:rFonts w:ascii="Arial" w:cs="Arial" w:eastAsia="Arial" w:hAnsi="Arial"/>
          <w:sz w:val="16"/>
          <w:szCs w:val="16"/>
          <w:color w:val="auto"/>
        </w:rPr>
        <w:t xml:space="preserve"> and received </w:t>
      </w:r>
      <w:r>
        <w:rPr>
          <w:rFonts w:ascii="Arial" w:cs="Arial" w:eastAsia="Arial" w:hAnsi="Arial"/>
          <w:sz w:val="16"/>
          <w:szCs w:val="16"/>
          <w:i w:val="1"/>
          <w:iCs w:val="1"/>
          <w:color w:val="auto"/>
        </w:rPr>
        <w:t>Gourmet Magazine's</w:t>
      </w:r>
      <w:r>
        <w:rPr>
          <w:rFonts w:ascii="Arial" w:cs="Arial" w:eastAsia="Arial" w:hAnsi="Arial"/>
          <w:sz w:val="16"/>
          <w:szCs w:val="16"/>
          <w:color w:val="auto"/>
        </w:rPr>
        <w:t xml:space="preserve"> "Top Table" award.</w:t>
      </w:r>
    </w:p>
    <w:p>
      <w:pPr>
        <w:spacing w:after="0" w:line="248" w:lineRule="exact"/>
        <w:rPr>
          <w:sz w:val="20"/>
          <w:szCs w:val="20"/>
          <w:color w:val="auto"/>
        </w:rPr>
      </w:pPr>
    </w:p>
    <w:p>
      <w:pPr>
        <w:jc w:val="both"/>
        <w:ind w:right="380" w:firstLine="348"/>
        <w:spacing w:after="0" w:line="259" w:lineRule="auto"/>
        <w:rPr>
          <w:sz w:val="20"/>
          <w:szCs w:val="20"/>
          <w:color w:val="auto"/>
        </w:rPr>
      </w:pPr>
      <w:r>
        <w:rPr>
          <w:rFonts w:ascii="Arial" w:cs="Arial" w:eastAsia="Arial" w:hAnsi="Arial"/>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94"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 Showroom. </w:t>
      </w:r>
      <w:r>
        <w:rPr>
          <w:rFonts w:ascii="Arial" w:cs="Arial" w:eastAsia="Arial" w:hAnsi="Arial"/>
          <w:sz w:val="16"/>
          <w:szCs w:val="16"/>
          <w:color w:val="auto"/>
        </w:rPr>
        <w:t>Le Rêve's showroom will be customized to accommodate the unveiling of Franco Dragone's new water-based entertainment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have been consistently sold out since opening.</w:t>
      </w:r>
    </w:p>
    <w:p>
      <w:pPr>
        <w:spacing w:after="0" w:line="167"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7"/>
          <w:szCs w:val="17"/>
          <w:b w:val="1"/>
          <w:bCs w:val="1"/>
          <w:i w:val="1"/>
          <w:iCs w:val="1"/>
          <w:color w:val="auto"/>
        </w:rPr>
        <w:t xml:space="preserve">The Art Gallery. </w:t>
      </w:r>
      <w:r>
        <w:rPr>
          <w:rFonts w:ascii="Arial" w:cs="Arial" w:eastAsia="Arial" w:hAnsi="Arial"/>
          <w:sz w:val="17"/>
          <w:szCs w:val="17"/>
          <w:color w:val="auto"/>
        </w:rPr>
        <w:t>Le Rêve will also offer an art gallery displaying rare paintings from The Wynn Collection. The Wynn Collection consists of works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and 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currently operate an art gallery in our office building on the 20-acre parcel and pay for the insurance on the works of art and will continue to do so after Le Rêve opens. We lease The Wynn Collection from Mr. and Mrs. Wynn at a monthly rate equal to the gross revenue received by the gallery each month, less direct expenses, subject to a monthly cap. Prior to opening Le Rêve, we do not expect to make any material payments under this lease. The only financial exposure that we have under this lease is the cost of operating the art gallery, including insurance, which is not material. After specified notice periods, we or Mr. and Mrs. Wynn may terminate this lease.</w:t>
      </w:r>
    </w:p>
    <w:p>
      <w:pPr>
        <w:spacing w:after="0" w:line="19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The Ferrari and Maserati Dealership. </w:t>
      </w:r>
      <w:r>
        <w:rPr>
          <w:rFonts w:ascii="Arial" w:cs="Arial" w:eastAsia="Arial" w:hAnsi="Arial"/>
          <w:sz w:val="18"/>
          <w:szCs w:val="18"/>
          <w:color w:val="auto"/>
        </w:rPr>
        <w:t>We have entered into letters of intent with Ferrari North America, Inc. and Maserati North America, Inc. to open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on-site, full-service Ferrari and Maserati dealership. We expect that our franchises will include a service and maintenance facility, as well as a café and retail store. Currently, there are only 29 Ferrari dealerships in the United States and we expect ours to be the first in Nevada. The dealership will be located near the main entrance to the hotel.</w:t>
      </w:r>
    </w:p>
    <w:p>
      <w:pPr>
        <w:spacing w:after="0" w:line="197" w:lineRule="exact"/>
        <w:rPr>
          <w:sz w:val="20"/>
          <w:szCs w:val="20"/>
          <w:color w:val="auto"/>
        </w:rPr>
      </w:pPr>
    </w:p>
    <w:p>
      <w:pPr>
        <w:ind w:right="340" w:firstLine="348"/>
        <w:spacing w:after="0" w:line="254" w:lineRule="auto"/>
        <w:rPr>
          <w:sz w:val="20"/>
          <w:szCs w:val="20"/>
          <w:color w:val="auto"/>
        </w:rPr>
      </w:pPr>
      <w:r>
        <w:rPr>
          <w:rFonts w:ascii="Arial" w:cs="Arial" w:eastAsia="Arial" w:hAnsi="Arial"/>
          <w:sz w:val="18"/>
          <w:szCs w:val="18"/>
          <w:color w:val="auto"/>
        </w:rPr>
        <w:t>The letters of intent require us to submit designs and plans for the dealership to Ferrari North America and Maserati North America for approval and to satisfy certain financing and other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 will have first and senior priority security interests in their respective franchises. Under the letters of intent, no changes in the proportional equity interests in Wynn Resorts held by Mr. Wynn,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Aruze USA, Baron Asset Fund and our public stockholders as a group upon consummation of this offering can be made without the approval of Ferrari North America and Maserati North America.</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Retail Space. </w:t>
      </w:r>
      <w:r>
        <w:rPr>
          <w:rFonts w:ascii="Arial" w:cs="Arial" w:eastAsia="Arial" w:hAnsi="Arial"/>
          <w:sz w:val="16"/>
          <w:szCs w:val="16"/>
          <w:color w:val="auto"/>
        </w:rPr>
        <w:t>Le Rêve will contain approximately 77,500 square feet dedicated to retail shops. We expect to lease approximately eight of the shops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6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The Spa, Salon and Fitness Complex. </w:t>
      </w:r>
      <w:r>
        <w:rPr>
          <w:rFonts w:ascii="Arial" w:cs="Arial" w:eastAsia="Arial" w:hAnsi="Arial"/>
          <w:sz w:val="16"/>
          <w:szCs w:val="16"/>
          <w:color w:val="auto"/>
        </w:rPr>
        <w:t>We will own and operate a world-class spa, salon and fitness complex offering high-end spa treatments and fitness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and custom label and branded skin and body treatment products, as well as clothing, accessories, and athletic wear. The 38,000 square foot spa and salon complex will be directly accessible from the main guestrooms, the suites and villas, and pool deck elevators.</w:t>
      </w:r>
    </w:p>
    <w:p>
      <w:pPr>
        <w:spacing w:after="0" w:line="16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Le Rêve will offer its guests four outdoor swimming pools and two whirlpool spas. One swimming pool and one whirlpool spa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dedicated for the exclusive use of our suite guests. The pool areas will feature private cabanas and lush landscaping.</w:t>
      </w:r>
    </w:p>
    <w:p>
      <w:pPr>
        <w:spacing w:after="0" w:line="186"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Convention, Meeting and Reception Facilities. </w:t>
      </w:r>
      <w:r>
        <w:rPr>
          <w:rFonts w:ascii="Arial" w:cs="Arial" w:eastAsia="Arial" w:hAnsi="Arial"/>
          <w:sz w:val="16"/>
          <w:szCs w:val="16"/>
          <w:color w:val="auto"/>
        </w:rPr>
        <w:t>Le Rêve will feature approximately 223,000 square feet of convention, meeting and reception space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corridors and patio space), including a grand ballroom, a junior ballroom and meeting rooms with outdoor patios overlooking either the pool area or the golf course, as well as boardrooms and a business center. Covered patios off of the meeting rooms are available as pre-function or break-out areas.</w:t>
      </w:r>
    </w:p>
    <w:p>
      <w:pPr>
        <w:spacing w:after="0" w:line="161"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The 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Our north parking garage, which will have easy access to our hotel, will provide approximately 1,840 parking spaces for our guests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there will be approximately 4,050 parking spaces available to guests and employees of Le Rêve.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Design and Construction Team</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Resorts' indirect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93" w:orient="portrait"/>
          <w:cols w:equalWidth="0" w:num="1">
            <w:col w:w="11400"/>
          </w:cols>
          <w:pgMar w:left="240" w:top="725" w:right="259" w:bottom="0" w:gutter="0" w:footer="0" w:header="0"/>
        </w:sectPr>
      </w:pPr>
    </w:p>
    <w:bookmarkStart w:id="46" w:name="page47"/>
    <w:bookmarkEnd w:id="46"/>
    <w:p>
      <w:pPr>
        <w:ind w:left="1080" w:right="60"/>
        <w:spacing w:after="0" w:line="255" w:lineRule="auto"/>
        <w:rPr>
          <w:sz w:val="20"/>
          <w:szCs w:val="20"/>
          <w:color w:val="auto"/>
        </w:rPr>
      </w:pPr>
      <w:r>
        <w:rPr>
          <w:rFonts w:ascii="Arial" w:cs="Arial" w:eastAsia="Arial" w:hAnsi="Arial"/>
          <w:sz w:val="18"/>
          <w:szCs w:val="18"/>
          <w:i w:val="1"/>
          <w:iCs w:val="1"/>
          <w:color w:val="auto"/>
        </w:rPr>
        <w:t>Kenneth R. Wynn, President</w:t>
      </w:r>
      <w:r>
        <w:rPr>
          <w:rFonts w:ascii="Arial" w:cs="Arial" w:eastAsia="Arial" w:hAnsi="Arial"/>
          <w:sz w:val="18"/>
          <w:szCs w:val="18"/>
          <w:color w:val="auto"/>
        </w:rPr>
        <w:t>. Kenneth R. Wynn will be supervising the construction, architectural and interior design and purchasing for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 including Bellagio, The Mirage, Treasure Island at The Mirage and Golden Nugget—Las Vegas.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W. Todd Nisbet, Executive Vice President—Project Director. </w:t>
      </w:r>
      <w:r>
        <w:rPr>
          <w:rFonts w:ascii="Arial" w:cs="Arial" w:eastAsia="Arial" w:hAnsi="Arial"/>
          <w:sz w:val="16"/>
          <w:szCs w:val="16"/>
          <w:color w:val="auto"/>
        </w:rPr>
        <w:t>Mr. Nisbet will be supervising the construction of Le Rêve. Mr. Nisbet has over</w:t>
      </w:r>
    </w:p>
    <w:p>
      <w:pPr>
        <w:spacing w:after="0" w:line="38" w:lineRule="exact"/>
        <w:rPr>
          <w:rFonts w:ascii="Arial" w:cs="Arial" w:eastAsia="Arial" w:hAnsi="Arial"/>
          <w:sz w:val="16"/>
          <w:szCs w:val="16"/>
          <w:color w:val="auto"/>
        </w:rPr>
      </w:pPr>
    </w:p>
    <w:p>
      <w:pPr>
        <w:ind w:left="1080" w:right="60"/>
        <w:spacing w:after="0" w:line="255" w:lineRule="auto"/>
        <w:rPr>
          <w:rFonts w:ascii="Arial" w:cs="Arial" w:eastAsia="Arial" w:hAnsi="Arial"/>
          <w:sz w:val="16"/>
          <w:szCs w:val="16"/>
          <w:color w:val="auto"/>
        </w:rPr>
      </w:pPr>
      <w:r>
        <w:rPr>
          <w:rFonts w:ascii="Arial" w:cs="Arial" w:eastAsia="Arial" w:hAnsi="Arial"/>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225"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DeRuyter O. Butler, Executive Vice President—Architecture. </w:t>
      </w:r>
      <w:r>
        <w:rPr>
          <w:rFonts w:ascii="Arial" w:cs="Arial" w:eastAsia="Arial" w:hAnsi="Arial"/>
          <w:sz w:val="18"/>
          <w:szCs w:val="18"/>
          <w:color w:val="auto"/>
        </w:rPr>
        <w:t>Mr. Butler has been employed by Atlandia Design &amp; Furnishings or Wynn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207" w:lineRule="exact"/>
        <w:rPr>
          <w:rFonts w:ascii="Arial" w:cs="Arial" w:eastAsia="Arial" w:hAnsi="Arial"/>
          <w:sz w:val="18"/>
          <w:szCs w:val="18"/>
          <w:color w:val="auto"/>
        </w:rPr>
      </w:pPr>
    </w:p>
    <w:p>
      <w:pPr>
        <w:ind w:left="1080" w:right="100" w:hanging="532"/>
        <w:spacing w:after="0" w:line="298"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Roger P. Thomas, Executive Vice President—Design. </w:t>
      </w:r>
      <w:r>
        <w:rPr>
          <w:rFonts w:ascii="Arial" w:cs="Arial" w:eastAsia="Arial" w:hAnsi="Arial"/>
          <w:sz w:val="16"/>
          <w:szCs w:val="16"/>
          <w:color w:val="auto"/>
        </w:rPr>
        <w:t>Mr. Thomas, who served as the Vice President—Design for Atlandia Design &amp; Furnishings</w:t>
      </w:r>
      <w:r>
        <w:rPr>
          <w:rFonts w:ascii="Arial" w:cs="Arial" w:eastAsia="Arial" w:hAnsi="Arial"/>
          <w:sz w:val="16"/>
          <w:szCs w:val="16"/>
          <w:i w:val="1"/>
          <w:iCs w:val="1"/>
          <w:color w:val="auto"/>
        </w:rPr>
        <w:t xml:space="preserve"> </w:t>
      </w:r>
      <w:r>
        <w:rPr>
          <w:rFonts w:ascii="Arial" w:cs="Arial" w:eastAsia="Arial" w:hAnsi="Arial"/>
          <w:sz w:val="16"/>
          <w:szCs w:val="16"/>
          <w:color w:val="auto"/>
        </w:rPr>
        <w:t>for over 15 years, was responsible for the interior design of The Mirage, including the standard rooms, suites and villas, the spa and salon, the Siegfried &amp; Roy and Danny Gans showrooms and the expansion of the convention center. In addition, Mr. Thomas supervised the interior design of Bellagio, Treasure Island at The Mirage and the Golden Nugget—Las Vegas.</w:t>
      </w:r>
    </w:p>
    <w:p>
      <w:pPr>
        <w:spacing w:after="0" w:line="180" w:lineRule="exact"/>
        <w:rPr>
          <w:rFonts w:ascii="Arial" w:cs="Arial" w:eastAsia="Arial" w:hAnsi="Arial"/>
          <w:sz w:val="16"/>
          <w:szCs w:val="16"/>
          <w:color w:val="auto"/>
        </w:rPr>
      </w:pPr>
    </w:p>
    <w:p>
      <w:pPr>
        <w:ind w:left="1080" w:right="100" w:hanging="532"/>
        <w:spacing w:after="0" w:line="306"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Janellen Sachs Radoff, Vice President—Design. </w:t>
      </w:r>
      <w:r>
        <w:rPr>
          <w:rFonts w:ascii="Arial" w:cs="Arial" w:eastAsia="Arial" w:hAnsi="Arial"/>
          <w:sz w:val="16"/>
          <w:szCs w:val="16"/>
          <w:color w:val="auto"/>
        </w:rPr>
        <w:t>Ms. Radoff held the position of Executive Designer at Atlandia Design &amp; Furnishings for almost</w:t>
      </w:r>
      <w:r>
        <w:rPr>
          <w:rFonts w:ascii="Arial" w:cs="Arial" w:eastAsia="Arial" w:hAnsi="Arial"/>
          <w:sz w:val="16"/>
          <w:szCs w:val="16"/>
          <w:i w:val="1"/>
          <w:iCs w:val="1"/>
          <w:color w:val="auto"/>
        </w:rPr>
        <w:t xml:space="preserve"> </w:t>
      </w:r>
      <w:r>
        <w:rPr>
          <w:rFonts w:ascii="Arial" w:cs="Arial" w:eastAsia="Arial" w:hAnsi="Arial"/>
          <w:sz w:val="16"/>
          <w:szCs w:val="16"/>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Schedule and Budget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scheduled groundbreaking for Le Rêve to occur in September 2002, with an opening to the general public scheduled for March 2005.</w:t>
      </w:r>
    </w:p>
    <w:p>
      <w:pPr>
        <w:spacing w:after="0" w:line="248"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Wynn Design &amp; Development, an indirect wholly owned subsidiary of Wynn Resorts,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20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Of the estimated $2.4 billion total development cost for Le Rêve, the design and construction costs are budgeted to be approximately $1.4 billion, including the cost of constructing the golf course and principal parking garage, but excluding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97"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is subject to increases based on scope changes and other exceptions.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 See "Construction Contracts for Le Rêve" and "Risk Factors—Risks Associated with Our Construction of Le Rêve."</w:t>
      </w:r>
    </w:p>
    <w:p>
      <w:pPr>
        <w:spacing w:after="0" w:line="198"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Approximately $485 million of the $1.4 billion budgeted design and construction cost expenditures are not part of the Marnell Corrao guaranteed maximum price contract. These budgeted costs include:</w:t>
      </w:r>
    </w:p>
    <w:p>
      <w:pPr>
        <w:spacing w:after="0" w:line="213" w:lineRule="exact"/>
        <w:rPr>
          <w:sz w:val="20"/>
          <w:szCs w:val="20"/>
          <w:color w:val="auto"/>
        </w:rPr>
      </w:pPr>
    </w:p>
    <w:p>
      <w:pPr>
        <w:ind w:left="1080" w:right="60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 we expect to solicit competitive bids in late summer 2002 for construction of the new golf course and to award the construction contract in the fourth quarter of 2002;</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$66.1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131" w:right="279" w:bottom="0" w:gutter="0" w:footer="0" w:header="0"/>
        </w:sectPr>
      </w:pPr>
    </w:p>
    <w:bookmarkStart w:id="47" w:name="page48"/>
    <w:bookmarkEnd w:id="47"/>
    <w:p>
      <w:pPr>
        <w:ind w:left="1080"/>
        <w:spacing w:after="0"/>
        <w:rPr>
          <w:sz w:val="20"/>
          <w:szCs w:val="20"/>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39"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52"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estimated insurance costs of approximately $12.6 million for builder's risk insurance, fees and reserves under the owner-controlled insurance program, umbrella and excess liability insurance and design professional liability insurance during the construction period;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jc w:val="both"/>
        <w:ind w:right="320" w:firstLine="348"/>
        <w:spacing w:after="0" w:line="306"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$485 million of budgeted design and construction costs, we have spent approximately 8.4% to date. We have received bids with respect to items comprising another 36.6% of these remaining budgeted costs (though we have not accepted these bids and therefore the bids are subject to change). Accordingly, we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have spent money or received non-binding bids for a total of approximately 45% of these remaining budgeted costs.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expect to solicit competitive bids in late summer 2002 for the construction of the golf course and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expect to lease approximately eight of the retail shops at Le Rêve to third parties and intend to provide some of our retail tenants an allowance for improvements as part of the lease arrangements. We will own and operate the remaining approximately eighteen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9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86" w:lineRule="exact"/>
        <w:rPr>
          <w:sz w:val="20"/>
          <w:szCs w:val="20"/>
          <w:color w:val="auto"/>
        </w:rPr>
      </w:pPr>
    </w:p>
    <w:p>
      <w:pPr>
        <w:ind w:right="460" w:firstLine="348"/>
        <w:spacing w:after="0" w:line="370" w:lineRule="auto"/>
        <w:rPr>
          <w:sz w:val="20"/>
          <w:szCs w:val="20"/>
          <w:color w:val="auto"/>
        </w:rPr>
      </w:pPr>
      <w:r>
        <w:rPr>
          <w:rFonts w:ascii="Arial" w:cs="Arial" w:eastAsia="Arial" w:hAnsi="Arial"/>
          <w:sz w:val="15"/>
          <w:szCs w:val="15"/>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30" w:lineRule="exact"/>
        <w:rPr>
          <w:sz w:val="20"/>
          <w:szCs w:val="20"/>
          <w:color w:val="auto"/>
        </w:rPr>
      </w:pPr>
    </w:p>
    <w:p>
      <w:pPr>
        <w:ind w:left="1080" w:right="24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212"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second mortgage note holders by a special purpose subsidiary of Wynn Las Vegas, which will be secured by $50 million of the proceeds of this offering contributed to the subsidiary and deposited in a collateral account and pledged to the lenders under the credit facilities and the second mortgage note holders, to be applied to the costs of the project in accordance with the disbursement agreement;</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liquidity reserve account to be held by Wynn Las Vegas into which we will deposit $30 million of the net proceeds of this offering pledged to the lenders under the credit facilities and second mortgage note holders to secure Wynn Las Vegas' obligation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complete the project and to be applied to the costs of the project in accordance with the disbursement agreement; and</w:t>
      </w:r>
    </w:p>
    <w:p>
      <w:pPr>
        <w:spacing w:after="0" w:line="23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$49 million under our subsidiaries' revolving credit facility.</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Despite these protections, design and construction costs may be significantly higher than expected. Furthermore, if we do not complete construction of Le Rêve by August 31, 2005, subject to limited permitted extensions due to force majeure events, our subsidiaries will be in default under the credit facilities and the second mortgage notes and the holders of the indebtedness will have the right to accelerate the indebtedness and exercise other rights and remedies against our subsidiaries. See "Risk Factors—Risks Related to Our Substantial Indebtedness—We are highly leveraged and future cash flow may not be sufficient for our subsidiaries to meet their obligations, and we might have difficulty obtaining more financing." We do not expect to be able to obtain insurance for delayed opening of Le Rêve, loss of use of the project or loss due to force majeure events. See "Risk Factors—Risks Associated with Our Construction."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Water Show Entertainment Production Agreement</w:t>
      </w:r>
    </w:p>
    <w:p>
      <w:pPr>
        <w:spacing w:after="0" w:line="231" w:lineRule="exact"/>
        <w:rPr>
          <w:sz w:val="20"/>
          <w:szCs w:val="20"/>
          <w:color w:val="auto"/>
        </w:rPr>
      </w:pPr>
    </w:p>
    <w:p>
      <w:pPr>
        <w:jc w:val="both"/>
        <w:ind w:right="80" w:firstLine="348"/>
        <w:spacing w:after="0" w:line="370" w:lineRule="auto"/>
        <w:rPr>
          <w:sz w:val="20"/>
          <w:szCs w:val="20"/>
          <w:color w:val="auto"/>
        </w:rPr>
      </w:pPr>
      <w:r>
        <w:rPr>
          <w:rFonts w:ascii="Arial" w:cs="Arial" w:eastAsia="Arial" w:hAnsi="Arial"/>
          <w:sz w:val="15"/>
          <w:szCs w:val="15"/>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under the agreement, as it will be amended,</w:t>
      </w:r>
    </w:p>
    <w:p>
      <w:pPr>
        <w:sectPr>
          <w:pgSz w:w="11900" w:h="16838" w:orient="portrait"/>
          <w:cols w:equalWidth="0" w:num="1">
            <w:col w:w="11400"/>
          </w:cols>
          <w:pgMar w:left="240" w:top="131" w:right="259" w:bottom="0" w:gutter="0" w:footer="0" w:header="0"/>
        </w:sectPr>
      </w:pPr>
    </w:p>
    <w:bookmarkStart w:id="48" w:name="page49"/>
    <w:bookmarkEnd w:id="48"/>
    <w:p>
      <w:pPr>
        <w:ind w:right="20"/>
        <w:spacing w:after="0" w:line="289" w:lineRule="auto"/>
        <w:rPr>
          <w:sz w:val="20"/>
          <w:szCs w:val="20"/>
          <w:color w:val="auto"/>
        </w:rPr>
      </w:pPr>
      <w:r>
        <w:rPr>
          <w:rFonts w:ascii="Arial" w:cs="Arial" w:eastAsia="Arial" w:hAnsi="Arial"/>
          <w:sz w:val="16"/>
          <w:szCs w:val="16"/>
          <w:color w:val="auto"/>
        </w:rPr>
        <w:t>Calitri will be required to employ Franco Dragone as the principal creator of the production. The concept of the production, which involves a water-based show in Le Rêve's showroom, has already been approved by Mr. Wynn and is under development and pre-production. Wynn Las Vegas will pay Calitri a $2 million creation fee, $1 million of which has been paid, and fund parts of the development and production budgets. Wynn Las Vegas will pay the remaining $1 million of this fee upon the completion of this offering. In addition, Calitri will receive 10% of the revenue and one-half of the profits of the production. We also anticipate that Calitri and Wynn Las Vegas will have joint and equal ownership rights to the production and any related intellectual property rights and that the initial term of the agreement will be ten years. However, it is also currently contemplated that, if the production fails to satisfy certain revenue requirements, Wynn Las Vegas will be able to terminate the agreement prior to the end of its term. In addition, it is contemplated that the agreement, as amended, will provide Wynn Las Vegas with an option to renew the agreement for an additional five-year term.</w:t>
      </w:r>
    </w:p>
    <w:p>
      <w:pPr>
        <w:spacing w:after="0" w:line="172"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also paid Calitri $1 million for an option with respect to a second production for Le Rêve or for another project. We anticipate that we or one of our subsidiaries will be required to pay an additional $1 million if we exercise the option.</w:t>
      </w:r>
    </w:p>
    <w:p>
      <w:pPr>
        <w:spacing w:after="0" w:line="186" w:lineRule="exact"/>
        <w:rPr>
          <w:sz w:val="20"/>
          <w:szCs w:val="20"/>
          <w:color w:val="auto"/>
        </w:rPr>
      </w:pPr>
    </w:p>
    <w:p>
      <w:pPr>
        <w:ind w:left="360"/>
        <w:spacing w:after="0"/>
        <w:tabs>
          <w:tab w:leader="none" w:pos="7660" w:val="left"/>
        </w:tabs>
        <w:rPr>
          <w:sz w:val="20"/>
          <w:szCs w:val="20"/>
          <w:color w:val="auto"/>
        </w:rPr>
      </w:pPr>
      <w:r>
        <w:rPr>
          <w:rFonts w:ascii="Arial" w:cs="Arial" w:eastAsia="Arial" w:hAnsi="Arial"/>
          <w:sz w:val="18"/>
          <w:szCs w:val="18"/>
          <w:color w:val="auto"/>
        </w:rPr>
        <w:t>Following the completion of this offering, Wynn Resorts plans to grant Mr. Dragone an award of</w:t>
      </w:r>
      <w:r>
        <w:rPr>
          <w:sz w:val="20"/>
          <w:szCs w:val="20"/>
          <w:color w:val="auto"/>
        </w:rPr>
        <w:tab/>
      </w:r>
      <w:r>
        <w:rPr>
          <w:rFonts w:ascii="Arial" w:cs="Arial" w:eastAsia="Arial" w:hAnsi="Arial"/>
          <w:sz w:val="16"/>
          <w:szCs w:val="16"/>
          <w:color w:val="auto"/>
        </w:rPr>
        <w:t>shares of restricted stock. The restricted stock will</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be subject to Wynn Resorts' repurchase right, which will lapse in June 2006. This restricted stock award is intended to be part of the compensation paid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Dragone for his role as principal creator of the production. Although the form of the restricted stock grant has not been finalized, management believes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based on the fair value of the stock grant at the measurement date, will be recognized and that such compensation expense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capitalized as part of the cost of constructing the entertainment production. Because the price of the stock at the measurement date is presently unknown and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form of the agreement has yet to be finalized, management is unable to estimate the amount of compensation expense expected to be associated with the restricted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 grant at this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Las Vegas Market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Las Vegas is one of the fastest growing leisure, lodging and entertainment markets in the country. Las Vegas hotel occupancy rates are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visitors in 2001, a compound annual growth rate of 3.3%. Aggregate expenditures by these visitors increased at a compound annual growth rate of 7.5%, from approximately $22.5 billion in 1996 to approximately $31.6 billion in 2001. The number of residents in Clark County, the greater Las Vegas area, has increased from 1,115,940 residents in 1996 to 1,425,723 residents in 2000, a compound annual growth rate of 6.6%.</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Expanding Hotel and Gaming Market. </w:t>
      </w:r>
      <w:r>
        <w:rPr>
          <w:rFonts w:ascii="Arial" w:cs="Arial" w:eastAsia="Arial" w:hAnsi="Arial"/>
          <w:sz w:val="18"/>
          <w:szCs w:val="18"/>
          <w:color w:val="auto"/>
        </w:rPr>
        <w:t>Las Vegas has one of the strongest and most resilient hotel markets in the country and, according to the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hotel rooms in Las Vegas, hotel total occupancy rates for all days exceeded on average 90.6% for the years 1990 to 1999, averaged 92.5% in 2000 and 88.9%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133350</wp:posOffset>
            </wp:positionV>
            <wp:extent cx="5454015" cy="27355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40" w:firstLine="341"/>
        <w:spacing w:after="0" w:line="332" w:lineRule="auto"/>
        <w:rPr>
          <w:sz w:val="20"/>
          <w:szCs w:val="20"/>
          <w:color w:val="auto"/>
        </w:rPr>
      </w:pPr>
      <w:r>
        <w:rPr>
          <w:rFonts w:ascii="Arial" w:cs="Arial" w:eastAsia="Arial" w:hAnsi="Arial"/>
          <w:sz w:val="16"/>
          <w:szCs w:val="16"/>
          <w:color w:val="auto"/>
        </w:rPr>
        <w:t>According to the Las Vegas Convention and Visitors Authority, Clark County gross gaming revenue has increased by 31%, from approximately $5.8 billion in 1996 to approximately $7.6 billion in 2001. As a result of the increased popularity of gaming, Las Vegas has sought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to increase its popularity as an overall vacation resort destination. The number of hotel rooms in Las Vegas has increased by 30.6% from 80,952 in 1996 to 105,702 in 2001.</w:t>
      </w:r>
    </w:p>
    <w:p>
      <w:pPr>
        <w:sectPr>
          <w:pgSz w:w="11900" w:h="16838" w:orient="portrait"/>
          <w:cols w:equalWidth="0" w:num="1">
            <w:col w:w="11420"/>
          </w:cols>
          <w:pgMar w:left="240" w:top="131" w:right="239" w:bottom="46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946785</wp:posOffset>
            </wp:positionH>
            <wp:positionV relativeFrom="page">
              <wp:posOffset>88900</wp:posOffset>
            </wp:positionV>
            <wp:extent cx="5668645" cy="25298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600"/>
        <w:spacing w:after="0" w:line="259" w:lineRule="auto"/>
        <w:rPr>
          <w:sz w:val="20"/>
          <w:szCs w:val="20"/>
          <w:color w:val="auto"/>
        </w:rPr>
      </w:pPr>
      <w:r>
        <w:rPr>
          <w:rFonts w:ascii="Arial" w:cs="Arial" w:eastAsia="Arial" w:hAnsi="Arial"/>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Growth of Las Vegas Retail Sector and Non-Gaming Revenue Expenditures. </w:t>
      </w:r>
      <w:r>
        <w:rPr>
          <w:rFonts w:ascii="Arial" w:cs="Arial" w:eastAsia="Arial" w:hAnsi="Arial"/>
          <w:sz w:val="16"/>
          <w:szCs w:val="16"/>
          <w:color w:val="auto"/>
        </w:rPr>
        <w:t>The Las Vegas market continues to evolve from its historical gaming focus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broader entertainment and leisure offerings. In addition to the traditional attractiveness of gaming, the market is continuing to expand to include retail, fine dining, sporting activities, major 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as a Convention Center Attraction. </w:t>
      </w:r>
      <w:r>
        <w:rPr>
          <w:rFonts w:ascii="Arial" w:cs="Arial" w:eastAsia="Arial" w:hAnsi="Arial"/>
          <w:sz w:val="16"/>
          <w:szCs w:val="16"/>
          <w:color w:val="auto"/>
        </w:rPr>
        <w:t>According to Tradeshow Week 200, an annual publication that analyzes the 200 largest trade shows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and convention revenue.</w:t>
      </w:r>
    </w:p>
    <w:p>
      <w:pPr>
        <w:spacing w:after="0" w:line="170" w:lineRule="exact"/>
        <w:rPr>
          <w:sz w:val="20"/>
          <w:szCs w:val="20"/>
          <w:color w:val="auto"/>
        </w:rPr>
      </w:pPr>
    </w:p>
    <w:p>
      <w:pPr>
        <w:jc w:val="both"/>
        <w:ind w:right="380" w:firstLine="348"/>
        <w:spacing w:after="0" w:line="306" w:lineRule="auto"/>
        <w:rPr>
          <w:sz w:val="20"/>
          <w:szCs w:val="20"/>
          <w:color w:val="auto"/>
        </w:rPr>
      </w:pPr>
      <w:r>
        <w:rPr>
          <w:rFonts w:ascii="Arial" w:cs="Arial" w:eastAsia="Arial" w:hAnsi="Arial"/>
          <w:sz w:val="16"/>
          <w:szCs w:val="16"/>
          <w:color w:val="auto"/>
        </w:rPr>
        <w:t>Trade shows are held for the purpose of getting sellers and buyers of products or services together in order to conduct business. Trade shows differ from conventions in that trade shows typically require substantial amounts of space for exhibition purposes and participant circulation. Conventions generally are gatherings of companies or groups that require less space for breakout meetings and general meetings of the overall group. Las Vegas offers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 estimated completion date in early 2003. We believe that Las Vegas will continue to evolve as one of the country's preferred trade show and convention destinations.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Statistics on the Las Vegas Gaming Industry. </w:t>
      </w:r>
      <w:r>
        <w:rPr>
          <w:rFonts w:ascii="Arial" w:cs="Arial" w:eastAsia="Arial" w:hAnsi="Arial"/>
          <w:sz w:val="16"/>
          <w:szCs w:val="16"/>
          <w:color w:val="auto"/>
        </w:rPr>
        <w:t>The following table sets forth certain information derived from published reports of the Las Vegas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Historical Data for Las Vegas Gaming Industry(1)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Compounded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Las Vegas Visitor Volume</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29,636,361</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30,464,635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33,809,134</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35,849,691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35,017,317</w:t>
            </w:r>
          </w:p>
        </w:tc>
        <w:tc>
          <w:tcPr>
            <w:tcW w:w="1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97"/>
        </w:trPr>
        <w:tc>
          <w:tcPr>
            <w:tcW w:w="1660" w:type="dxa"/>
            <w:vAlign w:val="bottom"/>
            <w:gridSpan w:val="3"/>
          </w:tcPr>
          <w:p>
            <w:pPr>
              <w:spacing w:after="0"/>
              <w:rPr>
                <w:sz w:val="20"/>
                <w:szCs w:val="20"/>
                <w:color w:val="auto"/>
              </w:rPr>
            </w:pPr>
            <w:r>
              <w:rPr>
                <w:rFonts w:ascii="Arial" w:cs="Arial" w:eastAsia="Arial" w:hAnsi="Arial"/>
                <w:sz w:val="14"/>
                <w:szCs w:val="14"/>
                <w:color w:val="auto"/>
                <w:w w:val="92"/>
              </w:rPr>
              <w:t>Total Visitor Expenditures(2)</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22,533,258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24,952,189</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24,577,469</w:t>
            </w:r>
          </w:p>
        </w:tc>
        <w:tc>
          <w:tcPr>
            <w:tcW w:w="120" w:type="dxa"/>
            <w:vAlign w:val="bottom"/>
          </w:tcPr>
          <w:p>
            <w:pPr>
              <w:spacing w:after="0"/>
              <w:rPr>
                <w:sz w:val="24"/>
                <w:szCs w:val="2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28,695,178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31,462,337</w:t>
            </w:r>
          </w:p>
        </w:tc>
        <w:tc>
          <w:tcPr>
            <w:tcW w:w="30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31,555,924</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Strip Gaming</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Revenue(2)</w:t>
            </w:r>
          </w:p>
        </w:tc>
        <w:tc>
          <w:tcPr>
            <w:tcW w:w="3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3,579,269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3,809,354</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3,812,408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4,490,330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4,805,572</w:t>
            </w:r>
          </w:p>
        </w:tc>
        <w:tc>
          <w:tcPr>
            <w:tcW w:w="3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4,703,692</w:t>
            </w:r>
          </w:p>
        </w:tc>
        <w:tc>
          <w:tcPr>
            <w:tcW w:w="14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6"/>
        </w:trPr>
        <w:tc>
          <w:tcPr>
            <w:tcW w:w="1660" w:type="dxa"/>
            <w:vAlign w:val="bottom"/>
            <w:gridSpan w:val="3"/>
          </w:tcPr>
          <w:p>
            <w:pPr>
              <w:spacing w:after="0"/>
              <w:rPr>
                <w:sz w:val="20"/>
                <w:szCs w:val="20"/>
                <w:color w:val="auto"/>
              </w:rPr>
            </w:pPr>
            <w:r>
              <w:rPr>
                <w:rFonts w:ascii="Arial" w:cs="Arial" w:eastAsia="Arial" w:hAnsi="Arial"/>
                <w:sz w:val="14"/>
                <w:szCs w:val="14"/>
                <w:color w:val="auto"/>
              </w:rPr>
              <w:t>Las Vegas Convention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660" w:type="dxa"/>
            <w:vAlign w:val="bottom"/>
            <w:gridSpan w:val="3"/>
          </w:tcPr>
          <w:p>
            <w:pPr>
              <w:spacing w:after="0" w:line="159" w:lineRule="exact"/>
              <w:rPr>
                <w:sz w:val="20"/>
                <w:szCs w:val="20"/>
                <w:color w:val="auto"/>
              </w:rPr>
            </w:pPr>
            <w:r>
              <w:rPr>
                <w:rFonts w:ascii="Arial" w:cs="Arial" w:eastAsia="Arial" w:hAnsi="Arial"/>
                <w:sz w:val="14"/>
                <w:szCs w:val="14"/>
                <w:color w:val="auto"/>
              </w:rPr>
              <w:t>Attendance</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3,305,507</w:t>
            </w: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3,519,424</w:t>
            </w:r>
          </w:p>
        </w:tc>
        <w:tc>
          <w:tcPr>
            <w:tcW w:w="2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3,301,705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3,772,726</w:t>
            </w:r>
          </w:p>
        </w:tc>
        <w:tc>
          <w:tcPr>
            <w:tcW w:w="280" w:type="dxa"/>
            <w:vAlign w:val="bottom"/>
          </w:tcPr>
          <w:p>
            <w:pPr>
              <w:spacing w:after="0"/>
              <w:rPr>
                <w:sz w:val="13"/>
                <w:szCs w:val="13"/>
                <w:color w:val="auto"/>
              </w:rPr>
            </w:pPr>
          </w:p>
        </w:tc>
        <w:tc>
          <w:tcPr>
            <w:tcW w:w="10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3,853,363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4,049,095</w:t>
            </w:r>
          </w:p>
        </w:tc>
        <w:tc>
          <w:tcPr>
            <w:tcW w:w="1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1"/>
              </w:rPr>
              <w:t>Las Vegas Hotel Occupancy</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Rate for All Days</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93.4%</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92.1%</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92.5%</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88.9%</w:t>
            </w:r>
          </w:p>
        </w:tc>
        <w:tc>
          <w:tcPr>
            <w:tcW w:w="14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6"/>
        </w:trPr>
        <w:tc>
          <w:tcPr>
            <w:tcW w:w="1660" w:type="dxa"/>
            <w:vAlign w:val="bottom"/>
            <w:gridSpan w:val="3"/>
          </w:tcPr>
          <w:p>
            <w:pPr>
              <w:spacing w:after="0"/>
              <w:rPr>
                <w:sz w:val="20"/>
                <w:szCs w:val="20"/>
                <w:color w:val="auto"/>
              </w:rPr>
            </w:pPr>
            <w:r>
              <w:rPr>
                <w:rFonts w:ascii="Arial" w:cs="Arial" w:eastAsia="Arial" w:hAnsi="Arial"/>
                <w:sz w:val="14"/>
                <w:szCs w:val="14"/>
                <w:color w:val="auto"/>
              </w:rPr>
              <w:t>Las Vegas Hotel/Motel</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660" w:type="dxa"/>
            <w:vAlign w:val="bottom"/>
            <w:gridSpan w:val="3"/>
          </w:tcPr>
          <w:p>
            <w:pPr>
              <w:spacing w:after="0"/>
              <w:rPr>
                <w:sz w:val="20"/>
                <w:szCs w:val="20"/>
                <w:color w:val="auto"/>
              </w:rPr>
            </w:pPr>
            <w:r>
              <w:rPr>
                <w:rFonts w:ascii="Arial" w:cs="Arial" w:eastAsia="Arial" w:hAnsi="Arial"/>
                <w:sz w:val="14"/>
                <w:szCs w:val="14"/>
                <w:color w:val="auto"/>
              </w:rPr>
              <w:t>Room Supply</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99,072</w:t>
            </w: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105,347</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109,365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120,294</w:t>
            </w:r>
          </w:p>
        </w:tc>
        <w:tc>
          <w:tcPr>
            <w:tcW w:w="2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124,270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126,610</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-1583690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-1583690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-1583690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-1583690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-1583690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-1583690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-1583690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-1583690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-1583690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-1583690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-1583690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-1583690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-1583690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-1583690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bookmarkStart w:id="50" w:name="page51"/>
    <w:bookmarkEnd w:id="50"/>
    <w:p>
      <w:pPr>
        <w:ind w:left="540" w:hanging="532"/>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Sources: Las Vegas Convention and Visitors Authority and Nevada State Gaming Control Board for the fiscal years ended December 31.</w:t>
      </w:r>
    </w:p>
    <w:p>
      <w:pPr>
        <w:spacing w:after="0" w:line="11" w:lineRule="exact"/>
        <w:rPr>
          <w:rFonts w:ascii="Arial" w:cs="Arial" w:eastAsia="Arial" w:hAnsi="Arial"/>
          <w:sz w:val="14"/>
          <w:szCs w:val="14"/>
          <w:color w:val="auto"/>
        </w:rPr>
      </w:pPr>
    </w:p>
    <w:p>
      <w:pPr>
        <w:ind w:left="540" w:hanging="532"/>
        <w:spacing w:after="0" w:line="187" w:lineRule="auto"/>
        <w:tabs>
          <w:tab w:leader="none" w:pos="540" w:val="left"/>
        </w:tabs>
        <w:numPr>
          <w:ilvl w:val="0"/>
          <w:numId w:val="67"/>
        </w:numPr>
        <w:rPr>
          <w:rFonts w:ascii="Arial" w:cs="Arial" w:eastAsia="Arial" w:hAnsi="Arial"/>
          <w:sz w:val="27"/>
          <w:szCs w:val="27"/>
          <w:color w:val="auto"/>
          <w:vertAlign w:val="subscript"/>
        </w:rPr>
      </w:pPr>
      <w:r>
        <w:rPr>
          <w:rFonts w:ascii="Arial" w:cs="Arial" w:eastAsia="Arial" w:hAnsi="Arial"/>
          <w:sz w:val="14"/>
          <w:szCs w:val="14"/>
          <w:color w:val="auto"/>
        </w:rPr>
        <w:t>Dollars in thousands.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 Rêve Competition</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Hotel/Casino Competition. </w:t>
      </w:r>
      <w:r>
        <w:rPr>
          <w:rFonts w:ascii="Arial" w:cs="Arial" w:eastAsia="Arial" w:hAnsi="Arial"/>
          <w:sz w:val="18"/>
          <w:szCs w:val="18"/>
          <w:color w:val="auto"/>
        </w:rPr>
        <w:t>The casino/hotel industry is highly competitive. Le Rêve, which will be located on the Las Vegas Strip, will compete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high-quality resorts and hotel casinos in Las Vegas on the basis of overall atmosphere, range of amenities, level of service, price, location, entertainment offered, theme and size. Le Rêve will compete with hotels on the Las Vegas Strip and in downtown Las Vegas, as well as a large number of hotels and motels in and near Las Vegas.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date in October 2003. Other than the expansions of The Venetian and Mandalay Bay Resort &amp; Casino, we are not aware of any significant additions of hotel rooms to major hotel casino resort properties in Las Vegas or any developments of new major hotel casino resort properties in Las Vegas in the near future.</w:t>
      </w:r>
    </w:p>
    <w:p>
      <w:pPr>
        <w:spacing w:after="0" w:line="197"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Many competing properties, such as the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 Las Vegas resorts by concentrating on our fundamental elements of design, atmosphere, personal service and level of luxury.</w:t>
      </w:r>
    </w:p>
    <w:p>
      <w:pPr>
        <w:spacing w:after="0" w:line="174"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"—The Macau Opportunity—Competition within Macau and from Regional Markets."</w:t>
      </w:r>
    </w:p>
    <w:p>
      <w:pPr>
        <w:spacing w:after="0" w:line="18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 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Retail Competition. </w:t>
      </w:r>
      <w:r>
        <w:rPr>
          <w:rFonts w:ascii="Arial" w:cs="Arial" w:eastAsia="Arial" w:hAnsi="Arial"/>
          <w:sz w:val="16"/>
          <w:szCs w:val="16"/>
          <w:color w:val="auto"/>
        </w:rPr>
        <w:t>Le Rêve's retail stores will operate in a highly competitive environment. Le Rêve's retail stores will compete with other retail stores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located in other Las Vegas hotel casino resorts and shopping districts. Among these Las Vegas shopping locations, Le Rêve will face significant competition from the retail stores at Bellagio, the Forum Shops at Caesars Palace, which is expected to complete a 200,000 square foot expansion in 2004, The Grand Canal Shoppes at The Venetian and Desert Passage at Aladdin Resort &amp; Casino. In particular, Le Rêve's retail stores will face competition from the premium retail stores of the Fashion Show Mall, which is owned by The Rouse Company, a publicly traded company.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Fashion Show Mall, which is situated across the 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9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94"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 Business—The casino, hotel, convention, retail and other facilities at Le Rêve will face intense competition."</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Marketing in Las Vegas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ectPr>
          <w:pgSz w:w="11900" w:h="16838" w:orient="portrait"/>
          <w:cols w:equalWidth="0" w:num="1">
            <w:col w:w="11420"/>
          </w:cols>
          <w:pgMar w:left="240" w:top="129" w:right="239" w:bottom="0" w:gutter="0" w:footer="0" w:header="0"/>
        </w:sectPr>
      </w:pPr>
    </w:p>
    <w:bookmarkStart w:id="51" w:name="page52"/>
    <w:bookmarkEnd w:id="51"/>
    <w:p>
      <w:pPr>
        <w:ind w:right="160" w:firstLine="348"/>
        <w:spacing w:after="0" w:line="256" w:lineRule="auto"/>
        <w:rPr>
          <w:sz w:val="20"/>
          <w:szCs w:val="20"/>
          <w:color w:val="auto"/>
        </w:rPr>
      </w:pPr>
      <w:r>
        <w:rPr>
          <w:rFonts w:ascii="Arial" w:cs="Arial" w:eastAsia="Arial" w:hAnsi="Arial"/>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a number of experienced international and domestic casino marketing executives. We believe that Mr. Wynn's reputation will allow us to continue to attract marketing executives of this caliber.</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 system that offers discounted and complementary meals, lodging and entertainment for our guests. We will also use that information to develop an integrated database that will allow us to target specific customers for promotions that might induce them to visit Le Rêve.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Macau Opportunity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Currently, Wynn Macau is an indirect, 90% owned subsidiary of Wynn Resorts. Wynn Macau has committed to allow certain minority partners to invest in the Macau-related entities, after which Wynn Resorts is expected to indirectly own an approximately 82.5% economic interest in Wynn Macau before giving effect to any financing for the Macau opportunity.</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Wynn Macau has entered into a 20-year concession agreement with the government of the Macau Special Administrative Region of the People's Republic of China permitting it to construct and operate one or more casinos in Macau. Wynn Macau is obligated to invest no less than a total of 4 billion patacas (currently approximately US $500 million) in one or more casino projects by June 26, 2009 and must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 The currency used in the concession agreement is the Macau pataca. We have converted all pataca references into U.S. dollars, using the exchange rate as of August 11, 2002. While the rate of exchange may fluctuate over the term of the concession agreement, the rate of exchange between the United States dollar and the Hong Kong dollar (to which the Macau pataca is linked) has remained relatively stable over the past several years.</w:t>
      </w:r>
    </w:p>
    <w:p>
      <w:pPr>
        <w:spacing w:after="0" w:line="172"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Macau peninsula, located in southeast China on the South China Sea, is approximately 37 miles southwest of Hong Kong. Macau was a colony of Portugal for almost 450 years. In December 1999, Portugal transferred administration of Macau to China, which reestablished the territory as a special administrative region. In the past, gaming in Macau had been administered as a government-sanctioned monopoly concession held by Sociedade de Turismo e Diversoes de Macau, controlled by Mr. Stanley Ho. This gaming business in Macau is currently conducted through a different entity named Sociedade de Jogos de Macau which is controlled by Mr. Ho.</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described under the heading "Risk Factors—Risks Associated with Wynn Macau's Macau Opportunity," the development and completion of casino(s)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Macau is subject to numerous conditions and risks, including the following:</w:t>
      </w:r>
    </w:p>
    <w:p>
      <w:pPr>
        <w:spacing w:after="0" w:line="232" w:lineRule="exact"/>
        <w:rPr>
          <w:sz w:val="20"/>
          <w:szCs w:val="20"/>
          <w:color w:val="auto"/>
        </w:rPr>
      </w:pPr>
    </w:p>
    <w:p>
      <w:pPr>
        <w:ind w:left="1080" w:right="28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acquiring the rights to use suitable parcels of land in satisfactory locations in Macau on which to build casino(s), although Wynn Macau has an agreement in principle relating to the site of its first proposed casino;</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obtaining significant financing to develop and construct Macau casino(s);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attracting qualified management, key personnel and employees to operate the casino(s);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political, economic and social risks inherent in doing business in an emerging market such as China, including the risks related to Macau's untested gaming regulatory framework;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obtaining relief, through legislative action, from the complementary income tax and the withholding tax on dividends imposed in Macau;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Wynn Macau may not proceed with the construction of casino(s) in Macau if, in the judgment of its management, such conditions and risks cannot be adequately resolved, or if these conditions and risks would adversely affect our ability to conduct gaming and hotel operations outside Macau, including at Le Rêve. However, the concession agreement does not contain provisions permitting Wynn Macau to terminate the concession agreement unilaterally, or permitting Wynn Macau to cease the development of casino(s) in Macau, for any of the reasons described above. The obligations under the Macau concession agreement are those of Wynn Resorts' indirect subsidiary, Wynn Macau. Accordingly, unless a court rules that Wynn Resorts and the intermediate Macau-related entities are not entitled to limited liability protection with respect to Wynn Macau's obligations under the concession agreement, or unless Wynn Resorts guarantees the performance of Wynn Macau's obligations thereunder, Wynn Resorts' exposure to the government of Macau would be no more than Wynn Macau's assets.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terms of the concession agreement into which Wynn Macau has entered with the Macau government are as follows:</w:t>
      </w:r>
    </w:p>
    <w:p>
      <w:pPr>
        <w:spacing w:after="0" w:line="252" w:lineRule="exact"/>
        <w:rPr>
          <w:sz w:val="20"/>
          <w:szCs w:val="20"/>
          <w:color w:val="auto"/>
        </w:rPr>
      </w:pPr>
    </w:p>
    <w:p>
      <w:pPr>
        <w:ind w:left="1080" w:right="140" w:hanging="532"/>
        <w:spacing w:after="0" w:line="335" w:lineRule="auto"/>
        <w:tabs>
          <w:tab w:leader="none" w:pos="10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Wynn Macau is obligated to invest no less than a total of 4 billion patacas (currently approximately US $500 million) on one or more casino projects by June 26, 2009 and must commence operations of its first permanent casino resort no later than December 2006. If Wynn Macau does not invest 4 billion patacas by June 26, 2009, it is obligated to invest the remaining amount on projects related to its gaming operations in Macau</w:t>
      </w:r>
    </w:p>
    <w:p>
      <w:pPr>
        <w:sectPr>
          <w:pgSz w:w="11900" w:h="16838" w:orient="portrait"/>
          <w:cols w:equalWidth="0" w:num="1">
            <w:col w:w="11400"/>
          </w:cols>
          <w:pgMar w:left="240" w:top="131" w:right="259" w:bottom="0" w:gutter="0" w:footer="0" w:header="0"/>
        </w:sectPr>
      </w:pPr>
    </w:p>
    <w:bookmarkStart w:id="52" w:name="page53"/>
    <w:bookmarkEnd w:id="52"/>
    <w:p>
      <w:pPr>
        <w:ind w:left="1080"/>
        <w:spacing w:after="0"/>
        <w:rPr>
          <w:sz w:val="20"/>
          <w:szCs w:val="20"/>
          <w:color w:val="auto"/>
        </w:rPr>
      </w:pPr>
      <w:r>
        <w:rPr>
          <w:rFonts w:ascii="Arial" w:cs="Arial" w:eastAsia="Arial" w:hAnsi="Arial"/>
          <w:sz w:val="18"/>
          <w:szCs w:val="18"/>
          <w:color w:val="auto"/>
        </w:rPr>
        <w:t>that the Macau government approves, or on projects of public interest designated by the Macau government.</w:t>
      </w:r>
    </w:p>
    <w:p>
      <w:pPr>
        <w:spacing w:after="0" w:line="23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Prior to April 1, 2009, the Macau government is prohibited from granting any additional concessions for the operation of casinos in Macau.</w:t>
      </w:r>
    </w:p>
    <w:p>
      <w:pPr>
        <w:spacing w:after="0" w:line="275"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Wynn Macau must pay a fixed premium of 30 million patacas (currently approximately US $3.8 million) per year, and a variable premium based on the number of table games and machines Wynn Macau operates in Macau, with a set minimum of 45 million patacas (currently approximately US $5.6 million) per year (which is temporarily lowered if Wynn Macau operates a temporary casino before completion of its first permanent casino resort).</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Wynn Macau must pay a special gaming tax of 35% on its gross gaming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Wynn Macau must contribute a total of 4.0% of its gross gaming revenue for the promotion of public interests, infrastructure and tourism.</w:t>
      </w:r>
    </w:p>
    <w:p>
      <w:pPr>
        <w:spacing w:after="0" w:line="275" w:lineRule="exact"/>
        <w:rPr>
          <w:rFonts w:ascii="Arial" w:cs="Arial" w:eastAsia="Arial" w:hAnsi="Arial"/>
          <w:sz w:val="16"/>
          <w:szCs w:val="16"/>
          <w:color w:val="auto"/>
        </w:rPr>
      </w:pPr>
    </w:p>
    <w:p>
      <w:pPr>
        <w:jc w:val="both"/>
        <w:ind w:left="1080" w:right="500" w:hanging="532"/>
        <w:spacing w:after="0" w:line="25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Wynn Macau must pay taxes imposed by Macau law including a complementary income tax at the rate of 15% on the profits realized from conducting business in Macau and a 15% withholding tax rate on dividends paid from Macau entities to their stockholders. Wynn Macau is seeking exemptions for both of these taxes.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Wynn Macau is obligated to maintain bank guarantees or bonds satisfactory to the government.</w:t>
      </w:r>
    </w:p>
    <w:p>
      <w:pPr>
        <w:spacing w:after="0" w:line="238" w:lineRule="exact"/>
        <w:rPr>
          <w:rFonts w:ascii="Arial" w:cs="Arial" w:eastAsia="Arial" w:hAnsi="Arial"/>
          <w:sz w:val="18"/>
          <w:szCs w:val="18"/>
          <w:color w:val="auto"/>
        </w:rPr>
      </w:pPr>
    </w:p>
    <w:p>
      <w:pPr>
        <w:ind w:left="1080" w:right="440" w:hanging="532"/>
        <w:spacing w:after="0" w:line="33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At the end of the term of the concession agreement, and any agreed upon extensions, the main casino areas and all of the gaming equipment owned by Wynn Macau will be automatically transferred to the government of Macau without compensation to Wynn Macau.</w:t>
      </w:r>
    </w:p>
    <w:p>
      <w:pPr>
        <w:spacing w:after="0" w:line="166"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From June 27, 2017 until the end of the term of the concession agreement, the government of Macau will have the right to redeem Wynn Macau's gaming concession and take title to all of its assets in Macau and the government must provide fair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60"/>
        <w:spacing w:after="0" w:line="268" w:lineRule="auto"/>
        <w:rPr>
          <w:sz w:val="20"/>
          <w:szCs w:val="20"/>
          <w:color w:val="auto"/>
        </w:rPr>
      </w:pPr>
      <w:r>
        <w:rPr>
          <w:rFonts w:ascii="Arial" w:cs="Arial" w:eastAsia="Arial" w:hAnsi="Arial"/>
          <w:sz w:val="18"/>
          <w:szCs w:val="18"/>
          <w:color w:val="auto"/>
        </w:rPr>
        <w:t>compensation for a resort-hotel-casino complex under the investment plan under the agreement. However, the concession agreement is unclear as to how the compensation provision will apply if there is more than one resort-hotel-casino that is built.</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For more information on the concession contract between Wynn Macau and the government of Macau, see "Concession Agreement with the Government of Macau."</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Macau Special Administrative Region owns most of the land in Macau and, in most cases, private interests in real property located in Macau are obtained only through leases and other grants of rights to use land from the government. The government of Macau has provisionally awarded Wynn Macau a concession to lease a parcel of land of approximately 14 acres located opposite the Hotel Lisboa (Macau's largest and most well-known hotel and casino) on which Wynn Macau intends to construct and operate a casino project. If Wynn Macau ultimately signs a land concession agreement formalizing this agreement in principle, the amount of the rent and other terms and conditions of the land concession will be fixed in that agreement. The term of the land concession would be 25 years, commencing on the date the concession contract is published in the Macau Official Gazette, and may be renewed at the option of Wynn Macau for successive periods terminating no later than December 19, 2049. In exchange for the land concession, Wynn Macau will be obligated to pay a premium of approximately 318 million patacas (currently approximately US $40 million). In addition, once the land concession is entered into, Wynn Macau would become obligated to pay the former concessionaire of a portion of that site approximately 160 million patacas (currently approximately US $20 million) for relinquishing that entity's rights to use its part of the land. Wynn Macau would be able to credit both this land concession premium and the payment to the former concessionaire toward its 4 billion pataca required investment in Macau.</w:t>
      </w:r>
    </w:p>
    <w:p>
      <w:pPr>
        <w:spacing w:after="0" w:line="18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Currently, Wynn Macau is in the preliminary stages of formulating its strategy for its Macau operations. Wynn Macau has not yet determined how many casinos it will build, the scope, design or the timing of any project, or whether it will begin construction and operations in separate phases at the first permanent Macau casino resort site or open one or more temporary casinos in Macau in locations other than the permanent site. Moreover, Wynn Macau would need to obtain the necessary financing to fund the development, design and construction of such project or projects. Nonetheless, Wynn Macau may begin casino operations in Macau prior to the opening of Le Rêve.</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Wynn Macau's plans relating to the financing of the Macau opportunity are at the preliminary stages. Wynn Macau is considering different financing alternatives, including equity financing at the Wynn Macau level or at the level of one of the intermediary holding companies, such as Wynn Resorts (Macau) Holdings, Ltd., and debt financing at the Wynn Macau level. If additional equity is raised at the Wynn Macau or intermediary company holding company level, stockholders of Wynn Resorts would indirectly hold a smaller interest in Wynn Macau as the minority interest in the Macau-related entities increases. If Wynn Resorts decides to raise equity at the Wynn Resorts level to fund the Macau opportunity, its stockholders would suffer dilution of their interests. Wynn Macau has no commitments relating to such financing and we cannot assure you that Wynn Macau will be able to obtain such financing on acceptable terms or at all.</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Ownership Structure of Macau-Related Entities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chart illustrates the organizational structure of Wynn Resorts' Macau-related subsidiaries immediately after the consummation of this offering and the restructuring transactions relating to the Macau-related entities described below are completed.</w:t>
      </w:r>
    </w:p>
    <w:p>
      <w:pPr>
        <w:sectPr>
          <w:pgSz w:w="11900" w:h="16838" w:orient="portrait"/>
          <w:cols w:equalWidth="0" w:num="1">
            <w:col w:w="11360"/>
          </w:cols>
          <w:pgMar w:left="240" w:top="131" w:right="29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125210" cy="58420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25210" cy="584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40" w:hanging="532"/>
        <w:spacing w:after="0"/>
        <w:tabs>
          <w:tab w:leader="none" w:pos="540" w:val="left"/>
        </w:tabs>
        <w:numPr>
          <w:ilvl w:val="0"/>
          <w:numId w:val="71"/>
        </w:numPr>
        <w:rPr>
          <w:rFonts w:ascii="Arial" w:cs="Arial" w:eastAsia="Arial" w:hAnsi="Arial"/>
          <w:sz w:val="27"/>
          <w:szCs w:val="27"/>
          <w:color w:val="auto"/>
          <w:vertAlign w:val="subscript"/>
        </w:rPr>
      </w:pPr>
      <w:r>
        <w:rPr>
          <w:rFonts w:ascii="Arial" w:cs="Arial" w:eastAsia="Arial" w:hAnsi="Arial"/>
          <w:sz w:val="14"/>
          <w:szCs w:val="14"/>
          <w:color w:val="auto"/>
        </w:rPr>
        <w:t>Wynn Resorts International, Ltd. holds one share of Wynn Resorts (Macau) Limited (Hong Kong) as nominee for Wynn Resorts (Macau) Holdings, Ltd.</w:t>
      </w:r>
    </w:p>
    <w:p>
      <w:pPr>
        <w:spacing w:after="0" w:line="195"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b w:val="1"/>
          <w:bCs w:val="1"/>
          <w:i w:val="1"/>
          <w:iCs w:val="1"/>
          <w:color w:val="auto"/>
        </w:rPr>
        <w:t xml:space="preserve">Wynn Resorts' Ownership of Macau-Related Entities. </w:t>
      </w:r>
      <w:r>
        <w:rPr>
          <w:rFonts w:ascii="Arial" w:cs="Arial" w:eastAsia="Arial" w:hAnsi="Arial"/>
          <w:sz w:val="16"/>
          <w:szCs w:val="16"/>
          <w:color w:val="auto"/>
        </w:rPr>
        <w:t>Wynn Resorts currently owns, indirectly, a 90% interest in Wynn Macau. A series of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to bring minority partners into the ownership structure is currently being implemented. Once the restructuring transactions currently underway are completed, we expect that Wynn Resorts will own an approximately 82.5% economic interest in Wynn Macau indirectly through various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subsidiaries. In exchange, in the aggregate, Wynn Resorts will have contributed shares of Wynn Macau with an aggregate par value of approximately $337,500 and cash of approximately $23.8 million.</w:t>
      </w:r>
    </w:p>
    <w:p>
      <w:pPr>
        <w:spacing w:after="0" w:line="186"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Wynn Resorts owns 100% of Wynn Group Asia, Inc., a Nevada corporation. Wynn Group Asia owns 100% of Wynn Resorts International, Ltd., a Manx company. Wynn Resorts International will hold certain shares of Wynn Macau directly, representing approximately 39% of the capital and voting power and approximately 49% of the dividends and other distributions in excess of capital contributed. Wynn Resorts International will also own approximately 33.5% of the capital and dividend participation and approximately 40.4% of the vote of Wynn Macau indirectly through its majority-owned subsidiary, Wynn Resorts (Macau) Holdings, Ltd., a Manx company. We expect that Wynn Resorts International will be entitled to an additional capital interest in Wynn Resorts (Macau) Holdings that effectively represents an additional 10% interest in the capital of Wynn Macau. Wynn Resorts (Macau) Holdings owns 100% of Wynn Resorts (Macau), Limited, a Hong Kong company. Wynn Resorts (Macau), Limited in turn will own approximately 51% of Wynn Macau.</w:t>
      </w:r>
    </w:p>
    <w:p>
      <w:pPr>
        <w:spacing w:after="0" w:line="172"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b w:val="1"/>
          <w:bCs w:val="1"/>
          <w:i w:val="1"/>
          <w:iCs w:val="1"/>
          <w:color w:val="auto"/>
        </w:rPr>
        <w:t xml:space="preserve">Minority Ownership of the Macau-Related Entities. </w:t>
      </w:r>
      <w:r>
        <w:rPr>
          <w:rFonts w:ascii="Arial" w:cs="Arial" w:eastAsia="Arial" w:hAnsi="Arial"/>
          <w:sz w:val="18"/>
          <w:szCs w:val="18"/>
          <w:color w:val="auto"/>
        </w:rPr>
        <w:t>Once the restructuring transactions currently underway are completed, we expect that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own approximately 82.5% of the rights to capital and dividends and effectively control approximately 90% of the vote of Wynn Macau indirectly through various subsidiaries. Mr. Wong Chi Seng, who is the executive director of Wynn Macau, will own, in the aggregate, approximately 10% of the rights to capital and dividends and effectively control approximately 10% of the vote of Wynn Macau. Other investors will own, indirectly, approximately 7.5% of the rights to dividends and capital of Wynn Macau.</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direct and indirect minority interests of Wynn Macau will be at two levels: at the Wynn Resorts (Macau) Holdings level and directly at the Wynn Macau level. Mr. Wong Chi Seng will own, directly and indirectly, shares representing approximately 11.8% of the voting power and 19.6% of capital and dividend participation in Wynn Resorts (Macau) Holdings. In exchange for these shares, Mr. Wong will contribute to Wynn Resorts (Macau) Holdings cash of approximately $385,000 and shares of Wynn Macau with an aggregate par value of approximately $37,500. According to Macau law, the position of executive director and at least 10% of the voting shares and capital of Wynn Macau must be held by a resident of Macau. Mr. Wong, a Macau resident, serves as the</w:t>
      </w:r>
    </w:p>
    <w:p>
      <w:pPr>
        <w:sectPr>
          <w:pgSz w:w="11900" w:h="16838" w:orient="portrait"/>
          <w:cols w:equalWidth="0" w:num="1">
            <w:col w:w="11380"/>
          </w:cols>
          <w:pgMar w:left="240" w:top="1440" w:right="279" w:bottom="0" w:gutter="0" w:footer="0" w:header="0"/>
        </w:sectPr>
      </w:pPr>
    </w:p>
    <w:bookmarkStart w:id="54" w:name="page55"/>
    <w:bookmarkEnd w:id="54"/>
    <w:p>
      <w:pPr>
        <w:jc w:val="both"/>
        <w:ind w:right="60"/>
        <w:spacing w:after="0" w:line="259" w:lineRule="auto"/>
        <w:rPr>
          <w:sz w:val="20"/>
          <w:szCs w:val="20"/>
          <w:color w:val="auto"/>
        </w:rPr>
      </w:pPr>
      <w:r>
        <w:rPr>
          <w:rFonts w:ascii="Arial" w:cs="Arial" w:eastAsia="Arial" w:hAnsi="Arial"/>
          <w:sz w:val="18"/>
          <w:szCs w:val="18"/>
          <w:color w:val="auto"/>
        </w:rPr>
        <w:t>executive director of Wynn Macau and will purchase his shares in Wynn Macau for an aggregate of approximately $2.5 million. Mr. Wong's shares will have the same voting rights as do the other shares in Wynn Macau, but they will be limited in their participation in dividends to up to one pataca per year, in the aggregate, and limited in other distributions to their share of the capital contributed.</w:t>
      </w:r>
    </w:p>
    <w:p>
      <w:pPr>
        <w:spacing w:after="0" w:line="194" w:lineRule="exact"/>
        <w:rPr>
          <w:sz w:val="20"/>
          <w:szCs w:val="20"/>
          <w:color w:val="auto"/>
        </w:rPr>
      </w:pPr>
    </w:p>
    <w:p>
      <w:pPr>
        <w:ind w:right="1020" w:firstLine="351"/>
        <w:spacing w:after="0" w:line="332" w:lineRule="auto"/>
        <w:rPr>
          <w:sz w:val="20"/>
          <w:szCs w:val="20"/>
          <w:color w:val="auto"/>
        </w:rPr>
      </w:pPr>
      <w:r>
        <w:rPr>
          <w:rFonts w:ascii="Arial" w:cs="Arial" w:eastAsia="Arial" w:hAnsi="Arial"/>
          <w:sz w:val="16"/>
          <w:szCs w:val="16"/>
          <w:color w:val="auto"/>
        </w:rPr>
        <w:t>Other investors, who are related to each other, collectively will contribute cash of approximately $2.2 million and will own shares representing approximately 8.9% of the voting power and 14.7% of capital and dividend participation in Wynn Resorts (Macau) Holdings.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Macau Market</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Macau Special Administrative Region of the People's Republic of China is located in the southern part of Guangdong Province.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the Macau peninsula and the islands of Taipa and Coloane, which are connected to the peninsula by bridges, and totals approximately 9 square miles in size. Macau is approximately 37 miles southwest of Hong Kong and immediately adjacent to the Zhuhai Special Economic Zone, from which Macau is visible and easily accessible. The CIA World Factbook estimates that Macau's population in 2001 was approximately 454,000.</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7734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577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Macau was a colony of Portugal for almost 450 years. In December 1999, Portugal transferred administration of Macau to China, which re-established the territory as a special administrative region. Macau has been a gaming destination for at least 40 years.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Popular regional gaming destination. </w:t>
      </w:r>
      <w:r>
        <w:rPr>
          <w:rFonts w:ascii="Arial" w:cs="Arial" w:eastAsia="Arial" w:hAnsi="Arial"/>
          <w:sz w:val="18"/>
          <w:szCs w:val="18"/>
          <w:color w:val="auto"/>
        </w:rPr>
        <w:t>According to the Macau Statistics and Census Service Monthly Bulletin of Statistics, over 10 million people visited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Macau in 2001, increasing from approximately 7.4 million in 1999. According to the U.S. &amp; Foreign Commercial Service American Consulate General, Hong Kong, in 2000, casinos in Macau generated approximately US $2.1 billion in gaming revenue. Macau casinos are primarily table game-oriented and include many private VIP rooms, but contain relatively few slot machines.</w:t>
      </w:r>
    </w:p>
    <w:p>
      <w:pPr>
        <w:spacing w:after="0" w:line="197"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Macau's gaming market is primarily dependent on tourists. According to Macau Statistics and Census Service Monthly Bulletin of Statistics, from 1999 through 2001 less than one-third of visitors traveling to Macau stayed overnight in hotels and guestrooms and, for those who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stayed overnight in hotels and guestrooms, the average length of stay was only one to two nights.</w:t>
      </w:r>
    </w:p>
    <w:p>
      <w:pPr>
        <w:sectPr>
          <w:pgSz w:w="11900" w:h="16838" w:orient="portrait"/>
          <w:cols w:equalWidth="0" w:num="1">
            <w:col w:w="11420"/>
          </w:cols>
          <w:pgMar w:left="240" w:top="131" w:right="239" w:bottom="0" w:gutter="0" w:footer="0" w:header="0"/>
          <w:type w:val="continuous"/>
        </w:sectPr>
      </w:pPr>
    </w:p>
    <w:bookmarkStart w:id="55" w:name="page56"/>
    <w:bookmarkEnd w:id="55"/>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contains statistics relating to the visitation of Macau by tourists:</w:t>
      </w:r>
    </w:p>
    <w:p>
      <w:pPr>
        <w:spacing w:after="0" w:line="221" w:lineRule="exact"/>
        <w:rPr>
          <w:sz w:val="20"/>
          <w:szCs w:val="20"/>
          <w:color w:val="auto"/>
        </w:rPr>
      </w:pPr>
    </w:p>
    <w:p>
      <w:pPr>
        <w:ind w:left="3480"/>
        <w:spacing w:after="0"/>
        <w:rPr>
          <w:sz w:val="20"/>
          <w:szCs w:val="20"/>
          <w:color w:val="auto"/>
        </w:rPr>
      </w:pPr>
      <w:r>
        <w:rPr>
          <w:rFonts w:ascii="Arial" w:cs="Arial" w:eastAsia="Arial" w:hAnsi="Arial"/>
          <w:sz w:val="14"/>
          <w:szCs w:val="14"/>
          <w:b w:val="1"/>
          <w:bCs w:val="1"/>
          <w:color w:val="auto"/>
        </w:rPr>
        <w:t>Macau Annual Tourism Statistical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604139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41390" cy="215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Compounded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Annual Growth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2001</w:t>
            </w:r>
          </w:p>
        </w:tc>
        <w:tc>
          <w:tcPr>
            <w:tcW w:w="17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6"/>
              </w:rPr>
              <w:t>1999-2001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Visitor Arrivals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7,443,924</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9,162,212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10,278,973</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Overnight Guests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2,253,445</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2,689,843</w:t>
            </w:r>
          </w:p>
        </w:tc>
        <w:tc>
          <w:tcPr>
            <w:tcW w:w="1240" w:type="dxa"/>
            <w:vAlign w:val="bottom"/>
          </w:tcPr>
          <w:p>
            <w:pPr>
              <w:jc w:val="right"/>
              <w:spacing w:after="0"/>
              <w:rPr>
                <w:sz w:val="20"/>
                <w:szCs w:val="20"/>
                <w:color w:val="auto"/>
              </w:rPr>
            </w:pPr>
            <w:r>
              <w:rPr>
                <w:rFonts w:ascii="Arial" w:cs="Arial" w:eastAsia="Arial" w:hAnsi="Arial"/>
                <w:sz w:val="18"/>
                <w:szCs w:val="18"/>
                <w:color w:val="auto"/>
              </w:rPr>
              <w:t>2,766,853</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-443230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-443230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-443230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-443230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-443230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-443230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-443230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-443230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Macau Statistics and Census Service Monthly Bulletin of Statistics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Proximity to, and ease of access from, major Asian capitals. </w:t>
      </w:r>
      <w:r>
        <w:rPr>
          <w:rFonts w:ascii="Arial" w:cs="Arial" w:eastAsia="Arial" w:hAnsi="Arial"/>
          <w:sz w:val="18"/>
          <w:szCs w:val="18"/>
          <w:color w:val="auto"/>
        </w:rPr>
        <w:t>Gaming customers traveling to Macau typically come from nearby countries in Asia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Hong Kong, mainland China, Taiwan, South Korea and Japan. According to the Macau Statistics and Census Service Monthly Bulletin of Statistics—Public Security Police, 90% of the tourists who visited Macau in 2001 came from Hong Kong, mainland China or Taiwan, with over 50% coming from Hong Kong alone.</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Macau businesses benefit from the fact that the Macau pataca and the Hong Kong dollar are linked to each other, and in many cases, are used interchangeably in Macau. See "Management's Discussion and Analysis of Financial Condition and Results of Operations—Inflation and Foreign Currency Risk." However, 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exportation of the renminbi may impede the flow of gaming customers from China to Macau, inhibit the growth of gaming in Macau and negatively impact Wynn Macau's gaming operations.</w:t>
      </w:r>
    </w:p>
    <w:p>
      <w:pPr>
        <w:spacing w:after="0" w:line="198"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Gaming customers from Hong Kong, southeast China, Taiwan and other locations in Asia can reach Macau in a relatively short period of time, using a variety of methods of transportation, and visitors from more distant locations in Asia can take advantage of short travel times by air to Macau or to Hong Kong (followed by a short water ferry or helicopter trip to Macau). The relatively easy access from major population centers promotes Macau as a popular gaming destination in Asia.</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Macau draws a significant number of gaming customers from both visitors and residents of Hong Kong. One of the major methods of transportation to Macau from Hong Kong is the hydrofoil ferry service. The hydrofoil ferry offers service up to four times per hour, with trips to and from Macau in duration of 55 to 75 minutes. Macau is also accessible from Hong Kong by helicopter in less than 20 minutes.</w:t>
      </w:r>
    </w:p>
    <w:p>
      <w:pPr>
        <w:spacing w:after="0" w:line="194"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economy of Macau relies heavily on the economy of Hong Kong because the majority of the visitors who travel to Macau are from Hong Kong. As a result, economic slowdowns in Hong Kong affect the number of visitors who travel to Macau and the profitability of Macau businesses that rely on tourism.</w:t>
      </w:r>
    </w:p>
    <w:p>
      <w:pPr>
        <w:spacing w:after="0" w:line="139"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Macau completed construction of an international airport in 1995 that provides direct air service to many major cities in Asia such as Manila, Singapore, Taipei and Bangkok, and major cities in China including Beijing and Shanghai. The Macau International Airport can accomodate large commercial airliners and directly serves at least 20 cities, including at least 12 in China, with links to numerous other major Asian destinations.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Potential for growth of Macau gaming market. </w:t>
      </w:r>
      <w:r>
        <w:rPr>
          <w:rFonts w:ascii="Arial" w:cs="Arial" w:eastAsia="Arial" w:hAnsi="Arial"/>
          <w:sz w:val="18"/>
          <w:szCs w:val="18"/>
          <w:color w:val="auto"/>
        </w:rPr>
        <w:t>We believe that the following factors will play a positive role in Macau's status as a gaming and resort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destination:</w:t>
      </w:r>
    </w:p>
    <w:p>
      <w:pPr>
        <w:spacing w:after="0" w:line="199" w:lineRule="exact"/>
        <w:rPr>
          <w:sz w:val="20"/>
          <w:szCs w:val="20"/>
          <w:color w:val="auto"/>
        </w:rPr>
      </w:pPr>
    </w:p>
    <w:p>
      <w:pPr>
        <w:ind w:left="1080" w:right="4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proximity to, and ease of access from, Hong Kong, China and Taiwan and other Asian regional gaming markets, including Indonesia, Thailand and Japan, where casinos currently are banned;</w:t>
      </w:r>
    </w:p>
    <w:p>
      <w:pPr>
        <w:spacing w:after="0" w:line="212" w:lineRule="exact"/>
        <w:rPr>
          <w:rFonts w:ascii="Arial" w:cs="Arial" w:eastAsia="Arial" w:hAnsi="Arial"/>
          <w:sz w:val="18"/>
          <w:szCs w:val="18"/>
          <w:color w:val="auto"/>
        </w:rPr>
      </w:pPr>
    </w:p>
    <w:p>
      <w:pPr>
        <w:ind w:left="1080" w:right="220" w:hanging="532"/>
        <w:spacing w:after="0" w:line="323" w:lineRule="auto"/>
        <w:tabs>
          <w:tab w:leader="none" w:pos="1080" w:val="left"/>
        </w:tabs>
        <w:numPr>
          <w:ilvl w:val="0"/>
          <w:numId w:val="72"/>
        </w:numPr>
        <w:rPr>
          <w:rFonts w:ascii="Arial" w:cs="Arial" w:eastAsia="Arial" w:hAnsi="Arial"/>
          <w:sz w:val="15"/>
          <w:szCs w:val="15"/>
          <w:color w:val="auto"/>
        </w:rPr>
      </w:pPr>
      <w:r>
        <w:rPr>
          <w:rFonts w:ascii="Arial" w:cs="Arial" w:eastAsia="Arial" w:hAnsi="Arial"/>
          <w:sz w:val="15"/>
          <w:szCs w:val="15"/>
          <w:color w:val="auto"/>
        </w:rPr>
        <w:t>significant foreign and domestic investment in new and expanded casino and entertainment facilities, such as the reported development of an entertainment complex that will include gaming amenities in the Fisherman's Wharf area of Macau planned by Sociedade de Jogos de Macau through a related entity and the casino resort on Taipa reportedly planned by Galaxy Casino, Ltd., an affiliate of Venetian Resorts, in addition to Wynn Macau's proposed casino resort, that are intended to promote Macau as casino resort destination, enhance tourism and lengthen stays;</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development of Hong Kong Disneyland (scheduled to open in 2005) on Lantau Island approximately 30 miles away from Macau.</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 within Macau and from Regional Markets</w:t>
      </w:r>
    </w:p>
    <w:p>
      <w:pPr>
        <w:spacing w:after="0" w:line="231"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b w:val="1"/>
          <w:bCs w:val="1"/>
          <w:i w:val="1"/>
          <w:iCs w:val="1"/>
          <w:color w:val="auto"/>
        </w:rPr>
        <w:t xml:space="preserve">Local Competition. </w:t>
      </w:r>
      <w:r>
        <w:rPr>
          <w:rFonts w:ascii="Arial" w:cs="Arial" w:eastAsia="Arial" w:hAnsi="Arial"/>
          <w:sz w:val="16"/>
          <w:szCs w:val="16"/>
          <w:color w:val="auto"/>
        </w:rPr>
        <w:t>In the past, gaming in Macau had been administered as a government-sanctioned monopoly concession awarded to a single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concessionaire. However, under the authority of the Chief Executive and the Casino Tender Commission of Macau, the government of Macau has recently liberalized the gaming industry by granting concessions to operate casinos to three concessionaires. Sociedade de Jogos de Macau, referred to as SJM, has been granted one of the concessions. SJM is controlled by Stanley Ho, who through another entity had controlled the monopoly concession to conduct the only gaming operations in Macau for approximately 40 years. Galaxy Casino Company Limited, referred to as Galaxy, also has been awarded a concession to operate casinos in Macau. Galaxy is a joint venture between an affiliate of the operators of The Venetian in Las Vegas and a group of Hong Kong investors headed by Lui Chi-woo. Wynn Macau was awarded the third concession. Wynn Macau's gaming business would compete with businesses to be operated by the two other casino concessionaires in Macau. In addition,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7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SJM has the benefit of being the established gaming enterprise already in existence at eleven locations in Macau. Most of these eleven casinos are relatively small facilities which are offered as amenities in hotels, however a few are substantial operations enjoying recognition by gaming customers. Three of the largest hotels with casinos in Macau are The Hotel Lisboa, Mandarin Oriental and the Hyatt Regency. Seven of the eleven casinos in Macau are located in hotels. In addition, Mr. Ho, who controls SJM, owns substantially all of the water ferry services and the helicopter shuttle service that link Macau to Hong Kong and Kowloon, as well as the ferry terminal in Hong Kong.</w:t>
      </w:r>
    </w:p>
    <w:p>
      <w:pPr>
        <w:sectPr>
          <w:pgSz w:w="11900" w:h="16908" w:orient="portrait"/>
          <w:cols w:equalWidth="0" w:num="1">
            <w:col w:w="11420"/>
          </w:cols>
          <w:pgMar w:left="240" w:top="131" w:right="239" w:bottom="0" w:gutter="0" w:footer="0" w:header="0"/>
        </w:sectPr>
      </w:pPr>
    </w:p>
    <w:bookmarkStart w:id="56" w:name="page57"/>
    <w:bookmarkEnd w:id="56"/>
    <w:p>
      <w:pPr>
        <w:ind w:right="20" w:firstLine="348"/>
        <w:spacing w:after="0" w:line="256" w:lineRule="auto"/>
        <w:rPr>
          <w:sz w:val="20"/>
          <w:szCs w:val="20"/>
          <w:color w:val="auto"/>
        </w:rPr>
      </w:pPr>
      <w:r>
        <w:rPr>
          <w:rFonts w:ascii="Arial" w:cs="Arial" w:eastAsia="Arial" w:hAnsi="Arial"/>
          <w:sz w:val="18"/>
          <w:szCs w:val="18"/>
          <w:color w:val="auto"/>
        </w:rPr>
        <w:t>Wynn Macau will face increased competition if SJM or Galaxy construct new, or renovate pre-existing, casinos in Macau. SJM is reported to be planning a major remodeling of the Hotel Lisboa and a new Fisherman's Wharf entertainment complex that will include gaming amenities in the area of the Macau ferry terminal. Additionally, according to news reports, Galaxy intends to build a major casino resort on Taipa, the island where Macau's international airport is located, and possibly other casinos.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Regional Competition. </w:t>
      </w:r>
      <w:r>
        <w:rPr>
          <w:rFonts w:ascii="Arial" w:cs="Arial" w:eastAsia="Arial" w:hAnsi="Arial"/>
          <w:sz w:val="16"/>
          <w:szCs w:val="16"/>
          <w:color w:val="auto"/>
        </w:rPr>
        <w:t>Wynn Macau will face competition from casinos located in other areas of Asia, such as the major gaming and resort destination,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Genting Highlands Resort, located outside of Kuala Lumpur, Malaysia and casinos in South Korea and The Philippines, as well as pachinko and pachislot parlors in Japan. Wynn Macau also will encounter competition from other major gaming centers located around the world, such as Australia and Las Vegas, and cruise ships in Asia that offer gaming, and illegal casinos throughout Asia. Further, if current efforts to legalize gaming in Penghu, Taiwan are successful or if the reported large-scale new casino entertainment complex proposed in Manila is developed, Wynn Macau will face additional regional competition.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 that we will be able to attract and retain a sufficient number of qualified individuals to operate the hotel and casino. We will pay competitive market wages to our employees.</w:t>
      </w:r>
    </w:p>
    <w:p>
      <w:pPr>
        <w:spacing w:after="0" w:line="19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 United States Patent and Trademark Office, referred to as the PTO, for hotel services. Our application for the LE RÊVE hotel mark has cleared the PTO examination process. It was "published for opposition." If no member of the public opposes or seeks time to oppose by August 16, 2002, LE RÊVE will be registered for hotel services, and restaurant, bar, lounge and health spa services.</w:t>
      </w:r>
    </w:p>
    <w:p>
      <w:pPr>
        <w:spacing w:after="0" w:line="170"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have also applied to register the "LE RÊVE" service mark with the PTO for combined casino and entertainment operations. Because PTO translates "LE RÊVE" as "THE DREAM", it has cited certain "DREAM" marks as a basis for preliminarily refusing to allow some of our "LE RÊVE" applications to proceed toward registration. The PTO's objection appears to relate solely to entertainment services, and not casino services. Accordingly, we will divide the application to register LE RÊVE for casino services from entertainment services and therefore not be subject to the objections to entertainment services.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for wines. Each of these applications is pending. None of the non-hotel and non-casino applications for LE RÊVE are for goods or services that would, if finally rejected, have a material impact on our business.</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Even if we are able to obtain registration of the LE RÊVE mark for the above-described applications, such federal registration is not completely dispositive of the right to such trademarks. Third parties with prior rights with respect to DREAM marks or to marks similar to LE RÊVE may nonetheless challenge our use of LE RÊVE and seek to overcome the presumptions afforded by the registration. They also could attempt to prevent our use of LE RÊVE or seek monetary damages as a result of our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We currently own approximately 212 acres of land on or near the Las Vegas Strip on the site of the former Desert Inn Resort &amp; Casino.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 Rêve will total 192 acres consisting of approximately 55 acres, owned by Wynn Las Vegas, at the northeast corner of the intersection of Las Vegas Boulevard and Sands Avenue and the approximately 137-acre golf course, owned by Wynn Golf Course, to be constructed behind the hotel. The balance of the 212 acres consists of an additional parcel of approximately 20 acres, owned by Valvino, that is available for future development.</w:t>
      </w:r>
    </w:p>
    <w:p>
      <w:pPr>
        <w:spacing w:after="0" w:line="167"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Las Vegas Water Rights. </w:t>
      </w:r>
      <w:r>
        <w:rPr>
          <w:rFonts w:ascii="Arial" w:cs="Arial" w:eastAsia="Arial" w:hAnsi="Arial"/>
          <w:sz w:val="16"/>
          <w:szCs w:val="16"/>
          <w:color w:val="auto"/>
        </w:rPr>
        <w:t>Valvino indirectly owns approximately 935 acre-feet of certificated water rights through its indirect subsidiary, Desert Inn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Improvement Co. We plan to use this water for general irrigation purposes including irrigation of the golf course. Desert Inn Improvement Co. also currently provides water service to the existing office building on the site of the former Desert Inn Resort &amp; Casino and the remaining homes around the golf course. As a result, Desert Inn Improvement Co. is a public utility under Nevada law and is subject to regulatory restrictions imposed by the Public Utilities Commission of Nevada. See "Risk Factors—General Risks Associated with Our Business—We will be subject to regulatory control by the Public Utilities Commission of Nevada." Desert Inn Improvement Co. does not use these water rights to provide water to its public utility customers. Under Nevada law, we obtained the approval of the Public Utilities Commission of Nevada for Wynn Resorts to complete its offering of common stock.</w:t>
      </w:r>
    </w:p>
    <w:p>
      <w:pPr>
        <w:sectPr>
          <w:pgSz w:w="11900" w:h="16838" w:orient="portrait"/>
          <w:cols w:equalWidth="0" w:num="1">
            <w:col w:w="11420"/>
          </w:cols>
          <w:pgMar w:left="240" w:top="131" w:right="239" w:bottom="0" w:gutter="0" w:footer="0" w:header="0"/>
        </w:sectPr>
      </w:pPr>
    </w:p>
    <w:bookmarkStart w:id="57" w:name="page58"/>
    <w:bookmarkEnd w:id="57"/>
    <w:p>
      <w:pPr>
        <w:ind w:firstLine="348"/>
        <w:spacing w:after="0" w:line="259" w:lineRule="auto"/>
        <w:rPr>
          <w:sz w:val="20"/>
          <w:szCs w:val="20"/>
          <w:color w:val="auto"/>
        </w:rPr>
      </w:pPr>
      <w:r>
        <w:rPr>
          <w:rFonts w:ascii="Arial" w:cs="Arial" w:eastAsia="Arial" w:hAnsi="Arial"/>
          <w:sz w:val="18"/>
          <w:szCs w:val="18"/>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 our water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addition, 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161" w:lineRule="exact"/>
        <w:rPr>
          <w:sz w:val="20"/>
          <w:szCs w:val="20"/>
          <w:color w:val="auto"/>
        </w:rPr>
      </w:pPr>
    </w:p>
    <w:p>
      <w:pPr>
        <w:ind w:right="180" w:firstLine="351"/>
        <w:spacing w:after="0" w:line="287" w:lineRule="auto"/>
        <w:rPr>
          <w:sz w:val="20"/>
          <w:szCs w:val="20"/>
          <w:color w:val="auto"/>
        </w:rPr>
      </w:pPr>
      <w:r>
        <w:rPr>
          <w:rFonts w:ascii="Arial" w:cs="Arial" w:eastAsia="Arial" w:hAnsi="Arial"/>
          <w:sz w:val="16"/>
          <w:szCs w:val="16"/>
          <w:color w:val="auto"/>
        </w:rPr>
        <w:t>On October 31, 2000, Ms. Stephanie Swain, as trustee of the Mark Swain Revocable Trust, and some of the homeowners whose lots Valvino did not purchase filed an action in Clark County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77"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trial in this matter is scheduled for February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pacing w:after="0" w:line="172"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86" w:lineRule="exact"/>
        <w:rPr>
          <w:sz w:val="20"/>
          <w:szCs w:val="20"/>
          <w:color w:val="auto"/>
        </w:rPr>
      </w:pPr>
    </w:p>
    <w:p>
      <w:pPr>
        <w:ind w:right="460" w:firstLine="351"/>
        <w:spacing w:after="0" w:line="298" w:lineRule="auto"/>
        <w:rPr>
          <w:sz w:val="20"/>
          <w:szCs w:val="20"/>
          <w:color w:val="auto"/>
        </w:rPr>
      </w:pPr>
      <w:r>
        <w:rPr>
          <w:rFonts w:ascii="Arial" w:cs="Arial" w:eastAsia="Arial" w:hAnsi="Arial"/>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CONSTRUCTION CONTRACTS FOR LE RÊVE</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our construction contracts. These summaries are qualified in their entirety by reference to the contracts themselves.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pacing w:after="0" w:line="174"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ectPr>
          <w:pgSz w:w="11900" w:h="16838" w:orient="portrait"/>
          <w:cols w:equalWidth="0" w:num="1">
            <w:col w:w="11420"/>
          </w:cols>
          <w:pgMar w:left="240" w:top="131" w:right="239" w:bottom="0" w:gutter="0" w:footer="0" w:header="0"/>
        </w:sectPr>
      </w:pPr>
    </w:p>
    <w:bookmarkStart w:id="58" w:name="page59"/>
    <w:bookmarkEnd w:id="58"/>
    <w:p>
      <w:pPr>
        <w:spacing w:after="0" w:line="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guaranteed date of substantial completion is 910 calendar days from the date we direct Marnell Corrao by written notice to commence construction.</w:t>
      </w:r>
    </w:p>
    <w:p>
      <w:pPr>
        <w:spacing w:after="0" w:line="248"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and with regard to a portion of the construction budget covered by the Marnell Corrao construction contract:</w:t>
      </w:r>
    </w:p>
    <w:p>
      <w:pPr>
        <w:spacing w:after="0" w:line="262" w:lineRule="exact"/>
        <w:rPr>
          <w:sz w:val="20"/>
          <w:szCs w:val="20"/>
          <w:color w:val="auto"/>
        </w:rPr>
      </w:pPr>
    </w:p>
    <w:p>
      <w:pPr>
        <w:ind w:left="1080" w:right="22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00"/>
        <w:spacing w:after="0" w:line="268" w:lineRule="auto"/>
        <w:rPr>
          <w:sz w:val="20"/>
          <w:szCs w:val="20"/>
          <w:color w:val="auto"/>
        </w:rPr>
      </w:pPr>
      <w:r>
        <w:rPr>
          <w:rFonts w:ascii="Arial" w:cs="Arial" w:eastAsia="Arial" w:hAnsi="Arial"/>
          <w:sz w:val="18"/>
          <w:szCs w:val="18"/>
          <w:color w:val="auto"/>
        </w:rPr>
        <w:t>plant, meeting rooms and warehouse space, which represents approximately $388 million of the construction components covered by the construction contract;</w:t>
      </w:r>
    </w:p>
    <w:p>
      <w:pPr>
        <w:spacing w:after="0" w:line="213"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 and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are also certain permit and similar fees and costs of approximately $13.8 million which are not Marnell Corrao's responsibility and are not a part of the guaranteed maximum price, but are our responsibility.</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 Corrao to pay any anticipated overages.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us to demonstrate, as a condition to every release or drawdown of funds, that we have sufficient funds available to cover all remaining construction costs, plus required contingency, in accordance with our construction budget. Accordingly, if Marnell Corrao spends greater amounts than anticipated in respect of any component of the work, we may be denied further access to the proceeds of the second mortgage notes and under the credit facilities.</w:t>
      </w:r>
    </w:p>
    <w:p>
      <w:pPr>
        <w:spacing w:after="0" w:line="172"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Increases in the Guaranteed Maximum Price</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pacing w:after="0" w:line="19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changes in the design documents prepared by the architect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delays caused by us.</w:t>
      </w:r>
    </w:p>
    <w:p>
      <w:pPr>
        <w:sectPr>
          <w:pgSz w:w="11900" w:h="16866" w:orient="portrait"/>
          <w:cols w:equalWidth="0" w:num="1">
            <w:col w:w="11400"/>
          </w:cols>
          <w:pgMar w:left="240" w:top="131" w:right="259" w:bottom="0" w:gutter="0" w:footer="0" w:header="0"/>
        </w:sectPr>
      </w:pPr>
    </w:p>
    <w:bookmarkStart w:id="59" w:name="page60"/>
    <w:bookmarkEnd w:id="59"/>
    <w:p>
      <w:pPr>
        <w:ind w:right="20" w:firstLine="348"/>
        <w:spacing w:after="0" w:line="259" w:lineRule="auto"/>
        <w:rPr>
          <w:sz w:val="20"/>
          <w:szCs w:val="20"/>
          <w:color w:val="auto"/>
        </w:rPr>
      </w:pPr>
      <w:r>
        <w:rPr>
          <w:rFonts w:ascii="Arial" w:cs="Arial" w:eastAsia="Arial" w:hAnsi="Arial"/>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Cost overruns could cause us to be out of "balance" under the second mortgage notes, credit facilities and FF&amp;E facility and, consequently, unable to obtain funds from the second mortgage note proceeds secured account or to draw down under the credit facilities or the FF&amp;E facility. If we cannot obtain these funds, we will not be able to open Le Rêve to the general public on schedule or at all. Given that we are required to use a substantial portion of the cash equity contribution made by Wynn Resorts before receiving disbursements of the second mortgage note proceeds or borrowing under the credit facilities and the FF&amp;E facility, if any such "out of balance" event occurs in the latter stages of construction, the holders of Wynn Resorts common stock would be fully exposed and the lenders under the credit facilities and FF&amp;E facility would have no obligation to commence or continue funding loans under their respective facilities.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and the FF&amp;E facility and the second mortgage note holders as required under the disbursement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Bids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Substantial Completion</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Contract Guaranty</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 family.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Force Majeure and Owner Delay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circumstances, the contract may allow Marnell Carrao an extension of the contract time. These circumstances include:</w:t>
      </w:r>
    </w:p>
    <w:p>
      <w:pPr>
        <w:spacing w:after="0" w:line="239" w:lineRule="exact"/>
        <w:rPr>
          <w:sz w:val="20"/>
          <w:szCs w:val="20"/>
          <w:color w:val="auto"/>
        </w:rPr>
      </w:pPr>
    </w:p>
    <w:p>
      <w:pPr>
        <w:ind w:left="1080" w:right="280" w:hanging="532"/>
        <w:spacing w:after="0" w:line="332"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delays in Marnell Corrao's performance arising from a force majeure occurrence, which includes industry-wide labor disputes affecting the general Las Vegas area and not limited to the project, fire, unavoidable casualties, adverse weather conditions not reasonably anticipated; or</w:t>
      </w:r>
    </w:p>
    <w:p>
      <w:pPr>
        <w:spacing w:after="0" w:line="166"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delays caused by us or our agents, consultants or separate contractors.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and Performance Bond</w:t>
      </w:r>
    </w:p>
    <w:p>
      <w:pPr>
        <w:spacing w:after="0" w:line="231" w:lineRule="exact"/>
        <w:rPr>
          <w:sz w:val="20"/>
          <w:szCs w:val="20"/>
          <w:color w:val="auto"/>
        </w:rPr>
      </w:pPr>
    </w:p>
    <w:p>
      <w:pPr>
        <w:ind w:right="260" w:firstLine="351"/>
        <w:spacing w:after="0" w:line="254" w:lineRule="auto"/>
        <w:rPr>
          <w:sz w:val="20"/>
          <w:szCs w:val="20"/>
          <w:color w:val="auto"/>
        </w:rPr>
      </w:pPr>
      <w:r>
        <w:rPr>
          <w:rFonts w:ascii="Arial" w:cs="Arial" w:eastAsia="Arial" w:hAnsi="Arial"/>
          <w:sz w:val="18"/>
          <w:szCs w:val="18"/>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 than five business days after it receives written notice from us to commence construction and, in any event, prior to the commencement of the work. The performance and payment bond will be issued by a bonding company with an A.M. Best Co. rating of A XV or better, and will name us and the lenders and agents relating to the lenders under the credit facilities and the trustee on behalf of the second mortgage note holders as obligees and beneficiaries. After it is issued, the performance and payment bond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may not be increased or decreased unless we approve in advance. Certain of the subcontractors performing work for Marnell Corrao on the project will also be bonded.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Early or Late Completion</w:t>
      </w:r>
    </w:p>
    <w:p>
      <w:pPr>
        <w:sectPr>
          <w:pgSz w:w="11900" w:h="16838" w:orient="portrait"/>
          <w:cols w:equalWidth="0" w:num="1">
            <w:col w:w="11420"/>
          </w:cols>
          <w:pgMar w:left="240" w:top="131" w:right="239" w:bottom="0" w:gutter="0" w:footer="0" w:header="0"/>
        </w:sectPr>
      </w:pPr>
    </w:p>
    <w:bookmarkStart w:id="60" w:name="page61"/>
    <w:bookmarkEnd w:id="60"/>
    <w:p>
      <w:pPr>
        <w:ind w:right="160" w:firstLine="351"/>
        <w:spacing w:after="0" w:line="306" w:lineRule="auto"/>
        <w:rPr>
          <w:sz w:val="20"/>
          <w:szCs w:val="20"/>
          <w:color w:val="auto"/>
        </w:rPr>
      </w:pPr>
      <w:r>
        <w:rPr>
          <w:rFonts w:ascii="Arial" w:cs="Arial" w:eastAsia="Arial" w:hAnsi="Arial"/>
          <w:sz w:val="16"/>
          <w:szCs w:val="16"/>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6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grace period, our actual damages likely will exceed $300,000 per day.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Marnell Corrao must make an itemized application for payment based on an approved schedule of values. Payment of the application is subject to approval by us and our subsidiaries'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subsidiaries' lenders.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Warranties and Guarantees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Marnell Corrao has substantial experience in performing major projects with scopes of work similar to Le Rêve, and, where required by law, is licensed to perform the work.</w:t>
      </w:r>
    </w:p>
    <w:p>
      <w:pPr>
        <w:spacing w:after="0" w:line="20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one year period of their general construction warranty is not a limitation on any of Marnell Corrao's other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 Thus, it is anticipated that we may have available to us one or more avenues of potential recourse, including under governing law and subcontractor and vendor warranties, for defective work first discovered after the one year express warranty expires.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9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builder's risk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on-site workers compensation and employers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commercial general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 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Insurance</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Additionally, Marnell Corrao is required to, and is required to cause the subcontractors to, obtain and maintain the following, which are not included in the owner-controlled insurance program:</w:t>
      </w:r>
    </w:p>
    <w:p>
      <w:pPr>
        <w:spacing w:after="0" w:line="213" w:lineRule="exact"/>
        <w:rPr>
          <w:sz w:val="20"/>
          <w:szCs w:val="20"/>
          <w:color w:val="auto"/>
        </w:rPr>
      </w:pPr>
    </w:p>
    <w:p>
      <w:pPr>
        <w:ind w:left="1080" w:right="46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automobile liability insurance, with limits of not less than $1 million combined single limit for bodily injury, death and property damage per occurrence;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off-site activities.</w:t>
      </w:r>
    </w:p>
    <w:p>
      <w:pPr>
        <w:sectPr>
          <w:pgSz w:w="11900" w:h="16838" w:orient="portrait"/>
          <w:cols w:equalWidth="0" w:num="1">
            <w:col w:w="11400"/>
          </w:cols>
          <w:pgMar w:left="240" w:top="131" w:right="259" w:bottom="0" w:gutter="0" w:footer="0" w:header="0"/>
        </w:sectPr>
      </w:pPr>
    </w:p>
    <w:bookmarkStart w:id="61" w:name="page62"/>
    <w:bookmarkEnd w:id="61"/>
    <w:p>
      <w:pPr>
        <w:ind w:right="160"/>
        <w:spacing w:after="0" w:line="256" w:lineRule="auto"/>
        <w:rPr>
          <w:sz w:val="20"/>
          <w:szCs w:val="20"/>
          <w:color w:val="auto"/>
        </w:rPr>
      </w:pPr>
      <w:r>
        <w:rPr>
          <w:rFonts w:ascii="Arial" w:cs="Arial" w:eastAsia="Arial" w:hAnsi="Arial"/>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we will be named as additional insured.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Ineligible Parties and Termination of the Owner-Controlled Insurance Program</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10"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commercial general liability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For all of these policies, Marnell Corrao and all subcontractors must obtain a waiver of subrogation, where allowed by law, against us and all other named insureds and their agents and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Marnell Corrao has agreed to indemnify us, our affiliates and our subsidiaries'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reasonably attorneys' fees and costs, that relate to or arise out of performance of the work or any act or omission of Marnell Corrao or any subcontractor or vendor and that are imposed by law or relate to, among other things:</w:t>
      </w:r>
    </w:p>
    <w:p>
      <w:pPr>
        <w:spacing w:after="0" w:line="180"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violations of or failure to comply with applicable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variations from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infringement of third party rights, including copyright and patent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mechanics' liens relating to Marnell Corrao's work;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breach or alleged breach of Marnell Corrao's representations, obligations, covenants or agreements in the construction contract.</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Also, under the construction contract, Wynn Las Vegas has agreed to indemnify Marnell Corrao and its affiliates from all claims, liabilities, obligations, losses, suits, actions, legal procedings, damages, costs, expenses, awards or judgments, including reasonable attorneys'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fees and costs suffered by or threatened against Marnell Corrao and/or its affiliates that relate to or arise out of any act or omission by us and that are imposed by law or relate to:</w:t>
      </w:r>
    </w:p>
    <w:p>
      <w:pPr>
        <w:spacing w:after="0" w:line="199"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death;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property damage;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breach or alleged breach of Wynn Las Vegas warranties, representations, obligations, covenants or agreements in the construction contract.</w:t>
      </w:r>
    </w:p>
    <w:p>
      <w:pPr>
        <w:sectPr>
          <w:pgSz w:w="11900" w:h="16838" w:orient="portrait"/>
          <w:cols w:equalWidth="0" w:num="1">
            <w:col w:w="11420"/>
          </w:cols>
          <w:pgMar w:left="240" w:top="131" w:right="239" w:bottom="238" w:gutter="0" w:footer="0" w:header="0"/>
        </w:sectPr>
      </w:pPr>
    </w:p>
    <w:bookmarkStart w:id="62" w:name="page63"/>
    <w:bookmarkEnd w:id="62"/>
    <w:p>
      <w:pPr>
        <w:ind w:right="260" w:firstLine="351"/>
        <w:spacing w:after="0" w:line="268" w:lineRule="auto"/>
        <w:rPr>
          <w:sz w:val="20"/>
          <w:szCs w:val="20"/>
          <w:color w:val="auto"/>
        </w:rPr>
      </w:pPr>
      <w:r>
        <w:rPr>
          <w:rFonts w:ascii="Arial" w:cs="Arial" w:eastAsia="Arial" w:hAnsi="Arial"/>
          <w:sz w:val="18"/>
          <w:szCs w:val="18"/>
          <w:color w:val="auto"/>
        </w:rPr>
        <w:t>Certain liability limitations and releases in favor of the owner contained in the construction contract are also express limitations on the owner's indemnity obligations.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of Construction Contract</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Construction—Development costs of Le Rêve are estimates only and actual development costs may be higher than expected."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Lenders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the lenders and the designated trustees, intercreditor agents, administrative agents and disbursement agents will also have access to the work and site and are entitled to audit Marnell Corrao, subcontractors and vendors to the same extent as we are. Material changes to the drawings, specifications, contract time and guaranteed maximum price also may be subject to approval of the lenders pursuant to the disbursement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and Disputes</w:t>
      </w:r>
    </w:p>
    <w:p>
      <w:pPr>
        <w:spacing w:after="0" w:line="231" w:lineRule="exact"/>
        <w:rPr>
          <w:sz w:val="20"/>
          <w:szCs w:val="20"/>
          <w:color w:val="auto"/>
        </w:rPr>
      </w:pPr>
    </w:p>
    <w:p>
      <w:pPr>
        <w:jc w:val="both"/>
        <w:ind w:right="220" w:firstLine="341"/>
        <w:spacing w:after="0" w:line="306" w:lineRule="auto"/>
        <w:rPr>
          <w:sz w:val="20"/>
          <w:szCs w:val="20"/>
          <w:color w:val="auto"/>
        </w:rPr>
      </w:pPr>
      <w:r>
        <w:rPr>
          <w:rFonts w:ascii="Arial" w:cs="Arial" w:eastAsia="Arial" w:hAnsi="Arial"/>
          <w:sz w:val="16"/>
          <w:szCs w:val="16"/>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dispute. See "Risk Factors—Risks Associated with our Construction—Development costs of Le Rêve are estimates only and actual development costs may be higher than expected."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Parking Garage</w:t>
      </w:r>
    </w:p>
    <w:p>
      <w:pPr>
        <w:spacing w:after="0" w:line="231" w:lineRule="exact"/>
        <w:rPr>
          <w:sz w:val="20"/>
          <w:szCs w:val="20"/>
          <w:color w:val="auto"/>
        </w:rPr>
      </w:pPr>
    </w:p>
    <w:p>
      <w:pPr>
        <w:jc w:val="both"/>
        <w:ind w:right="460" w:firstLine="348"/>
        <w:spacing w:after="0" w:line="306" w:lineRule="auto"/>
        <w:rPr>
          <w:sz w:val="20"/>
          <w:szCs w:val="20"/>
          <w:color w:val="auto"/>
        </w:rPr>
      </w:pPr>
      <w:r>
        <w:rPr>
          <w:rFonts w:ascii="Arial" w:cs="Arial" w:eastAsia="Arial" w:hAnsi="Arial"/>
          <w:sz w:val="16"/>
          <w:szCs w:val="16"/>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61"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construction contract for the parking garage provides that the maximum cost to us for completion of Bomel's work on the garage will not exceed</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92"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Bomel's general construction warranty extends for one year, and up to five years with regard to some watertight aspects, after final completion of its work on the garage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Golf Course</w:t>
      </w:r>
    </w:p>
    <w:p>
      <w:pPr>
        <w:spacing w:after="0" w:line="231"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estimate that the cost to construct the golf course will be approximately $21.5 million. We expect to solicit bids in late summer 2002 for the construction of the golf course and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CONCESSION AGREEMENT WITH THE GOVERNMENT OF MACAU</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following is a summary of the key terms of the concession agreement between Wynn Macau and the government of Macau. There are Chinese and Portuguese versions of the concession agreement, each of which is an official document of equal authority. The following summary is based on English translations of both of the official Chinese and Portuguese versions of the agreement and is qualified in its entirety by reference to the two official versions of the concession agreement themselves. The currency used in the concession agreement is the Macau pataca. The Macau pataca, which is not a freely convertible currency, is linked to the Hong Kong dollar, which itself is linked to the U.S. dollar. We have converted all pataca references into U.S. dollars, using the exchange rate as of August 11, 2002. While the rate of exchange may fluctuate over the term of the concession agreement, the rate of exchange between the United States dollar and the Hong Kong dollar has remained relatively stable over the past several years.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Opportunity in Macau</w:t>
      </w:r>
    </w:p>
    <w:p>
      <w:pPr>
        <w:sectPr>
          <w:pgSz w:w="11900" w:h="16838" w:orient="portrait"/>
          <w:cols w:equalWidth="0" w:num="1">
            <w:col w:w="11400"/>
          </w:cols>
          <w:pgMar w:left="240" w:top="131" w:right="259" w:bottom="113" w:gutter="0" w:footer="0" w:header="0"/>
        </w:sectPr>
      </w:pPr>
    </w:p>
    <w:bookmarkStart w:id="63" w:name="page64"/>
    <w:bookmarkEnd w:id="63"/>
    <w:p>
      <w:pPr>
        <w:ind w:firstLine="348"/>
        <w:spacing w:after="0" w:line="259" w:lineRule="auto"/>
        <w:rPr>
          <w:sz w:val="20"/>
          <w:szCs w:val="20"/>
          <w:color w:val="auto"/>
        </w:rPr>
      </w:pPr>
      <w:r>
        <w:rPr>
          <w:rFonts w:ascii="Arial" w:cs="Arial" w:eastAsia="Arial" w:hAnsi="Arial"/>
          <w:sz w:val="18"/>
          <w:szCs w:val="18"/>
          <w:color w:val="auto"/>
        </w:rPr>
        <w:t>Wynn Macau currently is an indirect, 90%-owned subsidiary of Wynn Resorts. Wynn Macau has committed to allow certain minority partners to invest in the Macau-related entities after which Wynn Resorts is expected to indirectly own an approximately 82.5% economic interest in Wynn Macau before giving effect to any financing for the Macau opportunity.</w:t>
      </w:r>
    </w:p>
    <w:p>
      <w:pPr>
        <w:spacing w:after="0" w:line="194"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Wynn Macau has entered into a concession agreement with the government of Macau permitting it to construct and operate one or more casinos in Macau. The term of the concession agreement is 20 years, beginning on June 27, 2002 and ending on June 26, 2022, unless terminated pursuant to the concession agreement on an earlier date. Under Macau law, the concession agreement may also be extended by mutual agreement of the parties for up to an additional five years. Wynn Macau has agreed to invest no less than a total of 4 billion patacas (currently approximately US $500 million) in one or more Macau casino projects by June 26, 2009, and to commence operations of its first permanent casino resort no later than December 2006. If Wynn Macau does not invest 4 billion patacas by June 26, 2009, it is obligated to invest the remaining amount on projects related to its gaming operations in Macau that the Macau government approves, or on projects of public interest designated by the Macau government. Currently, Wynn Macau is in the preliminary stages of formulating the strategy for its Macau opportunity. Wynn Macau has not yet determined how many casinos it will build, the scope, design or the timing of any project, or whether it will begin construction and operations in separate phases at the first permanent casino resort site or open one or more temporary casinos during the construction of a casino. Wynn Macau may begin casino operations in Macau prior to the opening of Le Rêve.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Scope of Macau Activities</w:t>
      </w:r>
    </w:p>
    <w:p>
      <w:pPr>
        <w:spacing w:after="0" w:line="231"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The concession agreement provides that Wynn Macau's business shall be limited to the operation of casino gaming or other prescribed forms of gaming. The concession agreement also permits Wynn Macau to operate other businesses that are related to casino gaming, such as a resort hotel, as part of an integrated facility with a casino, with the approval of the government of Macau. Wynn Macau has no reason to believe that the Macau government would not approve Wynn Macau operating a resort hotel, complete with food and beverage facilities, convention facilities, retail facilities, travel and transportation facilities, entertainment facilities, recreational facilities, spa and personal care facilities and related facilities, so long as they are part of an integrated project which offers casino gaming.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Location and Types of Games</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concession agreement obligates Wynn Macau to conduct gaming activities only at locations within Macau approved by the government of Macau. The concession agreement prohibits Wynn Macau from engaging in Internet gaming and horse race or sports betting or offering games to the public on boats or aircraft, or in the form of a lottery. The concession agreement authorizes Wynn Macau to conduct a variety of popular card, dice and other table games, including baccarat, black jack, craps, mahjong, roulette, three- and five-card poker and pai gow, and also permits it to offer gaming machines such as pachinko and slot machines.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Limit on Number of Concessions</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concession agreement provides that, prior to April 1, 2009, the government of Macau will grant no more than three concessions for the operation of casinos in Macau. If, after April 1, 2009, the government permits more than three concessions for the operation of casinos in Macau, and any of the concessions provide terms which are more favorable overall than those provided by Wynn Macau's concession agreement, the government must extend those more favorable terms to Wynn Macau.</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Premium</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Wynn Macau must pay the government of Macau a premium, comprised of a fixed portion, paid annually, and a variable portion, paid monthly. The amount of the fixed portion of the premium is 30 million patacas (currently approximately US $3.8 million) per year. The amount of the variable portion of the premium is calculated according to the number of gaming tables and machines Wynn Macau operates in Macau, with a set minimum of 45 million patacas (currently approximately US $5.6 million) per year.</w:t>
      </w:r>
    </w:p>
    <w:p>
      <w:pPr>
        <w:spacing w:after="0" w:line="19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Wynn Macau is obligated to begin paying the fixed portion of the premium on the earlier of June 26, 2005 or when its first permanent casino resort is opened for business. The variable portion of the premium becomes due when Wynn Macau begins operating casino games for the general public in Macau in either a temporary or permanent casino resort. If Wynn Macau operates a temporary casino before completion of its first permanent casino resort the variable portion of the premium will be calculated using the same formula applied to permanent casino resorts, with a set minimum of 9 million patacas (currently approximately US $1.1 million) per year.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Special Gaming Tax</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Wynn Macau must pay 35% of its gross gaming revenue to the government as a special gaming tax. The concession agreement authorizes the government to require Wynn Macau to obtain a bank guarantee ensuring payment of the special gaming tax if it has justification for believing that Wynn Macau will not pay the full amount of the special gaming tax according to law.</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Required Contributions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Wynn Macau must pay 1.6% of its gross gaming revenue to a public foundation designated by the government of Macau for the promotion, development and study of social, cultural, economic, educational, scientific, academic and charitable activities in Macau. Wynn Macau must pay an additional 2.4% of its gross gaming revenue to one or more beneficiaries for urban development, promotion of tourism and social security in Macau. Under the concession agreement, Wynn Macau may, with government consent, allocate up to one-half of this second contribution to project(s) Wynn Macau designates. The other one-half must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allocated to beneficiaries designated by the government of Macau. The concession agreement provides that Wynn Macau may negotiate with the government of Macau to adjust the rates of these required contributions beginning in the year 2010.</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w:t>
      </w:r>
    </w:p>
    <w:p>
      <w:pPr>
        <w:sectPr>
          <w:pgSz w:w="11900" w:h="16838" w:orient="portrait"/>
          <w:cols w:equalWidth="0" w:num="1">
            <w:col w:w="11420"/>
          </w:cols>
          <w:pgMar w:left="240" w:top="131" w:right="239" w:bottom="113" w:gutter="0" w:footer="0" w:header="0"/>
        </w:sectPr>
      </w:pPr>
    </w:p>
    <w:bookmarkStart w:id="64" w:name="page65"/>
    <w:bookmarkEnd w:id="64"/>
    <w:p>
      <w:pPr>
        <w:ind w:firstLine="351"/>
        <w:spacing w:after="0" w:line="291" w:lineRule="auto"/>
        <w:rPr>
          <w:sz w:val="20"/>
          <w:szCs w:val="20"/>
          <w:color w:val="auto"/>
        </w:rPr>
      </w:pPr>
      <w:r>
        <w:rPr>
          <w:rFonts w:ascii="Arial" w:cs="Arial" w:eastAsia="Arial" w:hAnsi="Arial"/>
          <w:sz w:val="16"/>
          <w:szCs w:val="16"/>
          <w:color w:val="auto"/>
        </w:rPr>
        <w:t>Macau generally imposes a complementary income tax at the rate of 15% on the profits realized from conducting business in Macau. In addition, Macau imposes a 15% withholding tax rate on dividends paid from Macau entities to their stockholders. The Macau gaming laws permit the Chief Executive of Macau to exempt concessionaires from the complementary income tax for a period of time. The Chief Executive of Macau has no such power to exempt concessionaires from the withholding tax on dividends. Wynn Macau has requested that the Chief Executive of Macau exempt it from the complementary income tax throughout the term of the concession. Wynn Macau is seeking legislative changes to exempt concessionaires from the complementary income tax and from the withholding tax on dividends throughout the term of the concession.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Capital Deposit</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concession agreement requires that Wynn Macau have an initial paid-in capital of 200 million patacas (currently approximately US $25 million). This sum has been deposited in a Macau bank and will be credited as paid-in capital as soon as the restructuring transactions of Wynn Macau are completed. See "Business—The Macau Opportunity—Ownership Structure of Macau-Related Entities."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Legal Reserve</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Wynn Macau is obligated to retain an amount equal to no less than 10% of its yearly profits as a reserve, until the reserve reaches the amount of 50 million patacas (currently approximately US $6.3 million). Wynn Macau may only use this reserve to:</w:t>
      </w:r>
    </w:p>
    <w:p>
      <w:pPr>
        <w:spacing w:after="0" w:line="199"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cover any yearly loss it incurs that it cannot cover with any of its other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cover the losses that it carries forward from previous years that it cannot cover with the profits from the current year or any other reserve;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increase its registered capital.</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Bank Guarantee</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Wynn Macau is obligated to obtain the necessary financing to carry out its investment plan and maintain the financial capacity to adequately operate its gaming business in Macau. In compliance with the concession agreement, Wynn Macau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 US $37.5 million) for the period from April 1, 2007 until 180 days after the end of the term of the concession agreement. This bank guarantee is also intended to satisfy the requirement imposed by Macau law that a controlling stockholder of Wynn Macau obtain a bank guarantee for the benefit of the government of Macau. The purpose of this bank guarantee is to guarantee Wynn Macau's:</w:t>
      </w:r>
    </w:p>
    <w:p>
      <w:pPr>
        <w:spacing w:after="0" w:line="186"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performance of the concession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payment of premiums;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payment of any fines;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payment of any indemnity for failure to perform the concession agreement.</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concession agreement permits the government of Macau to withdraw amounts from the bank guarantee without prior adjudication. Wynn Macau is obligated to reimburse the bank and reinstate the guarantee in full if any amounts are withdrawn for payment of its obligations. Wynn Macau may not cancel the bank guarantee without government approval, but the government may allow Wynn Macau to substitute a bond or other contract for the guarantee. Wynn Macau must bear any costs incurred for the issuance, maintenance and cancellation of any such bank guarantee, bond or contract.</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connection with the commencement of construction, or otherwise, Wynn Macau may be required to obtain a replacement guarantee or bond and/or modify the existing bank guarantee in a manner that requires it to provide certain security or other financial commitments.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Oversight of Construction</w:t>
      </w:r>
    </w:p>
    <w:p>
      <w:pPr>
        <w:spacing w:after="0" w:line="231" w:lineRule="exact"/>
        <w:rPr>
          <w:sz w:val="20"/>
          <w:szCs w:val="20"/>
          <w:color w:val="auto"/>
        </w:rPr>
      </w:pPr>
    </w:p>
    <w:p>
      <w:pPr>
        <w:ind w:right="60" w:firstLine="348"/>
        <w:spacing w:after="0" w:line="335" w:lineRule="auto"/>
        <w:rPr>
          <w:sz w:val="20"/>
          <w:szCs w:val="20"/>
          <w:color w:val="auto"/>
        </w:rPr>
      </w:pPr>
      <w:r>
        <w:rPr>
          <w:rFonts w:ascii="Arial" w:cs="Arial" w:eastAsia="Arial" w:hAnsi="Arial"/>
          <w:sz w:val="15"/>
          <w:szCs w:val="15"/>
          <w:color w:val="auto"/>
        </w:rPr>
        <w:t>The concession agreement requires Wynn Macau to adhere to an agreed-upon construction schedule for the completion of the first casino, but the agreement provides that the deadlines in the construction schedule may be extended with governmental approval. The government of Macau may suspend construction of the casino(s) if it determines that Wynn Macau has failed to adequately implement the construction plans or violated the concession agreement or applicable law.</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Allocation of Unused Investment</w:t>
      </w:r>
    </w:p>
    <w:p>
      <w:pPr>
        <w:spacing w:after="0" w:line="231" w:lineRule="exact"/>
        <w:rPr>
          <w:sz w:val="20"/>
          <w:szCs w:val="20"/>
          <w:color w:val="auto"/>
        </w:rPr>
      </w:pPr>
    </w:p>
    <w:p>
      <w:pPr>
        <w:ind w:right="220" w:firstLine="351"/>
        <w:spacing w:after="0" w:line="286" w:lineRule="auto"/>
        <w:rPr>
          <w:sz w:val="20"/>
          <w:szCs w:val="20"/>
          <w:color w:val="auto"/>
        </w:rPr>
      </w:pPr>
      <w:r>
        <w:rPr>
          <w:rFonts w:ascii="Arial" w:cs="Arial" w:eastAsia="Arial" w:hAnsi="Arial"/>
          <w:sz w:val="16"/>
          <w:szCs w:val="16"/>
          <w:color w:val="auto"/>
        </w:rPr>
        <w:t>Under the concession agreement, Wynn Macau is required to invest not less than a total of 4 billion patacas (currently approximately US $500 million) on one or more casino projects by June 26, 2009. If Wynn Macau does not invest the amount required by the concession agreement on its Macau project(s) by</w:t>
      </w:r>
    </w:p>
    <w:p>
      <w:pPr>
        <w:spacing w:after="0" w:line="261" w:lineRule="auto"/>
        <w:rPr>
          <w:sz w:val="20"/>
          <w:szCs w:val="20"/>
          <w:color w:val="auto"/>
        </w:rPr>
      </w:pPr>
      <w:r>
        <w:rPr>
          <w:rFonts w:ascii="Arial" w:cs="Arial" w:eastAsia="Arial" w:hAnsi="Arial"/>
          <w:sz w:val="18"/>
          <w:szCs w:val="18"/>
          <w:color w:val="auto"/>
        </w:rPr>
        <w:t>June 26, 2009, it is obligated to invest the remaining amount on projects related to its gaming operations in Macau that the government approves, or on projects of public interest designated by the Macau government.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Supervision of Gaming Operations</w:t>
      </w:r>
    </w:p>
    <w:p>
      <w:pPr>
        <w:spacing w:after="0" w:line="231"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According to the concession agreement, the government of Macau is entitled to enter the premises of Wynn Macau's casino(s) at any time and review Wynn Macau's records to monitor the gross revenue from its gaming operations. Wynn Macau is required to periodically submit financial reports and other documentation to the government of Macau, and answer the government's requests for information. Wynn Macau must inform the government of Macau of any events which may affect the normal operation or economic stability of its operations.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Management</w:t>
      </w:r>
    </w:p>
    <w:p>
      <w:pPr>
        <w:sectPr>
          <w:pgSz w:w="11900" w:h="16838" w:orient="portrait"/>
          <w:cols w:equalWidth="0" w:num="1">
            <w:col w:w="11400"/>
          </w:cols>
          <w:pgMar w:left="240" w:top="131" w:right="259" w:bottom="19" w:gutter="0" w:footer="0" w:header="0"/>
        </w:sectPr>
      </w:pPr>
    </w:p>
    <w:bookmarkStart w:id="65" w:name="page66"/>
    <w:bookmarkEnd w:id="65"/>
    <w:p>
      <w:pPr>
        <w:ind w:right="40" w:firstLine="348"/>
        <w:spacing w:after="0" w:line="255" w:lineRule="auto"/>
        <w:rPr>
          <w:sz w:val="20"/>
          <w:szCs w:val="20"/>
          <w:color w:val="auto"/>
        </w:rPr>
      </w:pPr>
      <w:r>
        <w:rPr>
          <w:rFonts w:ascii="Arial" w:cs="Arial" w:eastAsia="Arial" w:hAnsi="Arial"/>
          <w:sz w:val="18"/>
          <w:szCs w:val="18"/>
          <w:color w:val="auto"/>
        </w:rPr>
        <w:t>Wynn Macau is required to have an executive director who is a Macau resident and holds at least 10% of the voting shares and capital in Wynn Macau. Mr. Wong Chi Seng will be the executive director of Wynn Macau. The appointment, scope of authority, term of office and any alteration to such appointment, scope of authority or term of office of the executive director of Wynn Macau are established by the Board of Directors of Wynn Macau and are subject to Macau government approval. Government approval must also be obtained if the Board of Directors of Wynn Macau desires to delegate governing authority to another person or body.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Transfer of Shares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concession agreement requires that Wynn Macau obtain government authorization before permitting the transfer or encumbrance of, or the grant of voting rights with respect to, the shares of Wynn Macau. Government approval must also be obtained before the transfer of the shares of the direct or indirect corporate stockholders of Wynn Macau representing 5% or more of the equity of Wynn Macau, unless the shares subject to transfer are publicly tradable on a stock exchange. We believe that transfer of the publicly traded shares of Wynn Resorts will not require government approval because they will be listed on The Nasdaq National Market; however, any shares which were privately issued would be subject to these transfer restrictions until such time as they become publicly tradable. Accordingly, we believe that the government of Macau would assert that it has the right to approve the transfer of shares of Wynn Resorts by Wynn Resorts' principal stockholders, Mr. Wynn and Aruze USA, Inc.</w:t>
      </w:r>
    </w:p>
    <w:p>
      <w:pPr>
        <w:spacing w:after="0" w:line="172"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concession agreement provides that if a controlling stockholder of Wynn Macau receives written instructions to dispose of its shares by a gaming authority outside of Macau, and if the government of Macau finds that the disposition is not attributable to the actions of Wynn Macau, then that controlling stockholder will be permitted to transfer the shares that it holds without seeking government approval. If the controlling stockholder desires to transfer its shares to a third party, the government of Macau must approve of the transferee.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Capital Restrictions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Any public listing of the shares of Wynn Macau or any company of which it is a controlling stockholder on a stock exchange or increase in the capital of Wynn Macau through public offering of common stock must be approved by the government of Macau. Wynn Macau also must seek government approval if it is to issue preferred stock or bonds. The concession agreement requires the shares of Wynn Macau and all of its direct and indirect corporate stockholders to be represented by shares in the name of their beneficial owners, unless the shares in question are publicly tradable on a stock exchange. We believe that the publicly held shares of Wynn Resorts will not be subject to these restrictions because they will be listed on The Nasdaq National Market.</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Suitability Requirements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Wynn Macau and its directors, key employees, managing companies and stockholders who own 5% or more of Wynn Macau's stock must be found suitable and are subject to the continuous monitoring and supervision of the government of Macau for the term of the concession agreement to ensure that they are suitable to conduct a gaming business in Macau. The objectives of the government's supervision will be to preserve the conduct of gaming in Macau in a fair and honest manner and to safeguard and protect the interests of Macau in receiving taxes from the operation of casinos in the jurisdiction. By the time that this offering closes, all stockholders holding 5% or more of the capital stock of Wynn Macau prior to the closing of Wynn Resorts initial public offering will have been found suitable or have submitted applications for a finding of suitability with the government of Macau.</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 by the Government Beginning in the Fifteenth Year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From June 27, 2017 until the end of the term of the concession agreement, the government of Macau will have the right to redeem Wynn Macau's gaming concession and take title to all of its assets in Macau, including any hotel-casino-resort, with one year's prior notice. If the government so redeems the concession agreement prior to its expiration, Wynn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Macau will be entitled to compensation for the resulting losses it incurs equal to the earnings from the redeemed hotel-casino-resort before interest, depreciation and amortization for the fiscal year immediately preceding the date the redemption is declared, multiplied by the number of years remaining on the term of the concession agreement. The compensation to be provided by the Macau government is for a resort-hotel-casino complex under the investment plan under the concession agreement. However, the concession agreement is unclear how the compensation provision applies if more than one resort-hotel-casino is built.</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Automatic Transfer of Assets to Government Without Compensation at End of Term</w:t>
      </w:r>
    </w:p>
    <w:p>
      <w:pPr>
        <w:spacing w:after="0" w:line="231" w:lineRule="exact"/>
        <w:rPr>
          <w:sz w:val="20"/>
          <w:szCs w:val="20"/>
          <w:color w:val="auto"/>
        </w:rPr>
      </w:pPr>
    </w:p>
    <w:p>
      <w:pPr>
        <w:ind w:right="40" w:firstLine="341"/>
        <w:spacing w:after="0" w:line="302" w:lineRule="auto"/>
        <w:rPr>
          <w:sz w:val="20"/>
          <w:szCs w:val="20"/>
          <w:color w:val="auto"/>
        </w:rPr>
      </w:pPr>
      <w:r>
        <w:rPr>
          <w:rFonts w:ascii="Arial" w:cs="Arial" w:eastAsia="Arial" w:hAnsi="Arial"/>
          <w:sz w:val="15"/>
          <w:szCs w:val="15"/>
          <w:color w:val="auto"/>
        </w:rPr>
        <w:t>At the end of the term of the concession agreement and any agreed upon extensions, the areas defined as casino under Macau law and all the gaming equipment owned by Wynn Macau, but not any hotel or resort assets (other than the areas defined as casino under Macau law), will be automatically transferred to the government of Macau without compensation to Wynn Macau. The concession agreement prohibits Wynn Macau from encumbering these assets or leasing the buildings in which its main casino(s) are located, without government approval. All of the assets used in Wynn Macau's casino(s) must be free from encumbrance by the end of the concession term and Wynn Macau must hold clear title to all buildings in which its main casino(s) are operated no later than</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180 days before the end of the term of the concession agreement, unless the concession agreement terminates at an earlier date, in which case Wynn Macau will be obligated to acquire title to these buildings at the earliest possible time. If Wynn Macau dissolves or liquidates, it must assure the government of Macau full payment for the property to which the government is entitled at the end of the concession agreement by means of a guarantee or indemnity acceptable to the government of Macau.</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Liability for Violation of the Concession Agreement</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 xml:space="preserve">The concession agreement provides that Wynn Macau is civilly liable to the government of Macau for violation of the concession agreement and damages caused by parties with whom it contracts for the construction and operation of its Macau casino(s), unless its non-performance of the agreement is the result of circumstances which constitute </w:t>
      </w:r>
      <w:r>
        <w:rPr>
          <w:rFonts w:ascii="Arial" w:cs="Arial" w:eastAsia="Arial" w:hAnsi="Arial"/>
          <w:sz w:val="18"/>
          <w:szCs w:val="18"/>
          <w:i w:val="1"/>
          <w:iCs w:val="1"/>
          <w:color w:val="auto"/>
        </w:rPr>
        <w:t>force majeure</w:t>
      </w:r>
      <w:r>
        <w:rPr>
          <w:rFonts w:ascii="Arial" w:cs="Arial" w:eastAsia="Arial" w:hAnsi="Arial"/>
          <w:sz w:val="18"/>
          <w:szCs w:val="18"/>
          <w:color w:val="auto"/>
        </w:rPr>
        <w:t>. Wynn Macau must apply any insurance proceeds it receives for damage to improvements on real property to restoration of the damaged property unless it has no economic interest in rebuilding the improvements, in which case it must remit the insurance proceeds to the government of Macau. The government of Macau can resort to the bank guarantee Wynn Macau has obtained for any damages caused by its violation of the concession agreement.</w:t>
      </w:r>
    </w:p>
    <w:p>
      <w:pPr>
        <w:sectPr>
          <w:pgSz w:w="11900" w:h="16838" w:orient="portrait"/>
          <w:cols w:equalWidth="0" w:num="1">
            <w:col w:w="11340"/>
          </w:cols>
          <w:pgMar w:left="240" w:top="131" w:right="319" w:bottom="0" w:gutter="0" w:footer="0" w:header="0"/>
        </w:sectPr>
      </w:pPr>
    </w:p>
    <w:bookmarkStart w:id="66" w:name="page67"/>
    <w:bookmarkEnd w:id="66"/>
    <w:p>
      <w:pPr>
        <w:ind w:left="540"/>
        <w:spacing w:after="0"/>
        <w:rPr>
          <w:sz w:val="20"/>
          <w:szCs w:val="20"/>
          <w:color w:val="auto"/>
        </w:rPr>
      </w:pPr>
      <w:r>
        <w:rPr>
          <w:rFonts w:ascii="Arial" w:cs="Arial" w:eastAsia="Arial" w:hAnsi="Arial"/>
          <w:sz w:val="18"/>
          <w:szCs w:val="18"/>
          <w:b w:val="1"/>
          <w:bCs w:val="1"/>
          <w:color w:val="auto"/>
        </w:rPr>
        <w:t>Prohibition on Cession, Transfer and Alienation of Casino</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concession agreement prohibits Wynn Macau from ceding, transferring, alienating or in any way burdening the concession in whole or in part without the approval of the government of Macau. If Wynn Macau assigns the whole concession agreement in contravention of its terms, Wynn Macau will be liable to the government of Macau for 1 billion patacas (currently approximately US $125 million), and if Wynn Macau assigns part of the concession agreement in contravention of its terms, Wynn Macau will be liable to the government of Macau for 500 million patacas (currently approximately US $62.5 million). If Wynn Macau encumbers the concession, in whole or in part, to conduct gaming activities in violation of the agreement, it will be liable to the government of Macau for 300 million patacas (currently approximately US $37.5 million).</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Sub-Concession</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concession agreement prohibits Wynn Macau from granting, without government approval, a sub-concession to conduct gaming in Macau. If Wynn Macau violates this provision by granting a sub-concession of the whole agreement without governmental approval, it will be liable to the government of Macau for 500 million patacas (currently approximately US $62.5 million), and if Wynn Macau grants a sub-concession of part of the agreement without governmental approval, it will be liable to the government of Macau for 300 million patacas (currently approximately US $37.5 million).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Temporary Administrative Intervention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concession agreement provides that, if Wynn Macau ceases operation of its gaming business without justification or government approval, or if the government finds that the operation of the Macau casino(s) is seriously deficient, the government may seize the gaming business for the duration of the cessation or deficiency, and appoint an operator to continue the business. During any such sequestration, Wynn Macau will bear the costs of maintenance and any costs necessary to restore the gaming business to normal operations. The government may draw on the guarantee, bond or contract Wynn Macau has obtained to guarantee its performance of the concession agreement to pay these costs. Once operations have returned to normal and it has demonstrated the ability to adequately operate the gaming business, Wynn Macau will regain the right to resume control of casino operations, but if Wynn Macau is unable or unwilling to resume normal operations, the government may unilaterally rescind the concession agreement at its option.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Unilateral Rescission for Non-Fulfillment</w:t>
      </w:r>
    </w:p>
    <w:p>
      <w:pPr>
        <w:spacing w:after="0" w:line="231" w:lineRule="exact"/>
        <w:rPr>
          <w:sz w:val="20"/>
          <w:szCs w:val="20"/>
          <w:color w:val="auto"/>
        </w:rPr>
      </w:pPr>
    </w:p>
    <w:p>
      <w:pPr>
        <w:ind w:right="700" w:firstLine="348"/>
        <w:spacing w:after="0" w:line="332" w:lineRule="auto"/>
        <w:rPr>
          <w:sz w:val="20"/>
          <w:szCs w:val="20"/>
          <w:color w:val="auto"/>
        </w:rPr>
      </w:pPr>
      <w:r>
        <w:rPr>
          <w:rFonts w:ascii="Arial" w:cs="Arial" w:eastAsia="Arial" w:hAnsi="Arial"/>
          <w:sz w:val="16"/>
          <w:szCs w:val="16"/>
          <w:color w:val="auto"/>
        </w:rPr>
        <w:t>The government of Macau may unilaterally rescind the concession if Wynn Macau fails to fulfill its fundamental obligations under the concession agreement. The concession agreement expressly provides that the government of Macau may unilaterally rescind the concession agreement if:</w:t>
      </w:r>
    </w:p>
    <w:p>
      <w:pPr>
        <w:spacing w:after="0" w:line="153"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Wynn Macau conducts non-authorized games or activities excluded from its corporate purpose;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Wynn Macau suspends gaming operations in Macau for more than seven consecutive days without justification;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Wynn Macau defaults in payment of taxes, premiums, contributions or other required amounts;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Wynn Macau does not comply with government inspections or supervision;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Wynn Macau systematically fails to observe its obligations under the concession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Wynn Macau fails to maintain bank guarantees or bonds satisfactory to the government;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bankruptcy or insolvency of Wynn Macau occurs;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Wynn Macau engages in serious fraudulent activity, damaging to the public interest;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Wynn Macau repeatedly violates applicable gaming laws.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If the government of Macau unilaterally rescinds the concession agreement, Wynn Macau will be required to compensate the government in accordance with applicable law, and its main casino(s) and gaming equipment will be transferred to the government without compensation.</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Land Concession</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connection with preparing for the possible development of a first casino in Macau, the government of Macau has provisionally awarded Wynn Macau a concession to lease a parcel of land in Macau. For more information on this land concession, see "Business—The Macau Opportunity—General."</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REGULATION AND LICENSING</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and Wynn Macau's casino(s) in Macau will be subject to extensive state and local regulation and licensing and gaming authorities have significant control over their operations, which could have a negative effect on our business." If we ever are prohibited from operating one of our gaming facilities, we would, to the extent permitted by law, seek to recover our investment by selling the property affected, but we cannot assure you that we would recover its full value.</w:t>
      </w:r>
    </w:p>
    <w:p>
      <w:pPr>
        <w:sectPr>
          <w:pgSz w:w="11900" w:h="16838" w:orient="portrait"/>
          <w:cols w:equalWidth="0" w:num="1">
            <w:col w:w="11320"/>
          </w:cols>
          <w:pgMar w:left="240" w:top="125" w:right="339" w:bottom="137" w:gutter="0" w:footer="0" w:header="0"/>
        </w:sectPr>
      </w:pPr>
    </w:p>
    <w:bookmarkStart w:id="67" w:name="page68"/>
    <w:bookmarkEnd w:id="67"/>
    <w:p>
      <w:pPr>
        <w:ind w:right="140" w:firstLine="348"/>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Rêve's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Policy Concerns of Gaming Laws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These public policy concerns include, among other things:</w:t>
      </w:r>
    </w:p>
    <w:p>
      <w:pPr>
        <w:spacing w:after="0" w:line="19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4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preventing of cheating and fraudulent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 and Operator Licensing Requirements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Before Le Rêve opens, Wynn Las Vegas, as the owner, operator and manager of Le Rêve, will be required to seek approval from, and be licensed by, the Nevada Gaming Authorities as a limited liability company licensee, referred to as a company licensee. If we are granted a gaming license, we will have to pay periodic fees and taxes. The gaming license will not be transferable. We cannot assure you that Wynn Las Vegas will be able to obtain approval and license from the Nevada Gaming Authorities on a timely basis or at all.</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Registration Requirements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Golf Course and to be registered by the Nevada Gaming Commission as an intermediary company. Wynn Golf Course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approvals from the Nevada Gaming Authorities will be obtained on a timely basis or at all.</w:t>
      </w:r>
    </w:p>
    <w:p>
      <w:pPr>
        <w:spacing w:after="0" w:line="17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Individual Licensing Requirements</w:t>
      </w:r>
    </w:p>
    <w:p>
      <w:pPr>
        <w:spacing w:after="0" w:line="231"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ectPr>
          <w:pgSz w:w="11900" w:h="16838" w:orient="portrait"/>
          <w:cols w:equalWidth="0" w:num="1">
            <w:col w:w="11400"/>
          </w:cols>
          <w:pgMar w:left="240" w:top="131" w:right="259" w:bottom="0" w:gutter="0" w:footer="0" w:header="0"/>
        </w:sectPr>
      </w:pPr>
    </w:p>
    <w:bookmarkStart w:id="68" w:name="page69"/>
    <w:bookmarkEnd w:id="68"/>
    <w:p>
      <w:pPr>
        <w:spacing w:after="0" w:line="98"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of Securities Owned By an Unsuitable Person</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Wynn Resorts' articles of incorporation will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Wynn Resorts elects.</w:t>
      </w:r>
    </w:p>
    <w:p>
      <w:pPr>
        <w:spacing w:after="0" w:line="174"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Aruze USA, which, immediately before the closing of this offering, will own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pursuit of this proposed transfer of Universal Distributing was deferred pending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resolution of the Japanese tax case.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94"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Aruze Corp. has informed us that there are a number of outstanding issues in the investigation of the proposed transfer of Universal Distributing including issues relating to the transactions involved in the above-described tax proceeding. These issues, if not satisfactorily resolved, could result in the denial of the application. No formal action of any kind has been taken by the Nevada State Gaming Control Board or the Nevada Gaming Commission in connection with these issues. If either of these bodies was to act adversely with respect to the pending proceeding involving Universal Distributing, that decision could adversely affect an application filed by Aruze USA, Aruze Corp., Kazuo Okada or Tomohiro Okada in respect of Wynn Resorts.</w:t>
      </w:r>
    </w:p>
    <w:p>
      <w:pPr>
        <w:spacing w:after="0" w:line="170"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addition to Wynn Resorts' redemption rights under its articles of incorporation, Mr. Wynn, Kazuo Okada, Aruze USA, Aruze Corp. and Wynn Resorts have entered into arrangements which provide that if 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"Certain Relationships and Related Party Transactions—Buy-Out of Arzue USA Stock."</w:t>
      </w:r>
    </w:p>
    <w:p>
      <w:pPr>
        <w:spacing w:after="0" w:line="199"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As described above, if Wynn Resorts, pursuant to its articles of incorporation, or Mr. Wynn, pursuant to the buy-out agreement described above, purchases the shares of Wynn Resorts' stock held by an unsuitable person or its affiliate, including Aruze USA, Wynn Resorts and/or Mr. Wynn may, in lieu of immediate payment of the purchase price, issue a promissory note. However, if the Nevada Gaming Commission were to find the unsuitable person or its affiliate unsuitable to own the voting securities of Wynn Resorts, it could also determine that the person is unsuitable to hold a promissory note for the purchase of such voting securities by Wynn Resorts or Mr. Wynn, and could determine not to approve the issuance of the promissory note to the unsuitable person or its affiliate. In such event, the Nevada Gaming Commission could order the unsuitable person or its affiliate to dispose of its voting securities within a prescribed period of time that may or may not be a sufficient period of time to dispose of the securities in an orderly manner. Depending upon the period of time for disposition required by the Nevada Gaming Commission, this could have a negative effect on the price of the stock of Wynn Resorts. In the event that the unsuitable person or its affiliate is unable or fails to dispose of its voting securities within the prescribed period of time, or if Wynn Resorts fails to pursue all lawful efforts to require the unsuitable person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Violating Gaming Laws</w:t>
      </w:r>
    </w:p>
    <w:p>
      <w:pPr>
        <w:spacing w:after="0" w:line="231"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If the Nevada Gaming Commission decides that we violated the Nevada Gaming Control Act or 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w:t>
      </w:r>
    </w:p>
    <w:p>
      <w:pPr>
        <w:sectPr>
          <w:pgSz w:w="11900" w:h="16936" w:orient="portrait"/>
          <w:cols w:equalWidth="0" w:num="1">
            <w:col w:w="11380"/>
          </w:cols>
          <w:pgMar w:left="240" w:top="131" w:right="279" w:bottom="0" w:gutter="0" w:footer="0" w:header="0"/>
        </w:sectPr>
      </w:pPr>
    </w:p>
    <w:bookmarkStart w:id="69" w:name="page70"/>
    <w:bookmarkEnd w:id="69"/>
    <w:p>
      <w:pPr>
        <w:ind w:right="180"/>
        <w:spacing w:after="0" w:line="335" w:lineRule="auto"/>
        <w:rPr>
          <w:sz w:val="20"/>
          <w:szCs w:val="20"/>
          <w:color w:val="auto"/>
        </w:rPr>
      </w:pPr>
      <w:r>
        <w:rPr>
          <w:rFonts w:ascii="Arial" w:cs="Arial" w:eastAsia="Arial" w:hAnsi="Arial"/>
          <w:sz w:val="15"/>
          <w:szCs w:val="15"/>
          <w:color w:val="auto"/>
        </w:rPr>
        <w:t>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Requirements for Beneficial Securities Holders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 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98"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registered company's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195"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articles of incorporation of Wynn Resorts will include provisions intended to help it implement the above restrictions. See "Description of Capital Stock —Prohibitions on the Receipt of Dividends, the Exercise of Voting or Other Rights or the Receipt of Other Remuneration."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Being Found Unsuitable</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we:</w:t>
      </w:r>
    </w:p>
    <w:p>
      <w:pPr>
        <w:spacing w:after="0" w:line="215"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Clark County Liquor and Gaming License Board</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the Clark County Liquor and Gaming License Board has the authority to approve all persons owning or controlling the stock of any corporation controlling a gaming license.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Laws Relating to Securities Ownership</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97" w:lineRule="exact"/>
        <w:rPr>
          <w:sz w:val="20"/>
          <w:szCs w:val="20"/>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225" w:lineRule="exact"/>
        <w:rPr>
          <w:rFonts w:ascii="Arial" w:cs="Arial" w:eastAsia="Arial" w:hAnsi="Arial"/>
          <w:sz w:val="18"/>
          <w:szCs w:val="18"/>
          <w:color w:val="auto"/>
        </w:rPr>
      </w:pPr>
    </w:p>
    <w:p>
      <w:pPr>
        <w:spacing w:after="0"/>
        <w:tabs>
          <w:tab w:leader="none" w:pos="0" w:val="left"/>
        </w:tabs>
        <w:numPr>
          <w:ilvl w:val="0"/>
          <w:numId w:val="91"/>
        </w:numPr>
        <w:rPr>
          <w:rFonts w:ascii="Arial" w:cs="Arial" w:eastAsia="Arial" w:hAnsi="Arial"/>
          <w:sz w:val="18"/>
          <w:szCs w:val="18"/>
          <w:color w:val="auto"/>
        </w:rPr>
      </w:pPr>
    </w:p>
    <w:p>
      <w:pPr>
        <w:sectPr>
          <w:pgSz w:w="11900" w:h="16838" w:orient="portrait"/>
          <w:cols w:equalWidth="0" w:num="1">
            <w:col w:w="11420"/>
          </w:cols>
          <w:pgMar w:left="240" w:top="131" w:right="239" w:bottom="0" w:gutter="0" w:footer="0" w:header="0"/>
        </w:sectPr>
      </w:pPr>
    </w:p>
    <w:bookmarkStart w:id="70" w:name="page71"/>
    <w:bookmarkEnd w:id="70"/>
    <w:p>
      <w:pPr>
        <w:spacing w:after="0" w:line="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pays the unsuitable person remuneration in any form; or</w:t>
      </w:r>
    </w:p>
    <w:p>
      <w:pPr>
        <w:spacing w:after="0" w:line="23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4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us.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Public Offerings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Once Wynn Resorts becomes a registered company, it may not make a public offering of Wynn Resorts' securities without the prior approval of the Nevada Gaming Commission if it intends to use the securities or the proceeds from the offering to construct, acquire or finance gaming facilities in Nevada, or to retire or extend obligations incurred for those purposes or for similar transactions. Any approval that we might receive in the future relating to this or future offerings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70"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common stock pursuant to this prospectus will qualify as a public offering. We have filed a ruling request with the Nevada State Gaming Control Board Chairman for a ruling that it is not necessary to submit this offering of common stock or the offering of second mortgage notes by Wynn Las Vegas for prior approval. We cannot assure you that the ruling request will be granted or that it will be considered on a timely basis. If the ruling request is not granted, we will promptly file an application requesting approval of this offering. If the ruling request is not granted, this offering could be significantly delayed while we seek approval of the Nevada State Gaming Control Board and Nevada Gaming Commission. We cannot assure you that approval of this offering or the offering of the second mortgage notes, if required, will be granted or if granted, will be granted on a timely basis.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Changes in Control</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Once Wynn Resorts becomes a registered company, it must obtain prior approval of the Nevada Gaming Commission with respect to a change in control through:</w:t>
      </w:r>
    </w:p>
    <w:p>
      <w:pPr>
        <w:spacing w:after="0" w:line="213"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act or conduct by a person by which the person obtains control of us.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Defensive Tactics</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11"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Once we become a registered company, approvals may be required from the Nevada Gaming Commission before we can make exceptional repurchases of voting securities above their current market price and before a corporate acquisition opposed by management can be consummated. The Nevada Gaming Control</w:t>
      </w:r>
    </w:p>
    <w:p>
      <w:pPr>
        <w:sectPr>
          <w:pgSz w:w="11900" w:h="16881" w:orient="portrait"/>
          <w:cols w:equalWidth="0" w:num="1">
            <w:col w:w="11420"/>
          </w:cols>
          <w:pgMar w:left="240" w:top="131" w:right="239" w:bottom="0" w:gutter="0" w:footer="0" w:header="0"/>
        </w:sectPr>
      </w:pPr>
    </w:p>
    <w:bookmarkStart w:id="71" w:name="page72"/>
    <w:bookmarkEnd w:id="71"/>
    <w:p>
      <w:pPr>
        <w:spacing w:after="0" w:line="8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Act also requires prior approval of a plan of recapitalization proposed by a registered company's board of directors in response to a tender offer made directly to its stockholders for the purpose of acquiring control.</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Fees and Taxes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208"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25" w:lineRule="exact"/>
        <w:rPr>
          <w:sz w:val="20"/>
          <w:szCs w:val="20"/>
          <w:color w:val="auto"/>
        </w:rPr>
      </w:pPr>
    </w:p>
    <w:p>
      <w:pPr>
        <w:ind w:right="900" w:firstLine="341"/>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Gaming Investigations</w:t>
      </w:r>
    </w:p>
    <w:p>
      <w:pPr>
        <w:spacing w:after="0" w:line="231"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 and thereafter maintain, a revolving fund in the amount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211"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right="40" w:hanging="532"/>
        <w:spacing w:after="0" w:line="370" w:lineRule="auto"/>
        <w:tabs>
          <w:tab w:leader="none" w:pos="1080" w:val="left"/>
        </w:tabs>
        <w:numPr>
          <w:ilvl w:val="0"/>
          <w:numId w:val="97"/>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License for Sale of Alcoholic Beverages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sale of alcoholic beverages at Le Rêve will be subject to licensing, control and regulation by the Clark County Liquor and Gaming Licensing Board.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Macau, a majority-owned indirect subsidiary of Wynn Resorts, has entered into a concession agreement with the government of Macau permitting it to construct and operate one or more casinos in Macau. As a concessionaire, Wynn Macau is subject to the regulatory control of the Macau government.</w:t>
      </w:r>
    </w:p>
    <w:p>
      <w:pPr>
        <w:spacing w:after="0" w:line="139"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Macau government has adopted a Law and Administrative Regulations governing the operation of casinos in Macau. Only concessionaires are permitted to operate casinos. To compete for concessions, candidates must tender proposals pursuant to procedures prescribing the content and timing of submissions and the evaluation criteria involved in the selection process. Applicants are evaluated according to suitability criteria including their financial capacity, business experience and reputation, and the reputation of their affiliates and associates. Applicants are required to pay the costs of investigation and to make a deposit against such costs as part of the submission of proposals. The selection process includes consultation and negotiation between the applicants and the Macau government, which selects the applicants that are awarded concessions. Under the current Law, a maximum of three such concessions can be awarded. Each concessionaire is required to enter into a concession agreement with the Macau government which, together with the Law and Administrative Regulations, forms the framework for the regulation of the activities of the concessionaire.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in terms of background, associations and reputation, as are stockholders of 5% or more of a concessionaire's equity securities, officers, directors and key employees. The same requirements apply to any entity engaged by a concessionaire to manage casino operations. Concessionaires also are required to satisfy minimum capitalization requirements, to demonstrate and maintain adequate financial capacity to operate the concession, and to submit to continuous monitoring of its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ectPr>
          <w:pgSz w:w="11900" w:h="16919" w:orient="portrait"/>
          <w:cols w:equalWidth="0" w:num="1">
            <w:col w:w="11420"/>
          </w:cols>
          <w:pgMar w:left="240" w:top="131" w:right="239" w:bottom="0" w:gutter="0" w:footer="0" w:header="0"/>
        </w:sectPr>
      </w:pPr>
    </w:p>
    <w:bookmarkStart w:id="72" w:name="page73"/>
    <w:bookmarkEnd w:id="72"/>
    <w:p>
      <w:pPr>
        <w:ind w:firstLine="351"/>
        <w:spacing w:after="0" w:line="256" w:lineRule="auto"/>
        <w:rPr>
          <w:sz w:val="20"/>
          <w:szCs w:val="20"/>
          <w:color w:val="auto"/>
        </w:rPr>
      </w:pPr>
      <w:r>
        <w:rPr>
          <w:rFonts w:ascii="Arial" w:cs="Arial" w:eastAsia="Arial" w:hAnsi="Arial"/>
          <w:sz w:val="18"/>
          <w:szCs w:val="18"/>
          <w:color w:val="auto"/>
        </w:rPr>
        <w:t>Each concessionaire is required to engage an executive director with oversight authority for casino operations, who must be a permanent resident of Macau and the holder of at least 10% of the capital stock of the concessionaire. The appointment of the Executive Director and of any successor is ineffective without the approval of the Macau government. All contracts for the management of a concessionaire's casino operation also are ineffective without the approval of the Macau government.</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Concessionaires are subject to a special gaming tax of 35% of gross gaming revenue, and must also make an annual contribution of up to 4% of gross gaming revenue for the promotion of public interests. Concessionaires also are obligated to withhold, subject to partial exemption, a 5% tax from commissions paid to junket representatives. A junket representative is defined as a person who, for the purpose of promoting casino gaming activity, arranges customer transportation, accommodations, food and beverage services and entertainment in exchange for commissions or other compensation from a concessionaire.</w:t>
      </w:r>
    </w:p>
    <w:p>
      <w:pPr>
        <w:spacing w:after="0" w:line="16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Junket representatives must be licensed by the Macau government in order to do business with and receive compensation from concessionaires. For a license to issue, direct and indirect stockholders of 5% or more of a junket representative's equity securities (where applicable), its directors and its key employees must be found suitable. Applicants are required to pay the cost of license investigations, and are required to maintain suitability standards during the period of licensure. The term of a junket representative license term is one year, and licenses can be renewed for equal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9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Licensed junket representatives must identify outside contractors who assist them in junket activity to the Macau government. Such contractors are subject to disapproval by the Macau government. Changes in the management structure of business entity licensees must be reported to the Macau government and transfers or the encumbering of interests in such licensees are void without prior government approval. To conduct junket activity, junket representative licensees must be registered with one or more concessionaires and must have written contracts with such concessionaires, copies of which must be submitted to the Macau government.</w:t>
      </w:r>
    </w:p>
    <w:p>
      <w:pPr>
        <w:spacing w:after="0" w:line="197"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Concessionaires are jointly responsible with their junket representatives for the activities of such representatives and their employees and contractors in the concessionaires' casinos, and for their compliance with applicable laws and regulations. Concessionaires must submit annual lists of their junket representatives for the following year, and to update such lists on a quarterly basis. The Macau government may designate a maximum number of and specify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junket representatives a concessionaire is permitted to engage. Concessionaires are subject to periodic reporting requirements with respect to commissions paid to their junket representatives, and are required to oversee their activities and report instances of non-compliance or unlawful activity.</w:t>
      </w:r>
    </w:p>
    <w:p>
      <w:pPr>
        <w:spacing w:after="0" w:line="139" w:lineRule="exact"/>
        <w:rPr>
          <w:sz w:val="20"/>
          <w:szCs w:val="20"/>
          <w:color w:val="auto"/>
        </w:rPr>
      </w:pPr>
    </w:p>
    <w:p>
      <w:pPr>
        <w:ind w:right="40" w:firstLine="348"/>
        <w:spacing w:after="0" w:line="312" w:lineRule="auto"/>
        <w:rPr>
          <w:sz w:val="20"/>
          <w:szCs w:val="20"/>
          <w:color w:val="auto"/>
        </w:rPr>
      </w:pPr>
      <w:r>
        <w:rPr>
          <w:rFonts w:ascii="Arial" w:cs="Arial" w:eastAsia="Arial" w:hAnsi="Arial"/>
          <w:sz w:val="15"/>
          <w:szCs w:val="15"/>
          <w:color w:val="auto"/>
        </w:rPr>
        <w:t>The government of Macau may assume temporary custody and control over the operation of a concession in certain circumstances. During any such period, the costs of operations must be borne by the concessionaire. The government of Macau also may cancel a concession by means of redemption beginning the fifteenth year after the concession was granted. In such cases, the concessionaire is entitled to compensation. Under the concession agreement, the compensation to be provided by the Macau government is for a resort-hotel-casino complex under the investment plan. However, the concession agreement is unclear as to how the compensation provision will apply if there is more than one resort-hotel-casino that is built. The government of Macau also may terminate a concession for cause, including failure of the concessionaire to fulfill its obligations under law or the concession contract, abandonment or suspension of operations or failure to pay taxes and other monetary obligations to the government of Macau, in which case no compensation is due to the concessionaire.</w:t>
      </w:r>
    </w:p>
    <w:p>
      <w:pPr>
        <w:spacing w:after="0" w:line="15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government of Macau is currently considering various proposed changes to its laws and regulations relating to casino gaming. Such changes could affect the viability and profitability of contemplated casino operations in Macau. In addition, the laws and regulations summarized above have not yet been applied by the government of Macau to an operating concessionaire. Therefore, the effectiveness, reasonableness and fairness of the regulatory system cannot be assessed at this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consummation of this offering, Wynn Resorts' directors and executive officers and their ages and positions will be as follows: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08"/>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Chairman of the Board of Directors and Chief Executive</w:t>
            </w:r>
          </w:p>
        </w:tc>
      </w:tr>
      <w:tr>
        <w:trPr>
          <w:trHeight w:val="224"/>
        </w:trPr>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Kazuo Okada</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59</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 and President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J. Miller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Elaine P.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Marc D. Schorr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Strzemp</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Marc H. Rubinstein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41</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Matt Maddox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26</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President—Investor Relations and Treasurer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Kenneth R.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President, Wynn Design &amp; Development</w:t>
            </w:r>
          </w:p>
        </w:tc>
      </w:tr>
      <w:tr>
        <w:trPr>
          <w:trHeight w:val="208"/>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DeRuyter O. Butler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46</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8"/>
              </w:rPr>
              <w:t>Executive Vice President—Architecture, Wynn Design &amp;</w:t>
            </w:r>
          </w:p>
        </w:tc>
      </w:tr>
      <w:tr>
        <w:trPr>
          <w:trHeight w:val="224"/>
        </w:trPr>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-2139315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-2139315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-2139315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-2139315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-2139315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-2139315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73" w:name="page74"/>
    <w:bookmarkEnd w:id="73"/>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Stephen A. Wynn </w:t>
      </w:r>
      <w:r>
        <w:rPr>
          <w:rFonts w:ascii="Arial" w:cs="Arial" w:eastAsia="Arial" w:hAnsi="Arial"/>
          <w:sz w:val="18"/>
          <w:szCs w:val="18"/>
          <w:color w:val="auto"/>
        </w:rPr>
        <w:t>has served as Chairman of our board of directors and Chief Executive Officer since June 2002. Since April 2000, Mr. Wynn has been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member of Valvino, our wholly owned subsidiary.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97"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i w:val="1"/>
          <w:iCs w:val="1"/>
          <w:color w:val="auto"/>
        </w:rPr>
        <w:t xml:space="preserve">Kazuo Okada </w:t>
      </w:r>
      <w:r>
        <w:rPr>
          <w:rFonts w:ascii="Arial" w:cs="Arial" w:eastAsia="Arial" w:hAnsi="Arial"/>
          <w:sz w:val="16"/>
          <w:szCs w:val="16"/>
          <w:color w:val="auto"/>
        </w:rPr>
        <w:t>has agreed to serve as Vice Chairman of our board of directors. Mr. Okada founded Aruze Corp., a Japanese manufacturer of pachislot and</w:t>
      </w:r>
      <w:r>
        <w:rPr>
          <w:rFonts w:ascii="Arial" w:cs="Arial" w:eastAsia="Arial" w:hAnsi="Arial"/>
          <w:sz w:val="16"/>
          <w:szCs w:val="16"/>
          <w:i w:val="1"/>
          <w:iCs w:val="1"/>
          <w:color w:val="auto"/>
        </w:rPr>
        <w:t xml:space="preserve"> </w:t>
      </w:r>
      <w:r>
        <w:rPr>
          <w:rFonts w:ascii="Arial" w:cs="Arial" w:eastAsia="Arial" w:hAnsi="Arial"/>
          <w:sz w:val="16"/>
          <w:szCs w:val="16"/>
          <w:color w:val="auto"/>
        </w:rPr>
        <w:t>pachinko 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pacing w:after="0" w:line="16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Ronald J. Kramer </w:t>
      </w:r>
      <w:r>
        <w:rPr>
          <w:rFonts w:ascii="Arial" w:cs="Arial" w:eastAsia="Arial" w:hAnsi="Arial"/>
          <w:sz w:val="18"/>
          <w:szCs w:val="18"/>
          <w:color w:val="auto"/>
        </w:rPr>
        <w:t>has agreed to serve as President and as a director. Mr. Kramer has served as President of Wynn Golf Course, a wholly owned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Wynn Resorts, since April 2002. From July 1999 to October 2001, Mr. Kramer was a managing director at Dresdner Kleinwort Wasserstein, an investment banking firm, and at its predecessor Wasserstein Perella &amp; Co. Mr. Kramer served as Chairman and Chief Executive Officer of Ladenburg Thalmann Group Inc. from May 1995 to July 1999. Mr. Kramer is also a member of the board of directors of TMP Worldwide, Inc., Griffon Corporation, Lakes Entertainment, Inc. and New Valley Corporation.</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Robert J. Miller </w:t>
      </w:r>
      <w:r>
        <w:rPr>
          <w:rFonts w:ascii="Arial" w:cs="Arial" w:eastAsia="Arial" w:hAnsi="Arial"/>
          <w:sz w:val="18"/>
          <w:szCs w:val="18"/>
          <w:color w:val="auto"/>
        </w:rPr>
        <w:t>has agreed to serve as a director. Robert J. Miller has been a partner of the Nevada law firm of Jones Vargas since January 1999. He is also</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to KNP, a government relations company, which is a subsidiary of the Dutko Group based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John A. Moran </w:t>
      </w:r>
      <w:r>
        <w:rPr>
          <w:rFonts w:ascii="Arial" w:cs="Arial" w:eastAsia="Arial" w:hAnsi="Arial"/>
          <w:sz w:val="16"/>
          <w:szCs w:val="16"/>
          <w:color w:val="auto"/>
        </w:rPr>
        <w:t>has agreed to serve as a director. Mr. Moran is the retired Chairman of Dyson-Kissner-Moran Corporation, a private investment entity.</w:t>
      </w:r>
    </w:p>
    <w:p>
      <w:pPr>
        <w:spacing w:after="0" w:line="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98"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i w:val="1"/>
          <w:iCs w:val="1"/>
          <w:color w:val="auto"/>
        </w:rPr>
        <w:t xml:space="preserve">Elaine P. Wynn </w:t>
      </w:r>
      <w:r>
        <w:rPr>
          <w:rFonts w:ascii="Arial" w:cs="Arial" w:eastAsia="Arial" w:hAnsi="Arial"/>
          <w:sz w:val="16"/>
          <w:szCs w:val="16"/>
          <w:color w:val="auto"/>
        </w:rPr>
        <w:t>has agreed to serve as a director. Mrs. Wynn has served as Co-Chairperson of the Greater Las Vegas Inner-City Games Foundation since</w:t>
      </w:r>
      <w:r>
        <w:rPr>
          <w:rFonts w:ascii="Arial" w:cs="Arial" w:eastAsia="Arial" w:hAnsi="Arial"/>
          <w:sz w:val="16"/>
          <w:szCs w:val="16"/>
          <w:i w:val="1"/>
          <w:iCs w:val="1"/>
          <w:color w:val="auto"/>
        </w:rPr>
        <w:t xml:space="preserve"> </w:t>
      </w:r>
      <w:r>
        <w:rPr>
          <w:rFonts w:ascii="Arial" w:cs="Arial" w:eastAsia="Arial" w:hAnsi="Arial"/>
          <w:sz w:val="16"/>
          <w:szCs w:val="16"/>
          <w:color w:val="auto"/>
        </w:rPr>
        <w:t>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pacing w:after="0" w:line="167"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i w:val="1"/>
          <w:iCs w:val="1"/>
          <w:color w:val="auto"/>
        </w:rPr>
        <w:t xml:space="preserve">Stanley R. Zax </w:t>
      </w:r>
      <w:r>
        <w:rPr>
          <w:rFonts w:ascii="Arial" w:cs="Arial" w:eastAsia="Arial" w:hAnsi="Arial"/>
          <w:sz w:val="15"/>
          <w:szCs w:val="15"/>
          <w:color w:val="auto"/>
        </w:rPr>
        <w:t>has agreed to serve as a director. Since 1977 Mr. Zax has served as Chairman of the Board, and, since 1978, has served as President, CEO and</w:t>
      </w:r>
      <w:r>
        <w:rPr>
          <w:rFonts w:ascii="Arial" w:cs="Arial" w:eastAsia="Arial" w:hAnsi="Arial"/>
          <w:sz w:val="15"/>
          <w:szCs w:val="15"/>
          <w:i w:val="1"/>
          <w:iCs w:val="1"/>
          <w:color w:val="auto"/>
        </w:rPr>
        <w:t xml:space="preserve"> </w:t>
      </w:r>
      <w:r>
        <w:rPr>
          <w:rFonts w:ascii="Arial" w:cs="Arial" w:eastAsia="Arial" w:hAnsi="Arial"/>
          <w:sz w:val="15"/>
          <w:szCs w:val="15"/>
          <w:color w:val="auto"/>
        </w:rPr>
        <w:t>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pacing w:after="0" w:line="142" w:lineRule="exact"/>
        <w:rPr>
          <w:sz w:val="20"/>
          <w:szCs w:val="20"/>
          <w:color w:val="auto"/>
        </w:rPr>
      </w:pPr>
    </w:p>
    <w:p>
      <w:pPr>
        <w:jc w:val="both"/>
        <w:ind w:right="600" w:firstLine="351"/>
        <w:spacing w:after="0" w:line="306" w:lineRule="auto"/>
        <w:rPr>
          <w:sz w:val="20"/>
          <w:szCs w:val="20"/>
          <w:color w:val="auto"/>
        </w:rPr>
      </w:pPr>
      <w:r>
        <w:rPr>
          <w:rFonts w:ascii="Arial" w:cs="Arial" w:eastAsia="Arial" w:hAnsi="Arial"/>
          <w:sz w:val="16"/>
          <w:szCs w:val="16"/>
          <w:i w:val="1"/>
          <w:iCs w:val="1"/>
          <w:color w:val="auto"/>
        </w:rPr>
        <w:t xml:space="preserve">Marc D. Schorr </w:t>
      </w:r>
      <w:r>
        <w:rPr>
          <w:rFonts w:ascii="Arial" w:cs="Arial" w:eastAsia="Arial" w:hAnsi="Arial"/>
          <w:sz w:val="16"/>
          <w:szCs w:val="16"/>
          <w:color w:val="auto"/>
        </w:rPr>
        <w:t>serves as Chief Operating Officer. Since April 2001, Mr. Schorr has served as Chief Operating Officer of Wynn Golf Course. From</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2000 through April 2001, Mr. Schorr has served as Chief Operating Officer of Valvino. From January 1997 through May 2000, Mr. Schorr served as President of The Mirage Casino-Hotel, a gaming company and then a wholly owned subsidiary of Mirage Resorts.</w:t>
      </w:r>
    </w:p>
    <w:p>
      <w:pPr>
        <w:spacing w:after="0" w:line="16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John Strzemp </w:t>
      </w:r>
      <w:r>
        <w:rPr>
          <w:rFonts w:ascii="Arial" w:cs="Arial" w:eastAsia="Arial" w:hAnsi="Arial"/>
          <w:sz w:val="18"/>
          <w:szCs w:val="18"/>
          <w:color w:val="auto"/>
        </w:rPr>
        <w:t>serves as Executive Vice President and Chief Financial Officer. Since November 2001, Mr. Strzemp has served as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Financial Officer of Wynn Golf Course. Mr. Strzemp was Executive Vice President, Chief Financial Officer of Bellagio, LLC, a gaming company and then a wholly owned subsidiary of Mirage Resorts, from April 1998 to October 2000 and President of Treasure Island Corp., a gaming company and then a wholly owned subsidiary of Mirage Resorts, from January 1997 to April 1998.</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 xml:space="preserve">Marc H. Rubinstein </w:t>
      </w:r>
      <w:r>
        <w:rPr>
          <w:rFonts w:ascii="Arial" w:cs="Arial" w:eastAsia="Arial" w:hAnsi="Arial"/>
          <w:sz w:val="18"/>
          <w:szCs w:val="18"/>
          <w:color w:val="auto"/>
        </w:rPr>
        <w:t>serves as Senior Vice President and General Counsel. Since April 2001, Mr. Rubinstein has served as Senior Vice President—General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of Wynn Golf Course. Since June 2000, Mr. Rubinstein has also served as Senior Vice President—General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 Senior Vice President and General Counsel at the Sheraton Desert Inn Corporation, a gaming company and then a wholly owned subsidiary of ITT Sheraton Corp. and Starwood Hotels &amp; Resorts Worldwide, Inc.</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i w:val="1"/>
          <w:iCs w:val="1"/>
          <w:color w:val="auto"/>
        </w:rPr>
        <w:t xml:space="preserve">Matt Maddox </w:t>
      </w:r>
      <w:r>
        <w:rPr>
          <w:rFonts w:ascii="Arial" w:cs="Arial" w:eastAsia="Arial" w:hAnsi="Arial"/>
          <w:sz w:val="15"/>
          <w:szCs w:val="15"/>
          <w:color w:val="auto"/>
        </w:rPr>
        <w:t>serves as Vice President—Investor Relations and Treasurer. Mr. Maddox has served as Vice President—Investor Relations and Treasurer of</w:t>
      </w:r>
      <w:r>
        <w:rPr>
          <w:rFonts w:ascii="Arial" w:cs="Arial" w:eastAsia="Arial" w:hAnsi="Arial"/>
          <w:sz w:val="15"/>
          <w:szCs w:val="15"/>
          <w:i w:val="1"/>
          <w:iCs w:val="1"/>
          <w:color w:val="auto"/>
        </w:rPr>
        <w:t xml:space="preserve"> </w:t>
      </w:r>
      <w:r>
        <w:rPr>
          <w:rFonts w:ascii="Arial" w:cs="Arial" w:eastAsia="Arial" w:hAnsi="Arial"/>
          <w:sz w:val="15"/>
          <w:szCs w:val="15"/>
          <w:color w:val="auto"/>
        </w:rPr>
        <w:t>Wynn Golf Course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4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Kenneth R. Wynn </w:t>
      </w:r>
      <w:r>
        <w:rPr>
          <w:rFonts w:ascii="Arial" w:cs="Arial" w:eastAsia="Arial" w:hAnsi="Arial"/>
          <w:sz w:val="16"/>
          <w:szCs w:val="16"/>
          <w:color w:val="auto"/>
        </w:rPr>
        <w:t>has served as President of Wynn Design &amp; Development, LLC, a wholly owned indirect subsidiary of Wynn Resorts since June 2000.</w:t>
      </w:r>
      <w:r>
        <w:rPr>
          <w:rFonts w:ascii="Arial" w:cs="Arial" w:eastAsia="Arial" w:hAnsi="Arial"/>
          <w:sz w:val="16"/>
          <w:szCs w:val="16"/>
          <w:i w:val="1"/>
          <w:iCs w:val="1"/>
          <w:color w:val="auto"/>
        </w:rPr>
        <w:t xml:space="preserve"> </w:t>
      </w:r>
      <w:r>
        <w:rPr>
          <w:rFonts w:ascii="Arial" w:cs="Arial" w:eastAsia="Arial" w:hAnsi="Arial"/>
          <w:sz w:val="16"/>
          <w:szCs w:val="16"/>
          <w:color w:val="auto"/>
        </w:rPr>
        <w:t>From 1973 until 2000, he served as Vice President—Design and Construction and Secretary of Mirage Resorts, except for the periods August 1993 through July 1994 and March 1997 through June 1999. Mr. Kenneth R. Wynn also served as President of Atlandia Design &amp; Furnishings, Inc., a construction supervision and design company and then a wholly owned subsidiary of Mirage Resorts, from 1974 to 2000. Kenneth R. Wynn is Stephen A. Wynn's brother.</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DeRuyter O. Butler </w:t>
      </w:r>
      <w:r>
        <w:rPr>
          <w:rFonts w:ascii="Arial" w:cs="Arial" w:eastAsia="Arial" w:hAnsi="Arial"/>
          <w:sz w:val="18"/>
          <w:szCs w:val="18"/>
          <w:color w:val="auto"/>
        </w:rPr>
        <w:t>has served as Executive Vice President—Architecture of Wynn Design &amp; Development since June 2000. In 2000, Mr. Butler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ectPr>
          <w:pgSz w:w="11900" w:h="16838" w:orient="portrait"/>
          <w:cols w:equalWidth="0" w:num="1">
            <w:col w:w="11400"/>
          </w:cols>
          <w:pgMar w:left="240" w:top="131" w:right="259" w:bottom="0" w:gutter="0" w:footer="0" w:header="0"/>
        </w:sectPr>
      </w:pPr>
    </w:p>
    <w:bookmarkStart w:id="74" w:name="page75"/>
    <w:bookmarkEnd w:id="74"/>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Mr. Wynn and Aruze USA, together with Baron Asset Fund, have entered into a stockholders agreement pursuant to which Mr. Wynn and Aruze USA have agreed to vote their shares of Wynn Resorts' common stock for a slate of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Party Transactions—Stockholders Agreement."</w:t>
      </w:r>
    </w:p>
    <w:p>
      <w:pPr>
        <w:spacing w:after="0" w:line="170" w:lineRule="exact"/>
        <w:rPr>
          <w:sz w:val="20"/>
          <w:szCs w:val="20"/>
          <w:color w:val="auto"/>
        </w:rPr>
      </w:pPr>
    </w:p>
    <w:p>
      <w:pPr>
        <w:ind w:right="140" w:firstLine="351"/>
        <w:spacing w:after="0" w:line="302" w:lineRule="auto"/>
        <w:rPr>
          <w:sz w:val="20"/>
          <w:szCs w:val="20"/>
          <w:color w:val="auto"/>
        </w:rPr>
      </w:pPr>
      <w:r>
        <w:rPr>
          <w:rFonts w:ascii="Arial" w:cs="Arial" w:eastAsia="Arial" w:hAnsi="Arial"/>
          <w:sz w:val="15"/>
          <w:szCs w:val="15"/>
          <w:color w:val="auto"/>
        </w:rPr>
        <w:t>Our articles of incorporation and bylaws will, upon the completion of this offering, provide for a classified board of directors consisting of three classes of directors, each serving staggered three-year terms. As a result, a portion of our board of directors will be elected each year. To implement the classified board of directors structure, prior to the completion of this offering, two of the members of the board of directors will be Class I directors elected to one-year terms, two will be Class II directors elected to two-year terms and three will be Class III directors elected to three-year terms. Thereafter, directors will be elected for three-</w:t>
      </w:r>
    </w:p>
    <w:p>
      <w:pPr>
        <w:spacing w:after="0" w:line="3" w:lineRule="exact"/>
        <w:rPr>
          <w:sz w:val="20"/>
          <w:szCs w:val="20"/>
          <w:color w:val="auto"/>
        </w:rPr>
      </w:pPr>
    </w:p>
    <w:p>
      <w:pPr>
        <w:spacing w:after="0"/>
        <w:tabs>
          <w:tab w:leader="none" w:pos="5520" w:val="left"/>
          <w:tab w:leader="none" w:pos="6120" w:val="left"/>
          <w:tab w:leader="none" w:pos="8320" w:val="left"/>
          <w:tab w:leader="none" w:pos="8940" w:val="left"/>
          <w:tab w:leader="none" w:pos="11320" w:val="left"/>
        </w:tabs>
        <w:rPr>
          <w:sz w:val="20"/>
          <w:szCs w:val="20"/>
          <w:color w:val="auto"/>
        </w:rPr>
      </w:pPr>
      <w:r>
        <w:rPr>
          <w:rFonts w:ascii="Arial" w:cs="Arial" w:eastAsia="Arial" w:hAnsi="Arial"/>
          <w:sz w:val="18"/>
          <w:szCs w:val="18"/>
          <w:color w:val="auto"/>
        </w:rPr>
        <w:t>year terms. Upon the completion of this offering, Class I will consist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Class II will consist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and Class III will consist of</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Upon completion of this offering, our board of directors intends to appoint an executive committee, an audit committee and a compensation committee. The executive committee will have all of the powers and authority of the board of directors in managing our business and affairs to the fullest extent authorized by Nevada law.</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audit committee will select, on behalf of our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our board of directors whether the audited financials should be included in our Annual Reports on Form 10-K to be filed with the Securities and Exchange Commission. The composition of the audit committee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will comply with the requirements of The Nasdaq National Market and the Sarbanes-Oxley Act of 2002.</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compensation committee will review and approve, on behalf of the entire board of directors, (1) the annual salaries and other compensation of our officers and (2) individual stock and stock option grants. The compensation committee also will provide assistance and recommendations with respect to our compensation policies and practices and assist with the administration of our compensation plans. We expect that the compensation committee will be comprised of at least two independent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As noted above, the board of directors will appoint a compensation committee upon completion of this offering. We do not expect that any of our executive officers will serve as a director or member of the compensation committee of another entity, one of whose executive officers serves on our board of directors or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Upon completion of this offering, each of our directors who is not an employee of Wynn Resorts or its subsidiaries will receive a monthly fee of $4,000 for services as a director. Directors who serve on our executive, audit and compensation committees will receive an additional monthly fee of $1,000. Directors will also receive reimbursement for medical expenses and coverage under our life insurance program. Directors who are employees of Wynn Resorts or its subsidiaries will not receive compensation for their services as directors.</w:t>
      </w:r>
    </w:p>
    <w:p>
      <w:pPr>
        <w:spacing w:after="0" w:line="197"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Each non-employee director will receive stock options each year under our 2002 stock incentive plan. The stock options will have an exercise price equal to the market value of Wynn Resorts' common stock on the date of grant and will vest over a period defined in the option grant.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Non-employee directors will also be eligible to participate in our Directors' Deferred Compensation Plan, a non-qualified, unfunded deferred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table sets forth the annual and long-term compensation of Wynn Resorts' Chief Executive Officer. This table also includes, for the fiscal years ended December 31, 2001 and 2000, each of our five other most highly compensated executive officers (collectively, with the Chief Executive Officer, the "Named Executive Officers"). This compensation consists of compensation paid by Valvino, Wynn Golf Course and Wynn Design &amp; Development.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ind w:left="420"/>
              <w:spacing w:after="0"/>
              <w:rPr>
                <w:sz w:val="20"/>
                <w:szCs w:val="20"/>
                <w:color w:val="auto"/>
              </w:rPr>
            </w:pPr>
            <w:r>
              <w:rPr>
                <w:rFonts w:ascii="Arial" w:cs="Arial" w:eastAsia="Arial" w:hAnsi="Arial"/>
                <w:sz w:val="14"/>
                <w:szCs w:val="14"/>
                <w:b w:val="1"/>
                <w:bCs w:val="1"/>
                <w:color w:val="auto"/>
              </w:rPr>
              <w:t>Annual Compensation</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jc w:val="center"/>
              <w:ind w:right="212"/>
              <w:spacing w:after="0"/>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Stephen A. Wynn(2)(3)</w:t>
            </w:r>
          </w:p>
        </w:tc>
        <w:tc>
          <w:tcPr>
            <w:tcW w:w="8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2001</w:t>
            </w:r>
          </w:p>
        </w:tc>
        <w:tc>
          <w:tcPr>
            <w:tcW w:w="3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Chairman and Chief Executive Officer of Wynn Golf Course</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5820" w:type="dxa"/>
            <w:vAlign w:val="bottom"/>
            <w:gridSpan w:val="2"/>
          </w:tcPr>
          <w:p>
            <w:pPr>
              <w:spacing w:after="0"/>
              <w:rPr>
                <w:sz w:val="20"/>
                <w:szCs w:val="20"/>
                <w:color w:val="auto"/>
              </w:rPr>
            </w:pPr>
            <w:r>
              <w:rPr>
                <w:rFonts w:ascii="Arial" w:cs="Arial" w:eastAsia="Arial" w:hAnsi="Arial"/>
                <w:sz w:val="14"/>
                <w:szCs w:val="14"/>
                <w:color w:val="auto"/>
              </w:rPr>
              <w:t>Marc D. Schorr(3)(4)</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2001</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5820" w:type="dxa"/>
            <w:vAlign w:val="bottom"/>
            <w:gridSpan w:val="2"/>
          </w:tcPr>
          <w:p>
            <w:pPr>
              <w:spacing w:after="0" w:line="159" w:lineRule="exact"/>
              <w:rPr>
                <w:sz w:val="20"/>
                <w:szCs w:val="20"/>
                <w:color w:val="auto"/>
              </w:rPr>
            </w:pPr>
            <w:r>
              <w:rPr>
                <w:rFonts w:ascii="Arial" w:cs="Arial" w:eastAsia="Arial" w:hAnsi="Arial"/>
                <w:sz w:val="14"/>
                <w:szCs w:val="14"/>
                <w:color w:val="auto"/>
              </w:rPr>
              <w:t>Chief Operating Officer of Wynn Golf Course</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3"/>
                <w:szCs w:val="13"/>
                <w:color w:val="auto"/>
              </w:rPr>
            </w:pPr>
          </w:p>
        </w:tc>
        <w:tc>
          <w:tcPr>
            <w:tcW w:w="10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Kenneth R. Wynn(3)(5)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2001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President of Wynn Design &amp; Development</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5820" w:type="dxa"/>
            <w:vAlign w:val="bottom"/>
            <w:gridSpan w:val="2"/>
          </w:tcPr>
          <w:p>
            <w:pPr>
              <w:spacing w:after="0"/>
              <w:rPr>
                <w:sz w:val="20"/>
                <w:szCs w:val="20"/>
                <w:color w:val="auto"/>
              </w:rPr>
            </w:pPr>
            <w:r>
              <w:rPr>
                <w:rFonts w:ascii="Arial" w:cs="Arial" w:eastAsia="Arial" w:hAnsi="Arial"/>
                <w:sz w:val="14"/>
                <w:szCs w:val="14"/>
                <w:color w:val="auto"/>
              </w:rPr>
              <w:t>John Strzemp(6)</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2001</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450,000</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300,530</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4"/>
                <w:szCs w:val="14"/>
                <w:color w:val="auto"/>
              </w:rPr>
              <w:t>14,963</w:t>
            </w:r>
          </w:p>
        </w:tc>
        <w:tc>
          <w:tcPr>
            <w:tcW w:w="0" w:type="dxa"/>
            <w:vAlign w:val="bottom"/>
          </w:tcPr>
          <w:p>
            <w:pPr>
              <w:spacing w:after="0"/>
              <w:rPr>
                <w:sz w:val="1"/>
                <w:szCs w:val="1"/>
                <w:color w:val="auto"/>
              </w:rPr>
            </w:pPr>
          </w:p>
        </w:tc>
      </w:tr>
      <w:tr>
        <w:trPr>
          <w:trHeight w:val="159"/>
        </w:trPr>
        <w:tc>
          <w:tcPr>
            <w:tcW w:w="5820" w:type="dxa"/>
            <w:vAlign w:val="bottom"/>
            <w:gridSpan w:val="2"/>
          </w:tcPr>
          <w:p>
            <w:pPr>
              <w:spacing w:after="0" w:line="159" w:lineRule="exact"/>
              <w:rPr>
                <w:sz w:val="20"/>
                <w:szCs w:val="20"/>
                <w:color w:val="auto"/>
              </w:rPr>
            </w:pPr>
            <w:r>
              <w:rPr>
                <w:rFonts w:ascii="Arial" w:cs="Arial" w:eastAsia="Arial" w:hAnsi="Arial"/>
                <w:sz w:val="14"/>
                <w:szCs w:val="14"/>
                <w:color w:val="auto"/>
              </w:rPr>
              <w:t>Executive Vice President and Chief Financial Officer of Wynn Golf Course</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2000</w:t>
            </w:r>
          </w:p>
        </w:tc>
        <w:tc>
          <w:tcPr>
            <w:tcW w:w="3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65,769</w:t>
            </w:r>
          </w:p>
        </w:tc>
        <w:tc>
          <w:tcPr>
            <w:tcW w:w="200" w:type="dxa"/>
            <w:vAlign w:val="bottom"/>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150,000</w:t>
            </w:r>
          </w:p>
        </w:tc>
        <w:tc>
          <w:tcPr>
            <w:tcW w:w="4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DeRuyter O Butler(7)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2001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350 000</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4 596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-1565910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-1565910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-1274445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-1274445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-1274445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-1274445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-1274445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-1274445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-1274445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-1274445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-1274445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-1274445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9"/>
        </w:trPr>
        <w:tc>
          <w:tcPr>
            <w:tcW w:w="5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Executive Vice President—Architecture of Wynn Design &amp; Development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320"/>
              <w:spacing w:after="0"/>
              <w:rPr>
                <w:sz w:val="20"/>
                <w:szCs w:val="20"/>
                <w:color w:val="auto"/>
              </w:rPr>
            </w:pPr>
            <w:r>
              <w:rPr>
                <w:rFonts w:ascii="Arial" w:cs="Arial" w:eastAsia="Arial" w:hAnsi="Arial"/>
                <w:sz w:val="14"/>
                <w:szCs w:val="14"/>
                <w:color w:val="auto"/>
                <w:w w:val="78"/>
              </w:rPr>
              <w:t>197,885</w:t>
            </w: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52"/>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r>
      <w:tr>
        <w:trPr>
          <w:trHeight w:val="108"/>
        </w:trPr>
        <w:tc>
          <w:tcPr>
            <w:tcW w:w="6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78"/>
        </w:trPr>
        <w:tc>
          <w:tcPr>
            <w:tcW w:w="5820" w:type="dxa"/>
            <w:vAlign w:val="bottom"/>
            <w:gridSpan w:val="2"/>
          </w:tcPr>
          <w:p>
            <w:pPr>
              <w:spacing w:after="0"/>
              <w:rPr>
                <w:sz w:val="20"/>
                <w:szCs w:val="20"/>
                <w:color w:val="auto"/>
              </w:rPr>
            </w:pPr>
            <w:r>
              <w:rPr>
                <w:rFonts w:ascii="Arial" w:cs="Arial" w:eastAsia="Arial" w:hAnsi="Arial"/>
                <w:sz w:val="14"/>
                <w:szCs w:val="14"/>
                <w:color w:val="auto"/>
              </w:rPr>
              <w:t>Marc H. Rubinstein(8)</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2001</w:t>
            </w:r>
          </w:p>
        </w:tc>
        <w:tc>
          <w:tcPr>
            <w:tcW w:w="500" w:type="dxa"/>
            <w:vAlign w:val="bottom"/>
            <w:gridSpan w:val="2"/>
          </w:tcPr>
          <w:p>
            <w:pPr>
              <w:jc w:val="right"/>
              <w:ind w:right="269"/>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320"/>
              <w:spacing w:after="0"/>
              <w:rPr>
                <w:sz w:val="20"/>
                <w:szCs w:val="20"/>
                <w:color w:val="auto"/>
              </w:rPr>
            </w:pPr>
            <w:r>
              <w:rPr>
                <w:rFonts w:ascii="Arial" w:cs="Arial" w:eastAsia="Arial" w:hAnsi="Arial"/>
                <w:sz w:val="14"/>
                <w:szCs w:val="14"/>
                <w:color w:val="auto"/>
              </w:rPr>
              <w:t>286,279</w:t>
            </w:r>
          </w:p>
        </w:tc>
        <w:tc>
          <w:tcPr>
            <w:tcW w:w="4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5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11,847</w:t>
            </w:r>
          </w:p>
        </w:tc>
      </w:tr>
      <w:tr>
        <w:trPr>
          <w:trHeight w:val="172"/>
        </w:trPr>
        <w:tc>
          <w:tcPr>
            <w:tcW w:w="5820" w:type="dxa"/>
            <w:vAlign w:val="bottom"/>
            <w:gridSpan w:val="2"/>
          </w:tcPr>
          <w:p>
            <w:pPr>
              <w:spacing w:after="0"/>
              <w:rPr>
                <w:sz w:val="20"/>
                <w:szCs w:val="20"/>
                <w:color w:val="auto"/>
              </w:rPr>
            </w:pPr>
            <w:r>
              <w:rPr>
                <w:rFonts w:ascii="Arial" w:cs="Arial" w:eastAsia="Arial" w:hAnsi="Arial"/>
                <w:sz w:val="14"/>
                <w:szCs w:val="14"/>
                <w:color w:val="auto"/>
              </w:rPr>
              <w:t>Senior Vice President and General Counsel of Wynn Golf Course</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2000</w:t>
            </w:r>
          </w:p>
        </w:tc>
        <w:tc>
          <w:tcPr>
            <w:tcW w:w="500" w:type="dxa"/>
            <w:vAlign w:val="bottom"/>
            <w:gridSpan w:val="2"/>
          </w:tcPr>
          <w:p>
            <w:pPr>
              <w:jc w:val="right"/>
              <w:ind w:right="269"/>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320"/>
              <w:spacing w:after="0"/>
              <w:rPr>
                <w:sz w:val="20"/>
                <w:szCs w:val="20"/>
                <w:color w:val="auto"/>
              </w:rPr>
            </w:pPr>
            <w:r>
              <w:rPr>
                <w:rFonts w:ascii="Arial" w:cs="Arial" w:eastAsia="Arial" w:hAnsi="Arial"/>
                <w:sz w:val="14"/>
                <w:szCs w:val="14"/>
                <w:color w:val="auto"/>
              </w:rPr>
              <w:t>113,708</w:t>
            </w:r>
          </w:p>
        </w:tc>
        <w:tc>
          <w:tcPr>
            <w:tcW w:w="420" w:type="dxa"/>
            <w:vAlign w:val="bottom"/>
          </w:tcPr>
          <w:p>
            <w:pPr>
              <w:jc w:val="right"/>
              <w:ind w:right="272"/>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12,500</w:t>
            </w:r>
          </w:p>
        </w:tc>
        <w:tc>
          <w:tcPr>
            <w:tcW w:w="900" w:type="dxa"/>
            <w:vAlign w:val="bottom"/>
            <w:gridSpan w:val="2"/>
          </w:tcPr>
          <w:p>
            <w:pPr>
              <w:jc w:val="right"/>
              <w:ind w:right="652"/>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11,883</w:t>
            </w:r>
          </w:p>
        </w:tc>
      </w:tr>
      <w:tr>
        <w:trPr>
          <w:trHeight w:val="105"/>
        </w:trPr>
        <w:tc>
          <w:tcPr>
            <w:tcW w:w="680" w:type="dxa"/>
            <w:vAlign w:val="bottom"/>
            <w:tcBorders>
              <w:bottom w:val="single" w:sz="8" w:color="808080"/>
            </w:tcBorders>
          </w:tcPr>
          <w:p>
            <w:pPr>
              <w:spacing w:after="0"/>
              <w:rPr>
                <w:sz w:val="9"/>
                <w:szCs w:val="9"/>
                <w:color w:val="auto"/>
              </w:rPr>
            </w:pPr>
          </w:p>
        </w:tc>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246620" cy="2832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98"/>
        </w:numPr>
        <w:rPr>
          <w:rFonts w:ascii="Arial" w:cs="Arial" w:eastAsia="Arial" w:hAnsi="Arial"/>
          <w:sz w:val="27"/>
          <w:szCs w:val="27"/>
          <w:color w:val="auto"/>
          <w:vertAlign w:val="subscript"/>
        </w:rPr>
      </w:pPr>
      <w:r>
        <w:rPr>
          <w:rFonts w:ascii="Arial" w:cs="Arial" w:eastAsia="Arial" w:hAnsi="Arial"/>
          <w:sz w:val="14"/>
          <w:szCs w:val="14"/>
          <w:color w:val="auto"/>
        </w:rPr>
        <w:t>Includes 401(k) matching contributions and executive life insurance premiums.</w:t>
      </w:r>
    </w:p>
    <w:p>
      <w:pPr>
        <w:ind w:left="540" w:hanging="532"/>
        <w:spacing w:after="0" w:line="197" w:lineRule="auto"/>
        <w:tabs>
          <w:tab w:leader="none" w:pos="540" w:val="left"/>
        </w:tabs>
        <w:numPr>
          <w:ilvl w:val="0"/>
          <w:numId w:val="98"/>
        </w:numPr>
        <w:rPr>
          <w:rFonts w:ascii="Arial" w:cs="Arial" w:eastAsia="Arial" w:hAnsi="Arial"/>
          <w:sz w:val="10"/>
          <w:szCs w:val="10"/>
          <w:color w:val="auto"/>
          <w:vertAlign w:val="subscript"/>
        </w:rPr>
      </w:pPr>
      <w:r>
        <w:rPr>
          <w:rFonts w:ascii="Arial" w:cs="Arial" w:eastAsia="Arial" w:hAnsi="Arial"/>
          <w:sz w:val="8"/>
          <w:szCs w:val="8"/>
          <w:color w:val="auto"/>
        </w:rPr>
        <w:t>Stephen A. Wynn's employment with Valvino commenced on June 1, 2000.</w:t>
      </w:r>
    </w:p>
    <w:p>
      <w:pPr>
        <w:ind w:left="540" w:right="100" w:hanging="532"/>
        <w:spacing w:after="0" w:line="181" w:lineRule="auto"/>
        <w:tabs>
          <w:tab w:leader="none" w:pos="540" w:val="left"/>
        </w:tabs>
        <w:numPr>
          <w:ilvl w:val="0"/>
          <w:numId w:val="98"/>
        </w:numPr>
        <w:rPr>
          <w:rFonts w:ascii="Arial" w:cs="Arial" w:eastAsia="Arial" w:hAnsi="Arial"/>
          <w:sz w:val="18"/>
          <w:szCs w:val="18"/>
          <w:color w:val="auto"/>
          <w:vertAlign w:val="subscript"/>
        </w:rPr>
      </w:pPr>
      <w:r>
        <w:rPr>
          <w:rFonts w:ascii="Arial" w:cs="Arial" w:eastAsia="Arial" w:hAnsi="Arial"/>
          <w:sz w:val="10"/>
          <w:szCs w:val="10"/>
          <w:color w:val="auto"/>
        </w:rPr>
        <w:t>Stephen A. Wynn, Marc D. Schorr and Kenneth R. Wynn may each have received perquisites and other personal benefits in an aggregate amount in excess of 10% of his annual salary and bonus of $0 or $1.00, as applicable. Any amount that any of them may have received was not material.</w:t>
      </w:r>
    </w:p>
    <w:p>
      <w:pPr>
        <w:ind w:left="540" w:hanging="532"/>
        <w:spacing w:after="0" w:line="187" w:lineRule="auto"/>
        <w:tabs>
          <w:tab w:leader="none" w:pos="540" w:val="left"/>
        </w:tabs>
        <w:numPr>
          <w:ilvl w:val="0"/>
          <w:numId w:val="98"/>
        </w:numPr>
        <w:rPr>
          <w:rFonts w:ascii="Arial" w:cs="Arial" w:eastAsia="Arial" w:hAnsi="Arial"/>
          <w:sz w:val="12"/>
          <w:szCs w:val="12"/>
          <w:color w:val="auto"/>
          <w:vertAlign w:val="subscript"/>
        </w:rPr>
      </w:pPr>
      <w:r>
        <w:rPr>
          <w:rFonts w:ascii="Arial" w:cs="Arial" w:eastAsia="Arial" w:hAnsi="Arial"/>
          <w:sz w:val="8"/>
          <w:szCs w:val="8"/>
          <w:color w:val="auto"/>
        </w:rPr>
        <w:t>Mr. Schorr was employed by Valvino from June 1, 2000 until his employment with Wynn Resorts Holdings commenced on April 1, 2001.</w:t>
      </w:r>
    </w:p>
    <w:p>
      <w:pPr>
        <w:ind w:left="540" w:hanging="532"/>
        <w:spacing w:after="0" w:line="197" w:lineRule="auto"/>
        <w:tabs>
          <w:tab w:leader="none" w:pos="540" w:val="left"/>
        </w:tabs>
        <w:numPr>
          <w:ilvl w:val="0"/>
          <w:numId w:val="98"/>
        </w:numPr>
        <w:rPr>
          <w:rFonts w:ascii="Arial" w:cs="Arial" w:eastAsia="Arial" w:hAnsi="Arial"/>
          <w:sz w:val="10"/>
          <w:szCs w:val="10"/>
          <w:color w:val="auto"/>
          <w:vertAlign w:val="subscript"/>
        </w:rPr>
      </w:pPr>
      <w:r>
        <w:rPr>
          <w:rFonts w:ascii="Arial" w:cs="Arial" w:eastAsia="Arial" w:hAnsi="Arial"/>
          <w:sz w:val="8"/>
          <w:szCs w:val="8"/>
          <w:color w:val="auto"/>
        </w:rPr>
        <w:t>Kenneth R. Wynn's employment with Wynn Design &amp; Development commenced on June 1, 2000.</w:t>
      </w:r>
    </w:p>
    <w:p>
      <w:pPr>
        <w:ind w:left="540" w:hanging="532"/>
        <w:spacing w:after="0" w:line="197" w:lineRule="auto"/>
        <w:tabs>
          <w:tab w:leader="none" w:pos="540" w:val="left"/>
        </w:tabs>
        <w:numPr>
          <w:ilvl w:val="0"/>
          <w:numId w:val="98"/>
        </w:numPr>
        <w:rPr>
          <w:rFonts w:ascii="Arial" w:cs="Arial" w:eastAsia="Arial" w:hAnsi="Arial"/>
          <w:sz w:val="10"/>
          <w:szCs w:val="10"/>
          <w:color w:val="auto"/>
          <w:vertAlign w:val="subscript"/>
        </w:rPr>
      </w:pPr>
      <w:r>
        <w:rPr>
          <w:rFonts w:ascii="Arial" w:cs="Arial" w:eastAsia="Arial" w:hAnsi="Arial"/>
          <w:sz w:val="8"/>
          <w:szCs w:val="8"/>
          <w:color w:val="auto"/>
        </w:rPr>
        <w:t>Mr. Strzemp was employed by Valvino from November 1, 2000 until his employment with Wynn Golf Course commenced on April 1, 2001.</w:t>
      </w:r>
    </w:p>
    <w:p>
      <w:pPr>
        <w:ind w:left="540" w:hanging="532"/>
        <w:spacing w:after="0" w:line="187" w:lineRule="auto"/>
        <w:tabs>
          <w:tab w:leader="none" w:pos="540" w:val="left"/>
        </w:tabs>
        <w:numPr>
          <w:ilvl w:val="0"/>
          <w:numId w:val="98"/>
        </w:numPr>
        <w:rPr>
          <w:rFonts w:ascii="Arial" w:cs="Arial" w:eastAsia="Arial" w:hAnsi="Arial"/>
          <w:sz w:val="12"/>
          <w:szCs w:val="12"/>
          <w:color w:val="auto"/>
          <w:vertAlign w:val="subscript"/>
        </w:rPr>
      </w:pPr>
      <w:r>
        <w:rPr>
          <w:rFonts w:ascii="Arial" w:cs="Arial" w:eastAsia="Arial" w:hAnsi="Arial"/>
          <w:sz w:val="8"/>
          <w:szCs w:val="8"/>
          <w:color w:val="auto"/>
        </w:rPr>
        <w:t>Mr. Butler's employment with Wynn Design &amp; Development commenced on June 1, 2000.</w:t>
      </w:r>
    </w:p>
    <w:p>
      <w:pPr>
        <w:ind w:left="540" w:hanging="532"/>
        <w:spacing w:after="0" w:line="185" w:lineRule="auto"/>
        <w:tabs>
          <w:tab w:leader="none" w:pos="540" w:val="left"/>
        </w:tabs>
        <w:numPr>
          <w:ilvl w:val="0"/>
          <w:numId w:val="98"/>
        </w:numPr>
        <w:rPr>
          <w:rFonts w:ascii="Arial" w:cs="Arial" w:eastAsia="Arial" w:hAnsi="Arial"/>
          <w:sz w:val="18"/>
          <w:szCs w:val="18"/>
          <w:color w:val="auto"/>
          <w:vertAlign w:val="subscript"/>
        </w:rPr>
      </w:pPr>
      <w:r>
        <w:rPr>
          <w:rFonts w:ascii="Arial" w:cs="Arial" w:eastAsia="Arial" w:hAnsi="Arial"/>
          <w:sz w:val="10"/>
          <w:szCs w:val="10"/>
          <w:color w:val="auto"/>
        </w:rPr>
        <w:t>Mr. Rubinstein was employed by Valvino from June 23, 2000 until his employment with Wynn Golf Course commenced on April 1, 2001.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established a retirement savings plan under Section 401(k) of the Internal Revenue Code covering our non-union employees on July 27, 2000. The plan allows employees to 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2002 Stock Incentive Plan</w:t>
      </w:r>
    </w:p>
    <w:p>
      <w:pPr>
        <w:spacing w:after="0" w:line="231"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intend to adopt our 2002 stock incentive plan before the closing of this offering. The 2002 stock incentive plan provides for the grant of stock awards, incentive stock options and non-qualified stock options to our employees, directors and specified consultants. We intend to reserve a total of 8,600,000 shares of Wynn Resorts' common stock for issuance pursuant to the 2002 stock incentive plan subject to certain adjustments set forth in the 2002 stock incentive plan.</w:t>
      </w:r>
    </w:p>
    <w:p>
      <w:pPr>
        <w:spacing w:after="0" w:line="161"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Our board of directors intends to delegate general administrative authority over the 2002 stock incentive plan to our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w:t>
      </w:r>
    </w:p>
    <w:p>
      <w:pPr>
        <w:spacing w:after="0" w:line="152"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exercise price of incentive stock options must be at least 100% of the fair market value of the common stock on the date of grant. Incentive stock options granted to optionees who own more than 10% of our outstanding common stock must have an exercise price that is at least 110% of fair market value of the common stock on the grant date. Our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 (1) pursuant to a qualified domestic relations order or (2) to a family member. During any fiscal year, no optionee may receive grants of incentive stock options and nonqualified stock options in the aggregate which cover more</w:t>
      </w:r>
    </w:p>
    <w:p>
      <w:pPr>
        <w:spacing w:after="0"/>
        <w:tabs>
          <w:tab w:leader="none" w:pos="720" w:val="left"/>
        </w:tabs>
        <w:rPr>
          <w:sz w:val="20"/>
          <w:szCs w:val="20"/>
          <w:color w:val="auto"/>
        </w:rPr>
      </w:pPr>
      <w:r>
        <w:rPr>
          <w:rFonts w:ascii="Arial" w:cs="Arial" w:eastAsia="Arial" w:hAnsi="Arial"/>
          <w:sz w:val="18"/>
          <w:szCs w:val="18"/>
          <w:color w:val="auto"/>
        </w:rPr>
        <w:t>than</w:t>
      </w:r>
      <w:r>
        <w:rPr>
          <w:sz w:val="20"/>
          <w:szCs w:val="20"/>
          <w:color w:val="auto"/>
        </w:rPr>
        <w:tab/>
      </w:r>
      <w:r>
        <w:rPr>
          <w:rFonts w:ascii="Arial" w:cs="Arial" w:eastAsia="Arial" w:hAnsi="Arial"/>
          <w:sz w:val="18"/>
          <w:szCs w:val="18"/>
          <w:color w:val="auto"/>
        </w:rPr>
        <w:t>shares.</w:t>
      </w:r>
    </w:p>
    <w:p>
      <w:pPr>
        <w:spacing w:after="0" w:line="219"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 generally will remain exercisable until the earlier of the expiration date stated in the option agreement or 12 months after the date of death or termination of employment. If termination is for cause, all options, including vested and exercisable ones, are immediately terminated and cancelled.</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If certain events occur that result in a change of our organizational or ownership structure, the administrator has the discretion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w:t>
      </w:r>
    </w:p>
    <w:p>
      <w:pPr>
        <w:spacing w:after="0" w:line="2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have the authority to amend, alter, suspend or terminate the 2002 stock incentive plan without stockholder approval provided that our doing so does not impair the rights of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optionee or increase the number of shares for which options and stock awards may be granted. We may amend the plan with stockholder approval to increase the number of shares for which options and stock awards may be granted.</w:t>
      </w:r>
    </w:p>
    <w:p>
      <w:pPr>
        <w:spacing w:after="0" w:line="186"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Following the completion of this offering, we intend to grant awards of shares of restricted stock under our 2002 stock incentive plan to each of the following employees: DeRuyter O. Butler, William Todd Nisbet, Marc D. Schorr, John Strzemp, Roger P. Thomas and Kenneth R. Wynn. We also intend to</w:t>
      </w:r>
    </w:p>
    <w:p>
      <w:pPr>
        <w:ind w:right="60"/>
        <w:spacing w:after="0" w:line="288" w:lineRule="auto"/>
        <w:rPr>
          <w:sz w:val="20"/>
          <w:szCs w:val="20"/>
          <w:color w:val="auto"/>
        </w:rPr>
      </w:pPr>
      <w:r>
        <w:rPr>
          <w:rFonts w:ascii="Arial" w:cs="Arial" w:eastAsia="Arial" w:hAnsi="Arial"/>
          <w:sz w:val="16"/>
          <w:szCs w:val="16"/>
          <w:color w:val="auto"/>
        </w:rPr>
        <w:t>grant an award of shares of restricted stock outside of the 2002 stock incentive plan to Franco Dragone, the creator of our new entertainment production. The restricted stock will be subject to our repurchase right, which will lapse in November 2004 as to Mr. Strzemp, in June 2005 as to Mr. Schorr and Mr. Kenneth Wynn, in June 2006 as to Mr. Butler, Mr. Thomas and Mr. Dragone and in July 2006 as to Mr. Nisbet. Our repurchase right will lapse immediately with respect to any individual other than Mr. Dragone if such individual terminates employment with us under circumstances which entitle him to receive a "separation payment" under his employment contract (as described below). In the case of Messrs. Butler, Nisbet, and Thomas, however, the lapse of our restriction right on a termination of employment which entitles such individual to receive a separation payment will not occur to the extent that such early lapsing would subject the individual to the golden parachute excise tax under Internal Revenue Code Section 4999.</w:t>
      </w:r>
    </w:p>
    <w:p>
      <w:pPr>
        <w:sectPr>
          <w:pgSz w:w="11900" w:h="16838" w:orient="portrait"/>
          <w:cols w:equalWidth="0" w:num="1">
            <w:col w:w="11420"/>
          </w:cols>
          <w:pgMar w:left="240" w:top="140" w:right="239" w:bottom="0" w:gutter="0" w:footer="0" w:header="0"/>
        </w:sectPr>
      </w:pPr>
    </w:p>
    <w:bookmarkStart w:id="76" w:name="page77"/>
    <w:bookmarkEnd w:id="76"/>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intend to enter into employment contracts with certain other named executive officers, including Stephen A. Wynn, Marc D. Schorr, Kenneth R. Wynn, John Strzemp, DeRuyter O. Butler and Marc H. Rubinstein, prior to the completion of this offering.</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Under the employment contracts, the annual base salaries will be $1,250,000 for Stephen A. Wynn, $750,000 for Mr. Schorr, $459,000 for Mr. Strzemp, $350,000 for Mr. Butler, $360,000 for Mr. Rubinstein and $250,000 for Kenneth Wynn.</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other terms of the employment contracts will be substantially similar for each executive. Each executive will receive a bonus at such times and in such amounts as our board of directors, in its sole and exclusive discretion, may determine. However, after our board of directors adopts a performance-based bonus plan, bonuses will be determined in accordance with the plan except for Mr. Strzemp, who will be entitled to a minimum annual bonus of $150,000 per year. The term of each employment contract will begin on the later of the effective date of this offering or October 1, 2002, and end five years later, except that the term of Mr. Strzemp's employment contract will end on October 31, 2004. If this offering does not close on or before April 1, 2003 the employment contracts will become null and void. In addition to base salary and bonuses, each executive will participate in all of our employee benefit plans that cover executives, to the extent that the executive is otherwise eligible, will receive reimbursement for reasonable business expenses (including entertainment, promotional, gift and travel expenses and club memberships) and will be entitled to four weeks paid vacation each year. In addition, we will provide the use of a company car and driver at our sole cost and expense to Stephen A. Wynn. In addition, Stephen A. Wynn, Mr. Schorr and Kenneth Wynn will enter into time-sharing agreements with us covering their personal use of our aircraft, with each such executive paying us the lesser of (1) his and his family's share of the direct costs incurred by us in operating the aircraft or (2) the amount required by applicable federal aviation regulations.</w:t>
      </w:r>
    </w:p>
    <w:p>
      <w:pPr>
        <w:spacing w:after="0" w:line="18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If we terminate the employment of an executive without "cause," or the executive terminates his employment with us upon "good reason" following a "change of control" (as these terms are defined in the employment contracts), we will pay the executive a "separation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payment" in a lump sum equal to (a) the executive's base salary for the remainder of the term of the employment contract, but not for less than one year, except in the case of Kenneth Wynn and Messrs. Butler and Rubinstein, in which case the lump sum shall be such person's base salary for one year, (b) a prorated portion of the bonus that the executive received for the preceding bonus period, (c) any accrued but unpaid vacation pay and (d) an amount necessary to gross the executive up for any golden parachute excise tax the executive incurs under Internal Revenue Code Section 4999. The separation payment of Mr. Butler, however, will be limited to the amount necessary to avoid subjecting him to the goldgen parachute excise tax of Internal Revenue Code Section 4999. If the executive is entitled to receive the separation payment, he will also be entitled to continue participating in our health benefits coverage for the remaining portion of the term (but for not less than one year) on the same basis as if he were still employed by us. If the executive's employment terminates for any other reason before the expiration of the term (i.e., because of the executive's death, disability, discharge for cause, revocation of gaming license, or quitting other than for good reason after a change in control), we will be required to pay the executive only accrued but unpaid base salary and vacation pay through his termination date.</w:t>
      </w:r>
    </w:p>
    <w:p>
      <w:pPr>
        <w:spacing w:after="0" w:line="16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On April 1, 2002, Wynn Golf Course and Valvino, as guarantor, entered into a one-year employment agreement with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Golf Course terminates Mr. Kramer's employment without cause (as defined in the agreement) or (2) Mr. Kramer terminates his employment for good reason (as defined in such agreement), Wynn Golf Course must pay Mr. Kramer (in addition to all accrued base salary, accrued vacation pay and bonus amounts) $1,250,000, unless Mr. Kramer has already been paid a bonus equal to at least that amount from the proceeds of this offering. Pursuant to this agreement, Mr. Kramer is also prevented from competing with Wynn Golf Course and its affiliates for the one year of his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 and Indemnification</w:t>
      </w:r>
    </w:p>
    <w:p>
      <w:pPr>
        <w:spacing w:after="0" w:line="231"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174"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director's or officer's act or omission constituted a breach of his or her fiduciary duties;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breach involved intentional misconduct, fraud or a knowing violation of the law.</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right="300" w:firstLine="348"/>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 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 were not met. However, Wynn</w:t>
      </w:r>
    </w:p>
    <w:p>
      <w:pPr>
        <w:sectPr>
          <w:pgSz w:w="11900" w:h="16959" w:orient="portrait"/>
          <w:cols w:equalWidth="0" w:num="1">
            <w:col w:w="11420"/>
          </w:cols>
          <w:pgMar w:left="240" w:top="125" w:right="239" w:bottom="0" w:gutter="0" w:footer="0" w:header="0"/>
        </w:sectPr>
      </w:pPr>
    </w:p>
    <w:bookmarkStart w:id="77" w:name="page78"/>
    <w:bookmarkEnd w:id="77"/>
    <w:p>
      <w:pPr>
        <w:ind w:right="60"/>
        <w:spacing w:after="0" w:line="259" w:lineRule="auto"/>
        <w:rPr>
          <w:sz w:val="20"/>
          <w:szCs w:val="20"/>
          <w:color w:val="auto"/>
        </w:rPr>
      </w:pPr>
      <w:r>
        <w:rPr>
          <w:rFonts w:ascii="Arial" w:cs="Arial" w:eastAsia="Arial" w:hAnsi="Arial"/>
          <w:sz w:val="18"/>
          <w:szCs w:val="18"/>
          <w:color w:val="auto"/>
        </w:rPr>
        <w:t>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0"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 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67"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At present, there is no pending litigation or proceeding involving any of Wynn Resorts' directors, officers or employees in which indemnification is sought, nor are we aware of any threatened litigation that may result in claims for indemnification.</w:t>
      </w:r>
    </w:p>
    <w:p>
      <w:pPr>
        <w:spacing w:after="0" w:line="186"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Life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obtain $30 million of key man life insurance with respect to Stephen A. Wynn for our benefit.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expects to maintain a directors' and officers' liability insurance policy that provides its officers and directors with liability coverage in amounts it considers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CERTAIN RELATIONSHIPS AND</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RELATED PARTY TRANSACTIONS</w:t>
      </w:r>
    </w:p>
    <w:p>
      <w:pPr>
        <w:spacing w:after="0" w:line="21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Contribution of Interest in Wynn Macau. </w:t>
      </w:r>
      <w:r>
        <w:rPr>
          <w:rFonts w:ascii="Arial" w:cs="Arial" w:eastAsia="Arial" w:hAnsi="Arial"/>
          <w:sz w:val="16"/>
          <w:szCs w:val="16"/>
          <w:color w:val="auto"/>
        </w:rPr>
        <w:t>Before April 22, 2002, Mr. Wynn owned a majority of the outstanding equity interests of Wynn Macau.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 Subsequent to this contribution, Wynn Macau has entered into a concession agreement with the government of Macau permitting the construction and operation of casinos in Macau. See "Management's Discussion &amp; Analysis of Financial Condition and Results of Operations—Liquidity and Capital Resources—Material Transactions Affecting Liquidity and Capital Resources."</w:t>
      </w:r>
    </w:p>
    <w:p>
      <w:pPr>
        <w:spacing w:after="0" w:line="17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As previously discussed, Mr. Wynn, Aruze USA and Baron Asset Fund are parties to a stockholders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agreement establishes 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6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such private placement.</w:t>
      </w:r>
    </w:p>
    <w:p>
      <w:pPr>
        <w:spacing w:after="0" w:line="16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the parties also granted each other a tag-along right on their respective shares of Wynn Resorts' common stock. Under this tag-along right, any party to the stockholders agreement, before transferring his or its shares to any person other than a permitted transferee, must first allow the other parties to the agreement to participate in such transfer on the same terms and conditions.</w:t>
      </w:r>
    </w:p>
    <w:p>
      <w:pPr>
        <w:spacing w:after="0" w:line="20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w:t>
      </w:r>
    </w:p>
    <w:p>
      <w:pPr>
        <w:sectPr>
          <w:pgSz w:w="11900" w:h="16838" w:orient="portrait"/>
          <w:cols w:equalWidth="0" w:num="1">
            <w:col w:w="11420"/>
          </w:cols>
          <w:pgMar w:left="240" w:top="131" w:right="239" w:bottom="466"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66" w:gutter="0" w:footer="0" w:header="0"/>
          <w:type w:val="continuous"/>
        </w:sectPr>
      </w:pPr>
    </w:p>
    <w:bookmarkStart w:id="78" w:name="page79"/>
    <w:bookmarkEnd w:id="78"/>
    <w:p>
      <w:pPr>
        <w:jc w:val="both"/>
        <w:ind w:right="40"/>
        <w:spacing w:after="0" w:line="370" w:lineRule="auto"/>
        <w:rPr>
          <w:sz w:val="20"/>
          <w:szCs w:val="20"/>
          <w:color w:val="auto"/>
        </w:rPr>
      </w:pPr>
      <w:r>
        <w:rPr>
          <w:rFonts w:ascii="Arial" w:cs="Arial" w:eastAsia="Arial" w:hAnsi="Arial"/>
          <w:sz w:val="15"/>
          <w:szCs w:val="15"/>
          <w:color w:val="auto"/>
        </w:rPr>
        <w:t>indirect change of control of any party to the agreement, other than Baron Asset Fund, the other parties to the agreement have the option to purchase the shares of Wynn Resorts' common stock held by the party undergoing the change in control. Under the agreement, a stockholder may assign these options to Wynn Resorts.</w:t>
      </w:r>
    </w:p>
    <w:p>
      <w:pPr>
        <w:spacing w:after="0" w:line="11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may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b w:val="1"/>
          <w:bCs w:val="1"/>
          <w:i w:val="1"/>
          <w:iCs w:val="1"/>
          <w:color w:val="auto"/>
        </w:rPr>
        <w:t xml:space="preserve">Buy-Out of Aruze USA Stock. </w:t>
      </w:r>
      <w:r>
        <w:rPr>
          <w:rFonts w:ascii="Arial" w:cs="Arial" w:eastAsia="Arial" w:hAnsi="Arial"/>
          <w:sz w:val="18"/>
          <w:szCs w:val="18"/>
          <w:color w:val="auto"/>
        </w:rPr>
        <w:t>Mr. Wynn, Kazuo Okada, Aruze USA, Aruze Corp. and Wynn Resorts have entered into arrangements which provide that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w:t>
      </w:r>
    </w:p>
    <w:p>
      <w:pPr>
        <w:spacing w:after="0" w:line="20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b w:val="1"/>
          <w:bCs w:val="1"/>
          <w:i w:val="1"/>
          <w:iCs w:val="1"/>
          <w:color w:val="auto"/>
        </w:rPr>
        <w:t xml:space="preserve">Wynn Design &amp; Development. </w:t>
      </w:r>
      <w:r>
        <w:rPr>
          <w:rFonts w:ascii="Arial" w:cs="Arial" w:eastAsia="Arial" w:hAnsi="Arial"/>
          <w:sz w:val="16"/>
          <w:szCs w:val="16"/>
          <w:color w:val="auto"/>
        </w:rPr>
        <w:t>Wynn Design &amp; Development, a wholly owned indirect subsidiary of Wynn Resorts, is responsible for the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architecture of Le Rêve (except for the showroom)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2" w:lineRule="exact"/>
        <w:rPr>
          <w:sz w:val="20"/>
          <w:szCs w:val="20"/>
          <w:color w:val="auto"/>
        </w:rPr>
      </w:pPr>
    </w:p>
    <w:p>
      <w:pPr>
        <w:ind w:right="20" w:firstLine="345"/>
        <w:spacing w:after="0" w:line="254" w:lineRule="auto"/>
        <w:rPr>
          <w:sz w:val="20"/>
          <w:szCs w:val="20"/>
          <w:color w:val="auto"/>
        </w:rPr>
      </w:pPr>
      <w:r>
        <w:rPr>
          <w:rFonts w:ascii="Arial" w:cs="Arial" w:eastAsia="Arial" w:hAnsi="Arial"/>
          <w:sz w:val="18"/>
          <w:szCs w:val="18"/>
          <w:b w:val="1"/>
          <w:bCs w:val="1"/>
          <w:i w:val="1"/>
          <w:iCs w:val="1"/>
          <w:color w:val="auto"/>
        </w:rPr>
        <w:t xml:space="preserve">Art Gallery. </w:t>
      </w:r>
      <w:r>
        <w:rPr>
          <w:rFonts w:ascii="Arial" w:cs="Arial" w:eastAsia="Arial" w:hAnsi="Arial"/>
          <w:sz w:val="18"/>
          <w:szCs w:val="18"/>
          <w:color w:val="auto"/>
        </w:rPr>
        <w:t>We operate an art gallery at the former premises of the Desert Inn Resort &amp; Casino in which we display paintings from The Wynn Collection.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art gallery is expected to remain open during the construction of Le Rêve. We lease The Wynn Collection from Mr. and Mrs. Wynn pursuant to an Art Rental and Licensing Agreement. Under the agreement, we pay the expenses of exhibiting works from The Wynn Collection and reimburse Mr. and Mrs. Wynn for the expense of insuring the collection while we exhibit it, which insurance costs for the eight months ended June 30, 2002 were approximately $55,000 and for the twelve months ended June 30, 2003 will be approximately $275,000. In addition, we have agreed to make monthly lease payments for the art at a rate equal to the gross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received by the gallery each month, less direct expenses, subject to a monthly cap. Under the agreement, we were not required to make any such lease payments prior to June 30, 2002. However, had we been required to make such payments, no amounts would have been due under the lease payment formula because, to date, our expenses in operating the art gallery have exceeded the revenue generated from such operations. Prior to opening Le Rêve, we do not expect to make any material payments under this lease. The only financial exposure that we have under this lease is the cost of operating the art gallery, which is not material. Any payment to Mr. and Mrs. Wynn would be made only from the net revenue of the art gallery. It is contemplated that, after Le Rêve opens, we will continue to lease The Wynn Collection under similar terms and will exhibit the works as an attraction at Le Rêve. Under the Art Rental and Licensing Agreement, subject to certain notice restrictions, Mr. and Mrs. Wynn will retain the right to remove or replace any or all of the works of art that will be displayed in the art gallery.</w:t>
      </w:r>
    </w:p>
    <w:p>
      <w:pPr>
        <w:spacing w:after="0" w:line="159" w:lineRule="exact"/>
        <w:rPr>
          <w:sz w:val="20"/>
          <w:szCs w:val="20"/>
          <w:color w:val="auto"/>
        </w:rPr>
      </w:pPr>
    </w:p>
    <w:p>
      <w:pPr>
        <w:ind w:right="2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Aircraft Arrangements. </w:t>
      </w:r>
      <w:r>
        <w:rPr>
          <w:rFonts w:ascii="Arial" w:cs="Arial" w:eastAsia="Arial" w:hAnsi="Arial"/>
          <w:sz w:val="16"/>
          <w:szCs w:val="16"/>
          <w:color w:val="auto"/>
        </w:rPr>
        <w:t>Until January 2002, Valvino used a Gulfstream Aerospace model G-1159A aircraft in its business operations. The aircraft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 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8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From January 2002 until May 30, 2002, Valvino used a Bombardier Global Express aircraft, serial number 9065, in its business operations. The aircraft was owned by World Travel and was leased to and operated in a charter business by Las Vegas Jet. Valvino paid Las Vegas Jet an hourly rate of $2,600 per hour for its use of the aircraft. Las Vegas Jet and World Travel were owned entirely by Mr. Wynn.</w:t>
      </w:r>
    </w:p>
    <w:p>
      <w:pPr>
        <w:spacing w:after="0" w:line="194"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On May 30, 2002, Mr. Wynn sold World Travel and Las Vegas Jet to Valvino for approximately $38.2 million, the amount that World Travel paid for the aircraft. Pursuant to Federal Aviation Administration regulations restricting the registration of aircraft in the United States by entities with substantial foreign, ownership, World Travel transferred legal title to the aircraft to Wells Fargo Bank North 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59"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World Travel continues to lease the aircraft to Las Vegas Jet. Las Vegas Jet operates the aircraft for Wynn Resorts and its subsidiaries under a Part 91 certificate. In connection with</w:t>
      </w:r>
    </w:p>
    <w:p>
      <w:pPr>
        <w:sectPr>
          <w:pgSz w:w="11900" w:h="16838" w:orient="portrait"/>
          <w:cols w:equalWidth="0" w:num="1">
            <w:col w:w="11400"/>
          </w:cols>
          <w:pgMar w:left="240" w:top="131" w:right="259" w:bottom="25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250" w:gutter="0" w:footer="0" w:header="0"/>
          <w:type w:val="continuous"/>
        </w:sectPr>
      </w:pPr>
    </w:p>
    <w:bookmarkStart w:id="79" w:name="page80"/>
    <w:bookmarkEnd w:id="79"/>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of World Travel, approximately $2 million of accounts payable to Valvino from Las Vegas Jet were forgiven.</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Reimbursable Costs. </w:t>
      </w:r>
      <w:r>
        <w:rPr>
          <w:rFonts w:ascii="Arial" w:cs="Arial" w:eastAsia="Arial" w:hAnsi="Arial"/>
          <w:sz w:val="18"/>
          <w:szCs w:val="18"/>
          <w:color w:val="auto"/>
        </w:rPr>
        <w:t>We have periodically incurred costs on Mr. Wynn's behalf, including costs with respect to Mr. Wynn's personal use of the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household employees at Mr. Wynn's residence, personal legal fees, construction work at Mr. Wynn's home and other personal purchases. Mr. Wynn fully reimburses the company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Tax Overpayment. </w:t>
      </w:r>
      <w:r>
        <w:rPr>
          <w:rFonts w:ascii="Arial" w:cs="Arial" w:eastAsia="Arial" w:hAnsi="Arial"/>
          <w:sz w:val="16"/>
          <w:szCs w:val="16"/>
          <w:color w:val="auto"/>
        </w:rPr>
        <w:t>In 2001, Mr. Wynn made a substantial overpayment of his personal estimated 2001 federal income taxes to the Internal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of 2002, the Internal Revenue Service issued a refund for $5,000,000 to Valvino and Valvino reimbursed this sum of money to Mr. Wynn.</w:t>
      </w:r>
    </w:p>
    <w:p>
      <w:pPr>
        <w:spacing w:after="0" w:line="170"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b w:val="1"/>
          <w:bCs w:val="1"/>
          <w:i w:val="1"/>
          <w:iCs w:val="1"/>
          <w:color w:val="auto"/>
        </w:rPr>
        <w:t xml:space="preserve">Tax Indemnification Agreement. </w:t>
      </w:r>
      <w:r>
        <w:rPr>
          <w:rFonts w:ascii="Arial" w:cs="Arial" w:eastAsia="Arial" w:hAnsi="Arial"/>
          <w:sz w:val="15"/>
          <w:szCs w:val="15"/>
          <w:color w:val="auto"/>
        </w:rPr>
        <w:t>Stephen A. Wynn, Aruze USA, Baron Asset Fund, and the Kenneth R. Wynn Family Trust, referred to collectively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Valvino members, Valvino and Wynn Resorts intend to enter into a tax indemnification agreement relating to their respective income tax liabilities. Prior to the 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 into account by it at applicable corporate tax rates. A reallocation of deductions of Valvino from the period prior to the contribution to the period commencing upon the contribution, or a reallocation of income of Wynn Resorts from the period commencing upon the contribution to the period prior to the contribution, would increase the amount of taxable income (or decrease the amount of loss) reported by the Valvino members and decrease the amount of taxable income (or increase the amount of loss) reported by Wynn Resorts. Accordingly, the tax indemnification agreement generally provides that the Valvino members will be indemnified by Wynn Resorts and its subsidiaries for additional tax costs (including interest and penalties) caused by reallocations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7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Capitalization of Valvino. </w:t>
      </w:r>
      <w:r>
        <w:rPr>
          <w:rFonts w:ascii="Arial" w:cs="Arial" w:eastAsia="Arial" w:hAnsi="Arial"/>
          <w:sz w:val="18"/>
          <w:szCs w:val="18"/>
          <w:color w:val="auto"/>
        </w:rPr>
        <w:t>For information regarding the formation of Wynn Resorts and capital contributions to Valvino, the predecessor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"Management's Discussion &amp; Analysis of Financial Condition and Results of Operations—Liquidity and Capital Resources—Material Transactions Affecting Liquidity and Capital Resources."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OWNERSHIP OF CAPITAL STOCK</w:t>
      </w:r>
    </w:p>
    <w:p>
      <w:pPr>
        <w:spacing w:after="0" w:line="23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On June 3, 2002, and in preparation for this offering, Wynn Resorts was incorporated in Nevada. The following table sets forth information regarding beneficial ownership of Wynn Resorts' common stock as of June 12, 2002, after giving effect to the contribution of membership interests in Valvino to Wynn Resorts, by:</w:t>
      </w:r>
    </w:p>
    <w:p>
      <w:pPr>
        <w:spacing w:after="0" w:line="208"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the individuals listed under "Executive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Wynn Resorts'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own beneficially more than 5% of Wynn Resorts'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otherwise indicated in the footnotes below, each beneficial owner has the sole power to vote and to dispose of all shares held by that holder.</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Percentage ownership is based on 40,000,000 shares of common stock outstanding as of 2002 and shares of common stock outstanding after completion of this offering. Unless indicated below, the address of each person or entity listed below beneficially owning more than 5% of Wynn Resorts' common stock is c/o Wynn Resorts, Limited, 3145 Las Vegas Boulevard South, Las Vegas, Nevada 89109.</w:t>
      </w:r>
    </w:p>
    <w:p>
      <w:pPr>
        <w:spacing w:after="0" w:line="249"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87"/>
              </w:rPr>
              <w:t>Beneficial</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3"/>
          </w:tcPr>
          <w:p>
            <w:pPr>
              <w:jc w:val="center"/>
              <w:ind w:left="578"/>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Beneficial Ownership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3"/>
          </w:tcPr>
          <w:p>
            <w:pPr>
              <w:jc w:val="center"/>
              <w:ind w:left="578"/>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left="441"/>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3"/>
          </w:tcPr>
          <w:p>
            <w:pPr>
              <w:jc w:val="center"/>
              <w:ind w:left="578"/>
              <w:spacing w:after="0"/>
              <w:rPr>
                <w:sz w:val="20"/>
                <w:szCs w:val="20"/>
                <w:color w:val="auto"/>
              </w:rPr>
            </w:pPr>
            <w:r>
              <w:rPr>
                <w:rFonts w:ascii="Arial" w:cs="Arial" w:eastAsia="Arial" w:hAnsi="Arial"/>
                <w:sz w:val="14"/>
                <w:szCs w:val="14"/>
                <w:b w:val="1"/>
                <w:bCs w:val="1"/>
                <w:color w:val="auto"/>
                <w:w w:val="87"/>
              </w:rPr>
              <w:t>Before Offering</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w w:val="90"/>
              </w:rPr>
              <w:t>After Offering</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0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3"/>
          </w:tcPr>
          <w:p>
            <w:pPr>
              <w:ind w:left="44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Percent</w:t>
            </w: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Wynn(1)(2)</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18,972,299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47.431%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Aruze USA, Inc.(1)(3)</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18,972,299</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47.431%</w:t>
            </w:r>
          </w:p>
        </w:tc>
        <w:tc>
          <w:tcPr>
            <w:tcW w:w="124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Fund(4)</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1,997,085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1,997,085</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Kazuo Okada(1)(3)</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18,972,299</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47.431%</w:t>
            </w:r>
          </w:p>
        </w:tc>
        <w:tc>
          <w:tcPr>
            <w:tcW w:w="124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R. Wynn(5)</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58,317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58,317</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Marc H. Rubinstein</w:t>
            </w:r>
          </w:p>
        </w:tc>
        <w:tc>
          <w:tcPr>
            <w:tcW w:w="154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-2003425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-2003425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-2003425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-2003425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-1754505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-1754505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-1754505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-1754505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-1754505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-1754505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-1754505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-1754505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-1754505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-1754505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80" w:name="page81"/>
    <w:bookmarkEnd w:id="80"/>
    <w:tbl>
      <w:tblPr>
        <w:tblLayout w:type="fixed"/>
        <w:tblInd w:w="126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DeRuyter O. Butler</w:t>
            </w:r>
          </w:p>
        </w:tc>
        <w:tc>
          <w:tcPr>
            <w:tcW w:w="16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1860" w:type="dxa"/>
            <w:vAlign w:val="bottom"/>
            <w:shd w:val="clear" w:color="auto" w:fill="CCEEFF"/>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All Directors and Executive Officers as a Group(6)</w:t>
            </w:r>
          </w:p>
        </w:tc>
        <w:tc>
          <w:tcPr>
            <w:tcW w:w="1660" w:type="dxa"/>
            <w:vAlign w:val="bottom"/>
          </w:tcPr>
          <w:p>
            <w:pPr>
              <w:jc w:val="right"/>
              <w:ind w:right="212"/>
              <w:spacing w:after="0"/>
              <w:rPr>
                <w:sz w:val="20"/>
                <w:szCs w:val="20"/>
                <w:color w:val="auto"/>
              </w:rPr>
            </w:pPr>
            <w:r>
              <w:rPr>
                <w:rFonts w:ascii="Arial" w:cs="Arial" w:eastAsia="Arial" w:hAnsi="Arial"/>
                <w:sz w:val="18"/>
                <w:szCs w:val="18"/>
                <w:color w:val="auto"/>
              </w:rPr>
              <w:t>38,002,915</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95.008%</w:t>
            </w:r>
          </w:p>
        </w:tc>
        <w:tc>
          <w:tcPr>
            <w:tcW w:w="1860" w:type="dxa"/>
            <w:vAlign w:val="bottom"/>
          </w:tcPr>
          <w:p>
            <w:pPr>
              <w:jc w:val="right"/>
              <w:ind w:right="692"/>
              <w:spacing w:after="0"/>
              <w:rPr>
                <w:sz w:val="20"/>
                <w:szCs w:val="20"/>
                <w:color w:val="auto"/>
              </w:rPr>
            </w:pPr>
            <w:r>
              <w:rPr>
                <w:rFonts w:ascii="Arial" w:cs="Arial" w:eastAsia="Arial" w:hAnsi="Arial"/>
                <w:sz w:val="18"/>
                <w:szCs w:val="18"/>
                <w:color w:val="auto"/>
              </w:rPr>
              <w:t>38,002,915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43307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73" w:lineRule="exact"/>
        <w:rPr>
          <w:sz w:val="20"/>
          <w:szCs w:val="20"/>
          <w:color w:val="auto"/>
        </w:rPr>
      </w:pPr>
    </w:p>
    <w:p>
      <w:pPr>
        <w:ind w:left="540" w:right="400" w:hanging="532"/>
        <w:spacing w:after="0" w:line="214" w:lineRule="auto"/>
        <w:tabs>
          <w:tab w:leader="none" w:pos="540" w:val="left"/>
        </w:tabs>
        <w:numPr>
          <w:ilvl w:val="0"/>
          <w:numId w:val="102"/>
        </w:numPr>
        <w:rPr>
          <w:rFonts w:ascii="Arial" w:cs="Arial" w:eastAsia="Arial" w:hAnsi="Arial"/>
          <w:sz w:val="24"/>
          <w:szCs w:val="24"/>
          <w:color w:val="auto"/>
          <w:vertAlign w:val="subscript"/>
        </w:rPr>
      </w:pPr>
      <w:r>
        <w:rPr>
          <w:rFonts w:ascii="Arial" w:cs="Arial" w:eastAsia="Arial" w:hAnsi="Arial"/>
          <w:sz w:val="12"/>
          <w:szCs w:val="12"/>
          <w:color w:val="auto"/>
        </w:rPr>
        <w:t>Excludes shares which may be deemed to be beneficially owned by virtue of the voting agreement between Stephen A. Wynn and Aruze USA contained in the stockholders agreement between Mr. Wynn, Aruze USA and Baron Asset Fund. Under this voting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See "Certain Relationships and Related Party Transactions—Stockholders Agreement." Mr. Wynn, Aruze and USA Kazuo Okada disclaim beneficial ownership of such shares.</w:t>
      </w:r>
    </w:p>
    <w:p>
      <w:pPr>
        <w:spacing w:after="0" w:line="73" w:lineRule="exact"/>
        <w:rPr>
          <w:rFonts w:ascii="Arial" w:cs="Arial" w:eastAsia="Arial" w:hAnsi="Arial"/>
          <w:sz w:val="24"/>
          <w:szCs w:val="24"/>
          <w:color w:val="auto"/>
          <w:vertAlign w:val="subscript"/>
        </w:rPr>
      </w:pPr>
    </w:p>
    <w:p>
      <w:pPr>
        <w:ind w:left="540" w:right="220" w:hanging="532"/>
        <w:spacing w:after="0" w:line="186" w:lineRule="auto"/>
        <w:tabs>
          <w:tab w:leader="none" w:pos="540" w:val="left"/>
        </w:tabs>
        <w:numPr>
          <w:ilvl w:val="0"/>
          <w:numId w:val="102"/>
        </w:numPr>
        <w:rPr>
          <w:rFonts w:ascii="Arial" w:cs="Arial" w:eastAsia="Arial" w:hAnsi="Arial"/>
          <w:sz w:val="24"/>
          <w:szCs w:val="24"/>
          <w:color w:val="auto"/>
          <w:vertAlign w:val="subscript"/>
        </w:rPr>
      </w:pPr>
      <w:r>
        <w:rPr>
          <w:rFonts w:ascii="Arial" w:cs="Arial" w:eastAsia="Arial" w:hAnsi="Arial"/>
          <w:sz w:val="12"/>
          <w:szCs w:val="12"/>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Arial" w:cs="Arial" w:eastAsia="Arial" w:hAnsi="Arial"/>
          <w:sz w:val="12"/>
          <w:szCs w:val="12"/>
          <w:color w:val="auto"/>
        </w:rPr>
        <w:t>is denied by Nevada gaming authorities or withdrawn or is not filled within 90 days after the filing of Wynn Resorts' application. Mr. Wynn disclaims beneficial ownership of such shares.</w:t>
      </w:r>
    </w:p>
    <w:p>
      <w:pPr>
        <w:spacing w:after="0" w:line="173" w:lineRule="exact"/>
        <w:rPr>
          <w:sz w:val="20"/>
          <w:szCs w:val="20"/>
          <w:color w:val="auto"/>
        </w:rPr>
      </w:pPr>
    </w:p>
    <w:p>
      <w:pPr>
        <w:ind w:left="540" w:right="60" w:hanging="532"/>
        <w:spacing w:after="0" w:line="186" w:lineRule="auto"/>
        <w:tabs>
          <w:tab w:leader="none" w:pos="540" w:val="left"/>
        </w:tabs>
        <w:numPr>
          <w:ilvl w:val="0"/>
          <w:numId w:val="103"/>
        </w:numPr>
        <w:rPr>
          <w:rFonts w:ascii="Arial" w:cs="Arial" w:eastAsia="Arial" w:hAnsi="Arial"/>
          <w:sz w:val="24"/>
          <w:szCs w:val="24"/>
          <w:color w:val="auto"/>
          <w:vertAlign w:val="subscript"/>
        </w:rPr>
      </w:pPr>
      <w:r>
        <w:rPr>
          <w:rFonts w:ascii="Arial" w:cs="Arial" w:eastAsia="Arial" w:hAnsi="Arial"/>
          <w:sz w:val="12"/>
          <w:szCs w:val="12"/>
          <w:color w:val="auto"/>
        </w:rPr>
        <w:t>Aruze USA's address 745 Greier Drive, Las Vegas, Nevada 89119. Aruze USA is a subsidiary of Aruze Corp., of which Mr. Kazuo Okada owns a controlling interest. Each of Aruze USA, Aruze Corp. and Mr. Okada may be deemed to have beneficial ownership of these shares.</w:t>
      </w:r>
    </w:p>
    <w:p>
      <w:pPr>
        <w:ind w:left="540" w:hanging="532"/>
        <w:spacing w:after="0" w:line="198" w:lineRule="auto"/>
        <w:tabs>
          <w:tab w:leader="none" w:pos="540" w:val="left"/>
        </w:tabs>
        <w:numPr>
          <w:ilvl w:val="0"/>
          <w:numId w:val="103"/>
        </w:numPr>
        <w:rPr>
          <w:rFonts w:ascii="Arial" w:cs="Arial" w:eastAsia="Arial" w:hAnsi="Arial"/>
          <w:sz w:val="27"/>
          <w:szCs w:val="27"/>
          <w:color w:val="auto"/>
          <w:vertAlign w:val="subscript"/>
        </w:rPr>
      </w:pPr>
      <w:r>
        <w:rPr>
          <w:rFonts w:ascii="Arial" w:cs="Arial" w:eastAsia="Arial" w:hAnsi="Arial"/>
          <w:sz w:val="14"/>
          <w:szCs w:val="14"/>
          <w:color w:val="auto"/>
        </w:rPr>
        <w:t>Includes 1,459,408 shares, or 3.644%, held on behalf of the Baron Asset Fund Series and 537,677 shares, or 1.348%, held on behalf of the Baron Growth Fund Series.</w:t>
      </w:r>
    </w:p>
    <w:p>
      <w:pPr>
        <w:spacing w:after="0" w:line="40"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03"/>
        </w:numPr>
        <w:rPr>
          <w:rFonts w:ascii="Arial" w:cs="Arial" w:eastAsia="Arial" w:hAnsi="Arial"/>
          <w:sz w:val="23"/>
          <w:szCs w:val="23"/>
          <w:color w:val="auto"/>
          <w:vertAlign w:val="subscript"/>
        </w:rPr>
      </w:pPr>
      <w:r>
        <w:rPr>
          <w:rFonts w:ascii="Arial" w:cs="Arial" w:eastAsia="Arial" w:hAnsi="Arial"/>
          <w:sz w:val="12"/>
          <w:szCs w:val="12"/>
          <w:color w:val="auto"/>
        </w:rPr>
        <w:t>These shares are held by the Kenneth R. Wynn Family Trust. Kenneth Wynn may be deemed to have beneficial ownership of these shares.</w:t>
      </w:r>
    </w:p>
    <w:p>
      <w:pPr>
        <w:spacing w:after="0" w:line="71" w:lineRule="exact"/>
        <w:rPr>
          <w:rFonts w:ascii="Arial" w:cs="Arial" w:eastAsia="Arial" w:hAnsi="Arial"/>
          <w:sz w:val="23"/>
          <w:szCs w:val="23"/>
          <w:color w:val="auto"/>
          <w:vertAlign w:val="subscript"/>
        </w:rPr>
      </w:pPr>
    </w:p>
    <w:p>
      <w:pPr>
        <w:ind w:left="540" w:right="240" w:hanging="532"/>
        <w:spacing w:after="0" w:line="186" w:lineRule="auto"/>
        <w:tabs>
          <w:tab w:leader="none" w:pos="540" w:val="left"/>
        </w:tabs>
        <w:numPr>
          <w:ilvl w:val="0"/>
          <w:numId w:val="103"/>
        </w:numPr>
        <w:rPr>
          <w:rFonts w:ascii="Arial" w:cs="Arial" w:eastAsia="Arial" w:hAnsi="Arial"/>
          <w:sz w:val="24"/>
          <w:szCs w:val="24"/>
          <w:color w:val="auto"/>
          <w:vertAlign w:val="subscript"/>
        </w:rPr>
      </w:pPr>
      <w:r>
        <w:rPr>
          <w:rFonts w:ascii="Arial" w:cs="Arial" w:eastAsia="Arial" w:hAnsi="Arial"/>
          <w:sz w:val="12"/>
          <w:szCs w:val="12"/>
          <w:color w:val="auto"/>
        </w:rPr>
        <w:t>Includes shares held by Stephen A. Wynn, shares held by Aruze USA of which Kazuo Okada may be deemed to have beneficial ownership and shares held by the Kenneth R. Wynn Family Trust of which Kenneth Wynn may be deemed to have beneficial ownership.</w:t>
      </w:r>
    </w:p>
    <w:p>
      <w:pPr>
        <w:spacing w:after="0" w:line="195" w:lineRule="exact"/>
        <w:rPr>
          <w:sz w:val="20"/>
          <w:szCs w:val="20"/>
          <w:color w:val="auto"/>
        </w:rPr>
      </w:pPr>
    </w:p>
    <w:p>
      <w:pPr>
        <w:jc w:val="both"/>
        <w:ind w:right="22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Additional Stock Grants. </w:t>
      </w:r>
      <w:r>
        <w:rPr>
          <w:rFonts w:ascii="Arial" w:cs="Arial" w:eastAsia="Arial" w:hAnsi="Arial"/>
          <w:sz w:val="16"/>
          <w:szCs w:val="16"/>
          <w:color w:val="auto"/>
        </w:rPr>
        <w:t>Upon the completion of the offering, we intend to grant awards of shares of restricted stock under our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plan to each of the following employees: DeRuyter O. Butler, William Todd Nisbet, Marc D. Schorr, John Strzemp, Roger P. Thomas and Kenneth R.</w:t>
      </w:r>
    </w:p>
    <w:p>
      <w:pPr>
        <w:jc w:val="both"/>
        <w:ind w:right="220"/>
        <w:spacing w:after="0" w:line="302" w:lineRule="auto"/>
        <w:rPr>
          <w:sz w:val="20"/>
          <w:szCs w:val="20"/>
          <w:color w:val="auto"/>
        </w:rPr>
      </w:pPr>
      <w:r>
        <w:rPr>
          <w:rFonts w:ascii="Arial" w:cs="Arial" w:eastAsia="Arial" w:hAnsi="Arial"/>
          <w:sz w:val="16"/>
          <w:szCs w:val="16"/>
          <w:color w:val="auto"/>
        </w:rPr>
        <w:t>Wynn. We also intend to grant an award of shares of restricted stock outside of the 2002 stock incentive plan to Franco Dragone, the creator of our new entertainment production. The restricted stock will be subject to our repurchase right, which will lapse in November 2004 as to Mr. Strzemp, in June 2005 as to Mr. Schorr and Kenneth R. Wynn, in June 2006 as to Mr. Butler, Mr. Thomas and Mr. Dragone and in July 2006 as to Mr. Nisbet.</w:t>
      </w:r>
    </w:p>
    <w:p>
      <w:pPr>
        <w:spacing w:after="0" w:line="163"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Mr. Wynn and Aruze USA, together with Baron Asset Fund, have entered into a stockholders agreement. The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may control Wynn Resorts' board of directors. In addition, Mr. Wynn and Aruze USA, to the extent they vote their shares in a similar manner, effectively will be able to control, as a practical matter, all matters requiring Wynn Resorts' stockholders' approval, including the approval of significant corporate transactions. The stockholders agreement will continue to be in effect after the completion of this offering. See "Certain Relationships and Related Party Transactions— Stockholders Agreement."</w:t>
      </w:r>
    </w:p>
    <w:p>
      <w:pPr>
        <w:spacing w:after="0" w:line="17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Buy-Out of Aruze USA Stock. </w:t>
      </w:r>
      <w:r>
        <w:rPr>
          <w:rFonts w:ascii="Arial" w:cs="Arial" w:eastAsia="Arial" w:hAnsi="Arial"/>
          <w:sz w:val="16"/>
          <w:szCs w:val="16"/>
          <w:color w:val="auto"/>
        </w:rPr>
        <w:t>Mr. Wynn, Kazuo Okada, Aruze USA, Aruze Corp. and Wynn Resorts have entered into arrangements which provide that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"Risk Factors—General Risks Associated with Our Business—Le Rêve and Wynn Macau's casino(s) will be subject to extensive state and local regulation and licensing and gaming authorities have significant control over their operations, which could have a negative effect on our business" and "— The Nevada Gaming Commission may impose unanticipated requirements regarding the licensing of owners of Wynn Resorts."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tabs>
          <w:tab w:leader="none" w:pos="5620" w:val="left"/>
          <w:tab w:leader="none" w:pos="8140" w:val="left"/>
        </w:tabs>
        <w:rPr>
          <w:sz w:val="20"/>
          <w:szCs w:val="20"/>
          <w:color w:val="auto"/>
        </w:rPr>
      </w:pPr>
      <w:r>
        <w:rPr>
          <w:rFonts w:ascii="Arial" w:cs="Arial" w:eastAsia="Arial" w:hAnsi="Arial"/>
          <w:sz w:val="18"/>
          <w:szCs w:val="18"/>
          <w:color w:val="auto"/>
        </w:rPr>
        <w:t>Upon the completion of this offering, we will be authorized to issue</w:t>
      </w:r>
      <w:r>
        <w:rPr>
          <w:sz w:val="20"/>
          <w:szCs w:val="20"/>
          <w:color w:val="auto"/>
        </w:rPr>
        <w:tab/>
      </w:r>
      <w:r>
        <w:rPr>
          <w:rFonts w:ascii="Arial" w:cs="Arial" w:eastAsia="Arial" w:hAnsi="Arial"/>
          <w:sz w:val="18"/>
          <w:szCs w:val="18"/>
          <w:color w:val="auto"/>
        </w:rPr>
        <w:t>shares of common stock and</w:t>
      </w:r>
      <w:r>
        <w:rPr>
          <w:sz w:val="20"/>
          <w:szCs w:val="20"/>
          <w:color w:val="auto"/>
        </w:rPr>
        <w:tab/>
      </w:r>
      <w:r>
        <w:rPr>
          <w:rFonts w:ascii="Arial" w:cs="Arial" w:eastAsia="Arial" w:hAnsi="Arial"/>
          <w:sz w:val="15"/>
          <w:szCs w:val="15"/>
          <w:color w:val="auto"/>
        </w:rPr>
        <w:t>shares of undesignated preferred stock,</w:t>
      </w:r>
    </w:p>
    <w:p>
      <w:pPr>
        <w:spacing w:after="0" w:line="15" w:lineRule="exact"/>
        <w:rPr>
          <w:sz w:val="20"/>
          <w:szCs w:val="20"/>
          <w:color w:val="auto"/>
        </w:rPr>
      </w:pPr>
    </w:p>
    <w:p>
      <w:pPr>
        <w:ind w:right="20" w:firstLine="8"/>
        <w:spacing w:after="0" w:line="254" w:lineRule="auto"/>
        <w:tabs>
          <w:tab w:leader="none" w:pos="6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 The following description gives effect to the amendment and restatement of our articles of incorporation and bylaws to be effected immediately before the closing of this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100" w:firstLine="341"/>
        <w:spacing w:after="0" w:line="288" w:lineRule="auto"/>
        <w:rPr>
          <w:sz w:val="20"/>
          <w:szCs w:val="20"/>
          <w:color w:val="auto"/>
        </w:rPr>
      </w:pPr>
      <w:r>
        <w:rPr>
          <w:rFonts w:ascii="Arial" w:cs="Arial" w:eastAsia="Arial" w:hAnsi="Arial"/>
          <w:sz w:val="16"/>
          <w:szCs w:val="16"/>
          <w:color w:val="auto"/>
        </w:rPr>
        <w:t>As of , 2002, there were shares of common stock outstanding, which were held of record by approximately stockholders. 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ectPr>
          <w:pgSz w:w="11900" w:h="16838" w:orient="portrait"/>
          <w:cols w:equalWidth="0" w:num="1">
            <w:col w:w="11420"/>
          </w:cols>
          <w:pgMar w:left="240" w:top="140" w:right="239" w:bottom="0" w:gutter="0" w:footer="0" w:header="0"/>
        </w:sectPr>
      </w:pPr>
    </w:p>
    <w:bookmarkStart w:id="81" w:name="page82"/>
    <w:bookmarkEnd w:id="81"/>
    <w:p>
      <w:pPr>
        <w:ind w:right="60" w:firstLine="348"/>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0"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238" w:lineRule="exact"/>
        <w:rPr>
          <w:rFonts w:ascii="Arial" w:cs="Arial" w:eastAsia="Arial" w:hAnsi="Arial"/>
          <w:sz w:val="18"/>
          <w:szCs w:val="18"/>
          <w:color w:val="auto"/>
        </w:rPr>
      </w:pPr>
    </w:p>
    <w:p>
      <w:pPr>
        <w:ind w:left="5580" w:right="3900" w:hanging="5032"/>
        <w:spacing w:after="0" w:line="519" w:lineRule="auto"/>
        <w:tabs>
          <w:tab w:leader="none" w:pos="108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 and Prohibitions on the Receipt of Dividends, the Exercise of Voting or Other Rights or the Receipt of Other Remuneration</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articles of incorporation of Wynn Resorts will prohibit anyone who is an unsuitable person or an affiliate of an unsuitable person from:</w:t>
      </w:r>
    </w:p>
    <w:p>
      <w:pPr>
        <w:spacing w:after="0" w:line="252"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exercising voting or other rights conferred by its capital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that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"Gaming authorities" include all international, foreign, federal state, local and other regulatory and licensing bodies and agencies with authority over gaming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define "ownership" or "control" to mean ownership of record, beneficial ownership as defined in Rule 13d-3 of the Securities and Exchange Commission or the power to direct and manage, by agreement, contract, agency or other manner, the management or policies of a person or the disposition of our capital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Wynn Resorts' articles of incorporation will provide that capital stock, securities of or interests in Wynn Resorts that are owned or controlled by an unsuitable person or an affiliate of an unsuitable person are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asked prices, as quoted by any other generally recognized reporting system. The redemption price may be paid in cash, by promissory note, or both, as required by the applicable gaming authority and, if not, as Wynn Resorts elects.</w:t>
      </w:r>
    </w:p>
    <w:p>
      <w:pPr>
        <w:spacing w:after="0" w:line="186"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articles of incorporation of Wynn Resorts will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252"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ectPr>
          <w:pgSz w:w="11900" w:h="16838" w:orient="portrait"/>
          <w:cols w:equalWidth="0" w:num="1">
            <w:col w:w="11380"/>
          </w:cols>
          <w:pgMar w:left="240" w:top="131" w:right="279" w:bottom="0" w:gutter="0" w:footer="0" w:header="0"/>
        </w:sectPr>
      </w:pPr>
    </w:p>
    <w:bookmarkStart w:id="82" w:name="page83"/>
    <w:bookmarkEnd w:id="82"/>
    <w:p>
      <w:pPr>
        <w:ind w:right="60" w:firstLine="348"/>
        <w:spacing w:after="0" w:line="268" w:lineRule="auto"/>
        <w:rPr>
          <w:sz w:val="20"/>
          <w:szCs w:val="20"/>
          <w:color w:val="auto"/>
        </w:rPr>
      </w:pPr>
      <w:r>
        <w:rPr>
          <w:rFonts w:ascii="Arial" w:cs="Arial" w:eastAsia="Arial" w:hAnsi="Arial"/>
          <w:sz w:val="18"/>
          <w:szCs w:val="18"/>
          <w:color w:val="auto"/>
        </w:rPr>
        <w:t>These provisions, summarized below, are expected to discourage certain types of coercive takeover practices and inadequate takeover bids. These provisions are also designed to encourage persons seeking to acquire control of us to first negotiate with our board of directors.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Classified Board of Directors</w:t>
      </w:r>
      <w:r>
        <w:rPr>
          <w:rFonts w:ascii="Arial" w:cs="Arial" w:eastAsia="Arial" w:hAnsi="Arial"/>
          <w:sz w:val="18"/>
          <w:szCs w:val="18"/>
          <w:color w:val="auto"/>
        </w:rPr>
        <w:t>. Wynn Resorts' articles of incorporation and bylaws will provide for its board of directors to be divided into three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serving staggered three-year terms, with one-third of the board of directors being elected each year. As a result, at least two annual meetings of stockholder may be necessary to change a majority of the directors.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will provide that subject to the rights, if any, of the holders of the preferred stock, only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 chairman of the board of directors, the chief executive officer or the president may call special meetings of stockholders.</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will establish advance notice procedures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stockholder proposals and the nomination of candidates for election as directors, other than nominations made by or at the direction of the board of directors or a committee of the board of directors.</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will provide that stockholders may only take action at an annual or</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meeting of stockholders and may not act by written consent.</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Nevada Control Share Laws. </w:t>
      </w:r>
      <w:r>
        <w:rPr>
          <w:rFonts w:ascii="Arial" w:cs="Arial" w:eastAsia="Arial" w:hAnsi="Arial"/>
          <w:sz w:val="18"/>
          <w:szCs w:val="18"/>
          <w:color w:val="auto"/>
        </w:rPr>
        <w:t>Following the closing of this offering, Wynn Resorts may become subject to Nevada's laws which govern the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 "controlling interest" of "issuing 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 voting rights and the acquiring person has acquired at least a majority of all of the voting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power, any stockholder of record who has not voted in favor of authorizing voting rights for the control shares is entitled to demand payment for the fair value of its shares.</w:t>
      </w:r>
    </w:p>
    <w:p>
      <w:pPr>
        <w:spacing w:after="0" w:line="186"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9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13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Nevada Regulatory Approvals. </w:t>
      </w:r>
      <w:r>
        <w:rPr>
          <w:rFonts w:ascii="Arial" w:cs="Arial" w:eastAsia="Arial" w:hAnsi="Arial"/>
          <w:sz w:val="16"/>
          <w:szCs w:val="16"/>
          <w:color w:val="auto"/>
        </w:rPr>
        <w:t>Once Wynn Resorts becomes a registered company under Nevada's gaming laws, it will be required to obtain the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Nevada Gaming Commission with respect to a change in control. In addition, persons seeking to acquire control will be required to meet the requirements of the Nevada gaming authorities before assuming control. Because Desert Inn Improvement Co., an indirect subsidiary of Wynn Resorts, is a public utility under Nevada law, the approval of the Public Utilities Commission of Nevada may be required before any change in the ownership structure of Wynn Resorts. These requirements may have the effect of preventing, delaying or making an acquisition of Wynn Resorts more difficult. See "Regulation and Licensing."</w:t>
      </w:r>
    </w:p>
    <w:p>
      <w:pPr>
        <w:spacing w:after="0" w:line="170"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i w:val="1"/>
          <w:iCs w:val="1"/>
          <w:color w:val="auto"/>
        </w:rPr>
        <w:t>No Cumulative Voting.</w:t>
      </w:r>
      <w:r>
        <w:rPr>
          <w:sz w:val="20"/>
          <w:szCs w:val="20"/>
          <w:color w:val="auto"/>
        </w:rPr>
        <w:tab/>
      </w:r>
      <w:r>
        <w:rPr>
          <w:rFonts w:ascii="Arial" w:cs="Arial" w:eastAsia="Arial" w:hAnsi="Arial"/>
          <w:sz w:val="16"/>
          <w:szCs w:val="16"/>
          <w:color w:val="auto"/>
        </w:rPr>
        <w:t>Our articles of incorporation and bylaws will not provide for cumulative voting in the election of directors.</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i w:val="1"/>
          <w:iCs w:val="1"/>
          <w:color w:val="auto"/>
        </w:rPr>
        <w:t xml:space="preserve">Super-Majority Vote Requirement. </w:t>
      </w:r>
      <w:r>
        <w:rPr>
          <w:rFonts w:ascii="Arial" w:cs="Arial" w:eastAsia="Arial" w:hAnsi="Arial"/>
          <w:sz w:val="16"/>
          <w:szCs w:val="16"/>
          <w:color w:val="auto"/>
        </w:rPr>
        <w:t>Wynn Resorts' articles of incorporation will require a super-majority stockholders vote to approve any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conversion or exchange to which Wynn Resorts is a party and which requires stockholder approval under the Nevada Revised Statutes and for any sale, lease or exchange by Wynn Resorts of all of its property pursuant to Nevada Revised Statutes 78.565 unless the fact or event shall have occurred.</w:t>
      </w:r>
    </w:p>
    <w:p>
      <w:pPr>
        <w:spacing w:after="0" w:line="16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the common stock will be Wells Fargo Bank Minnesota, National Association.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filed an application to have our common stock approved for quotation on The Nasdaq National Market under the symbol "WYNN."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CERTAIN INDEBTEDNESS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following discussion summarizes the material terms of certain material agreements to which certain of our subsidiaries will be parties. However, this summary is qualified in its entirety by reference to the relevant agreements described herein. References to the "restricted entities" in this prospectus mean Wynn Golf Course, Wynn Las Vegas, Wynn Capital, Wynn Design &amp; Development, World Travel, Las Vegas Jet, Desert Inn Water Company, Desert Inn Improvement Company and Palo, LLC. References to the "guarantors" in this prospectus mean Valvino and the restricted entities.</w:t>
      </w:r>
    </w:p>
    <w:p>
      <w:pPr>
        <w:sectPr>
          <w:pgSz w:w="11900" w:h="16838" w:orient="portrait"/>
          <w:cols w:equalWidth="0" w:num="1">
            <w:col w:w="11420"/>
          </w:cols>
          <w:pgMar w:left="240" w:top="131" w:right="239" w:bottom="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indirect subsidiary, Wynn Las Vegas, will enter into credit facilities with a syndicate of lenders and Deutsche Bank Trust Company Americas, as sole administrative agent, Bank of America, N.A., as sole syndication agent, and Bear Stearns Corporate Lending, Inc., as documentation agent, as follows:</w:t>
      </w:r>
    </w:p>
    <w:p>
      <w:pPr>
        <w:spacing w:after="0" w:line="153" w:lineRule="exact"/>
        <w:rPr>
          <w:sz w:val="20"/>
          <w:szCs w:val="20"/>
          <w:color w:val="auto"/>
        </w:rPr>
      </w:pPr>
    </w:p>
    <w:p>
      <w:pPr>
        <w:ind w:left="1080" w:right="8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$750 million senior secured revolving facility under which we can borrow for a period of six years beginning on the closing date. The 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221"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$250 million delay draw senior secured term loan facility under which we can borrow for a period of two years beginning on the closing date. The delay draw term loan facility will mature seven years after the closing date, and will require quarterly principal payments, scheduled to begin after Le Rêve opens.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When borrowings outstanding under our revolving facility equal or exceed $200 million, the lenders' agent will have the right to convert $100 to</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$400 million of the amounts outstanding under our revolving loan to term loans, on the same terms and conditions as those made under our delay draw term loan facility. The commitments of the lenders to make revolving loans to us will be permanently reduced by the amount of any revolving loans that are converted to term loans, and the outstanding loans under our delay draw term loan facility will be correspondingly increased.</w:t>
      </w:r>
    </w:p>
    <w:p>
      <w:pPr>
        <w:spacing w:after="0" w:line="163"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will use the proceeds of the credit facilities to finance development and construction of Le Rêve and to meet our pre-opening expenses and debt service obligations. After Le Rêve opens, the restricted entities may use any remaining revolving credit availability for operating expenses and other general corporate purposes.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borrowed under the credit facilities will bear interest, as follows:</w:t>
      </w:r>
    </w:p>
    <w:p>
      <w:pPr>
        <w:spacing w:after="0" w:line="239" w:lineRule="exact"/>
        <w:rPr>
          <w:sz w:val="20"/>
          <w:szCs w:val="20"/>
          <w:color w:val="auto"/>
        </w:rPr>
      </w:pPr>
    </w:p>
    <w:p>
      <w:pPr>
        <w:ind w:left="1080" w:right="24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before Le Rêve opens, our borrowings will bear interest at Wynn Las Vegas' election, at either (i) the prime rate plus a margin still to be determined for both revolving loans and term loans or (ii) the reserve adjusted Eurodollar Rate plus 4.00% per annum for revolving leans or the reserve adjusted Euro dollar rate plus 4.25% per annum for term lans; and</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after Le Rêve opens, the interest rate will be the prime rate or reserve adjusted Eurodollar Rate, as Wynn Las Vegas elects, plus, in either case, a margin based on our leverage ratio.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39"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Until Le Rêve opens, Wynn Las Vegas will pay, quarterly in arrears, 2.00% per annum on unborrowed availability under our revolving credit facility. The amount Wynn Las Vegas will pay will be calculated on the daily average of the unborrowed availability under the revolving credit facility.</w:t>
      </w:r>
    </w:p>
    <w:p>
      <w:pPr>
        <w:spacing w:after="0" w:line="139"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After Le Rêve opens, the annual fee Wynn Las Vegas will be required to pay for unborrowed amounts, if any, under our revolving credit facility will be determined by a grid based on our leverage ratio. For unborrowed amounts under our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our delay draw term loan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 special purpose subsidiary of Wynn Las Vegas, formed with the intention of being bankruptcy-remote,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defualt under our credit facilities or the indenture governing the second mortgage notes, the lenders under our credit facilities or, if no amounts are outstanding under our credit facilities, the holders of the second mortgage notes, will be permitted to exercise remedies against such sums and apply such sums against the obligations under their respective documents. Upon the completion and opening of Le Rêve, any amounts remaining in this account will be released to Wynn Resorts.</w:t>
      </w:r>
    </w:p>
    <w:p>
      <w:pPr>
        <w:spacing w:after="0" w:line="18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the credit facilities, Wynn Las Vegas, its subsidiaries and certain of its affiliates will be considered restricted entities and will guarantee the obligations of Wynn Las Vegas under the credit facilities. In the event that Wynn Resorts provides guarantees of other specified indebtedness prior to meeting a prescribed leverage ratio and debt rating test, then Wynn Resorts will also be required to guarantee the credit facilities and the second mortgage notes, subject to certain limited exceptions. The obligations of each guarantor under its guarantee will be limited as necessary to reduce the risk that the guarantee would be treated as a fraudulent conveyance under applicable law. Each guarantee of the obligations under the credit facilities will be a senior secured obligation of each guarantor, secured by a security interest in certain of the guarantors' existing and future assets, and will rank pari passu in right of payment with any existing and future senior indebtedness of the guarantors. In addition, each guarantee will rank senior in right of payment to all of the existing and future subordinated indebtedness of each guarantor.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Security</w:t>
      </w:r>
    </w:p>
    <w:p>
      <w:pPr>
        <w:sectPr>
          <w:pgSz w:w="11900" w:h="16838" w:orient="portrait"/>
          <w:cols w:equalWidth="0" w:num="1">
            <w:col w:w="11420"/>
          </w:cols>
          <w:pgMar w:left="240" w:top="125" w:right="239" w:bottom="0" w:gutter="0" w:footer="0" w:header="0"/>
          <w:type w:val="continuous"/>
        </w:sectPr>
      </w:pPr>
    </w:p>
    <w:bookmarkStart w:id="84" w:name="page85"/>
    <w:bookmarkEnd w:id="84"/>
    <w:p>
      <w:pPr>
        <w:ind w:right="20" w:firstLine="351"/>
        <w:spacing w:after="0" w:line="268" w:lineRule="auto"/>
        <w:rPr>
          <w:sz w:val="20"/>
          <w:szCs w:val="20"/>
          <w:color w:val="auto"/>
        </w:rPr>
      </w:pPr>
      <w:r>
        <w:rPr>
          <w:rFonts w:ascii="Arial" w:cs="Arial" w:eastAsia="Arial" w:hAnsi="Arial"/>
          <w:sz w:val="18"/>
          <w:szCs w:val="18"/>
          <w:color w:val="auto"/>
        </w:rPr>
        <w:t>Subject to certain exceptions, compliance with all applicable laws, including gaming laws and regulations, and obtaining any necessary regulatory approvals, our subsidiaries' obligations under the credit facilities will be secured (subject to permitted liens) by:</w:t>
      </w:r>
    </w:p>
    <w:p>
      <w:pPr>
        <w:spacing w:after="0" w:line="199" w:lineRule="exact"/>
        <w:rPr>
          <w:sz w:val="20"/>
          <w:szCs w:val="20"/>
          <w:color w:val="auto"/>
        </w:rPr>
      </w:pPr>
    </w:p>
    <w:p>
      <w:pPr>
        <w:ind w:left="1080" w:hanging="532"/>
        <w:spacing w:after="0" w:line="288"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first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the credit facilities or the indenture governing the second mortgage notes, the lenders under the credit facilities or, if no amount are outstanding under the credit facilities, the second mortgage note holders, will be permitted to exercise remedies against such sums and apply such sums against the obligations under their respective documents. After Wynn Las Vegas and its restricted subsidiaries have met earnings before interest, taxes, depreciation and amortization targets for a period of four full consecutive fiscal quarters after Le Rêve opens, any remaining amounts in the liquidity reserve account will be used to reduce the outstanding balance on the revolving credit facility but without reducing the revolving credit facility commitment;</w:t>
      </w:r>
    </w:p>
    <w:p>
      <w:pPr>
        <w:spacing w:after="0" w:line="200" w:lineRule="exact"/>
        <w:rPr>
          <w:rFonts w:ascii="Arial" w:cs="Arial" w:eastAsia="Arial" w:hAnsi="Arial"/>
          <w:sz w:val="16"/>
          <w:szCs w:val="16"/>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first priority pledge of all equity interests in the restricted entities to the extent permitted by applicable law;</w:t>
      </w:r>
    </w:p>
    <w:p>
      <w:pPr>
        <w:spacing w:after="0" w:line="238" w:lineRule="exact"/>
        <w:rPr>
          <w:rFonts w:ascii="Arial" w:cs="Arial" w:eastAsia="Arial" w:hAnsi="Arial"/>
          <w:sz w:val="18"/>
          <w:szCs w:val="18"/>
          <w:color w:val="auto"/>
        </w:rPr>
      </w:pPr>
    </w:p>
    <w:p>
      <w:pPr>
        <w:ind w:left="1080" w:right="120" w:hanging="532"/>
        <w:spacing w:after="0" w:line="255"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210"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first priority security interest in substantially all of the other existing and future assets of Wynn Las Vegas and the restricted entities other than the collateral securing the FF&amp;E facility, subject to certain exceptions;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second priority interest on the furniture, fixtures and equipment securing the FF&amp;E facility, excluding the aircraft.</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credit facilities may be secured by liens of equal priority on the same Wynn Resorts' assets. The security interests in these assets may be released if certain tests are met.</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Wynn Las Vegas' obligations under the credit facilities will also be secured by second priority security interests on the furniture, fixtures and equipment financed with the FF&amp;E facility. See "—FF&amp;E Facility." Wynn Las Vegas' obligations under the credit facilities will not be secured by any interest in the secured account holding the proceeds of the second mortgage notes.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Prepayments</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Wynn Las Vegas will be required to make mandatory prepayments of indebtedness under the credit facilities from specified percentages, ranging from a specified percentage (not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exceed 50%) of capital contributions resulting from parent company equity issuances (except to pre-initial public offering members of Valvino) to 100% for asset sale and condemnation proceeds, of the net cash proceeds of equity offerings, debt offerings (other than those constituting permitted debt) and, subject to a reinvestment period, asset sale and insurance or condemnation proceeds received by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restricted entities will be required to comply with negative and affirmative covenants, including, without limitation, limitations on:</w:t>
      </w:r>
    </w:p>
    <w:p>
      <w:pPr>
        <w:spacing w:after="0" w:line="23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negative pledges;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leases;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scope changes and modifications to material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sales of assets; and</w:t>
      </w:r>
    </w:p>
    <w:p>
      <w:pPr>
        <w:sectPr>
          <w:pgSz w:w="11900" w:h="16838" w:orient="portrait"/>
          <w:cols w:equalWidth="0" w:num="1">
            <w:col w:w="11420"/>
          </w:cols>
          <w:pgMar w:left="240" w:top="131" w:right="239" w:bottom="0" w:gutter="0" w:footer="0" w:header="0"/>
        </w:sectPr>
      </w:pPr>
    </w:p>
    <w:bookmarkStart w:id="85" w:name="page86"/>
    <w:bookmarkEnd w:id="85"/>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restricted entities will be required to comply with certain financial ratios and other financial covenants such as:</w:t>
      </w:r>
    </w:p>
    <w:p>
      <w:pPr>
        <w:spacing w:after="0" w:line="252"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minimum fixed charge coverage;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minimum earnings before interest, taxes, depreciation and amortization;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total debt to earnings before interest, taxes, depreciation and amortization;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minimum net worth.</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Availability of Funds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(subject to force majeure extension), loss of material contracts, noncompliance with covenants, material breaches of representations and warranties, bankruptcy, judgments in excess of specified amounts, ERISA, impairment of security interests in collateral, change of control and, prior to final completion of Le Rêve, specified events under the disbursement agreement, subject in some cases to applicable notice provisions and grace periods. See "— Disbursement Agreement." Events of default will apply to the restricted entities and, in some cases, to Valvino and Wynn Resorts.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Mortgage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Las Vegas and Wynn Capital, referred to as the issuers, will enter into an indenture among themselves and certain restricted entities</w:t>
      </w:r>
    </w:p>
    <w:p>
      <w:pPr>
        <w:spacing w:after="0" w:line="1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and , as trustee, pursuant to which the issuers will issue second mortgage notes with an aggregate principal amount of $350 million. The second mortgage notes will:</w:t>
      </w:r>
    </w:p>
    <w:p>
      <w:pPr>
        <w:spacing w:after="0" w:line="205"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be general obligations of the issuers;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be secured by a security interest in certain of the existing and future assets of Valvino, the issuers and certain other restricted entities and, in certain limited circumstances, may be secured by a security interest in certain of the existing and future assets of Wynn Resorts;</w:t>
      </w:r>
    </w:p>
    <w:p>
      <w:pPr>
        <w:spacing w:after="0" w:line="166" w:lineRule="exact"/>
        <w:rPr>
          <w:rFonts w:ascii="Arial" w:cs="Arial" w:eastAsia="Arial" w:hAnsi="Arial"/>
          <w:sz w:val="16"/>
          <w:szCs w:val="16"/>
          <w:color w:val="auto"/>
        </w:rPr>
      </w:pPr>
    </w:p>
    <w:p>
      <w:pPr>
        <w:jc w:val="both"/>
        <w:ind w:left="1080" w:right="320" w:hanging="532"/>
        <w:spacing w:after="0" w:line="298"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rank equal in right of payment to all of the issuers' existing and future senior indebtedness, including borrowings under the credit facilities and FF&amp;E facility, but will be effectively subordinated to such indebtedness to the extent that senior lenders, including the lenders under the credit facilities and FF&amp;E facility, have security interests in assets that rank prior the security interests securing the second mortgage notes and to the extent of the restrictions on payment and exercise of remedies contained in the intercreditor agreements;</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rank senior in right of payment to all of the issuers' existing and future subordinated indebtedness;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be unconditionally guaranteed by the guarantors, which may, in certain limited circumstances, include Wynn Resorts. See "—Guarantees."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second mortgage notes will bear interest at a rate that will be established at the time of pricing of the second mortgage notes, which pricing is expected</w:t>
      </w:r>
    </w:p>
    <w:p>
      <w:pPr>
        <w:spacing w:after="0" w:line="38"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to occur concurrently with the pricing of the equity offering. Interest will be payable semi-annually in arrears on and , commencing on , 2003. The issuers will make each interest payment to the holders of record of the second mortgage notes on the immediately preceding and .</w:t>
      </w:r>
    </w:p>
    <w:p>
      <w:pPr>
        <w:spacing w:after="0" w:line="19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40" w:firstLine="341"/>
        <w:spacing w:after="0" w:line="310" w:lineRule="auto"/>
        <w:rPr>
          <w:sz w:val="20"/>
          <w:szCs w:val="20"/>
          <w:color w:val="auto"/>
        </w:rPr>
      </w:pPr>
      <w:r>
        <w:rPr>
          <w:rFonts w:ascii="Arial" w:cs="Arial" w:eastAsia="Arial" w:hAnsi="Arial"/>
          <w:sz w:val="15"/>
          <w:szCs w:val="15"/>
          <w:color w:val="auto"/>
        </w:rPr>
        <w:t>A special purpose subsidiary of Wynn Las Vegas, formed with the intention of being bankruptcy-remote,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w:t>
      </w:r>
    </w:p>
    <w:p>
      <w:pPr>
        <w:sectPr>
          <w:pgSz w:w="11900" w:h="16838" w:orient="portrait"/>
          <w:cols w:equalWidth="0" w:num="1">
            <w:col w:w="11420"/>
          </w:cols>
          <w:pgMar w:left="240" w:top="145" w:right="239" w:bottom="0" w:gutter="0" w:footer="0" w:header="0"/>
        </w:sectPr>
      </w:pPr>
    </w:p>
    <w:bookmarkStart w:id="86" w:name="page87"/>
    <w:bookmarkEnd w:id="86"/>
    <w:p>
      <w:pPr>
        <w:spacing w:after="0" w:line="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amounts are outstanding under the credit facilities, the holders of the second mortgage notes, will be permitted to exercise remedies against such sums and apply such sums against the obligations under their respective documents. Upon the completion and opening of Le Rêve, any amounts remaining in this account will be released to Wynn Resorts.</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obligations of Wynn Las Vegas under the second mortgage notes will also be jointly and severally guaranteed by the other restricted entities. In the event that Wynn Resorts incurs indebtedness or provides guarantees of other specified indebtedness prior to meeting a prescribed leverage ratio and debt rating test, then Wynn Resorts will also be required to guarantee the second mortgage notes, subject to certain limited exceptions. The Wynn Resorts guarantee may be released if certain tests are met. The obligations of each guarantor under its guarantee will be limited as necessary to reduce the risk that the guarantee would be treated as a fraudulent conveyance under applicable law. Each guarantee of the notes will be a senior secured obligation of each guarantor, secured by a second priority security interest in certain of the guarantors' existing and future assets, and will rank equally in right of payment with any existing and future senior indebtedness of the guarantors, but will be effectively subordinated to such indebtedness to the extent that senior lenders, including the lenders under the credit facilities and the FF&amp;E facility, have security interests in assets that rank prior the security interests securing the second mortgage notes. In addition, each guarantee will rank senior in right of payment to all of the existing and future subordinated indebtedness of each guarantor.</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permitted liens and applicable law, the second mortgage notes will be secured by, among other things:</w:t>
      </w:r>
    </w:p>
    <w:p>
      <w:pPr>
        <w:spacing w:after="0" w:line="239" w:lineRule="exact"/>
        <w:rPr>
          <w:sz w:val="20"/>
          <w:szCs w:val="20"/>
          <w:color w:val="auto"/>
        </w:rPr>
      </w:pPr>
    </w:p>
    <w:p>
      <w:pPr>
        <w:ind w:left="1080" w:right="50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first priority, exclusive security interest in the net proceeds of the second mortgage notes deposited into escrow pending the closing of this offering;</w:t>
      </w:r>
    </w:p>
    <w:p>
      <w:pPr>
        <w:spacing w:after="0" w:line="212"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second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After Wynn Las Vegas and its restricted subsidiaries have met earnings before interest, taxes, depreciation and amortization targets for a period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four full consecutive quarters after Le Rêve opens, any remaining amounts in the liquidity reserve account will be used to reduce the outstanding balance on the revolving credit facility;</w:t>
      </w:r>
    </w:p>
    <w:p>
      <w:pPr>
        <w:spacing w:after="0" w:line="199"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 second priority pledge of the equity interests of the issuers and the other restricted entities to the extent permitted by applicable law;</w:t>
      </w:r>
    </w:p>
    <w:p>
      <w:pPr>
        <w:spacing w:after="0" w:line="261" w:lineRule="exact"/>
        <w:rPr>
          <w:rFonts w:ascii="Arial" w:cs="Arial" w:eastAsia="Arial" w:hAnsi="Arial"/>
          <w:sz w:val="16"/>
          <w:szCs w:val="16"/>
          <w:color w:val="auto"/>
        </w:rPr>
      </w:pPr>
    </w:p>
    <w:p>
      <w:pPr>
        <w:ind w:left="1080" w:right="40" w:hanging="532"/>
        <w:spacing w:after="0" w:line="255"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second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 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223"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second priority security interest in substantially all of the other existing and future assets of the issuers and the other restricted entities, and subject to certain exceptions; and</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third priority security interests on the furniture, fixtures and equipment financed with the FF&amp;E facility other than the aircraft. See "—FF&amp;E Facility."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second mortgage notes may be secured by second priority liens on the same Wynn Resorts' assets. The security interests in these assets may be released if certain tests are met.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jc w:val="both"/>
        <w:ind w:right="100" w:firstLine="341"/>
        <w:spacing w:after="0" w:line="286" w:lineRule="auto"/>
        <w:rPr>
          <w:sz w:val="20"/>
          <w:szCs w:val="20"/>
          <w:color w:val="auto"/>
        </w:rPr>
      </w:pPr>
      <w:r>
        <w:rPr>
          <w:rFonts w:ascii="Arial" w:cs="Arial" w:eastAsia="Arial" w:hAnsi="Arial"/>
          <w:sz w:val="16"/>
          <w:szCs w:val="16"/>
          <w:color w:val="auto"/>
        </w:rPr>
        <w:t>At any time prior to , 2005, the issuers may redeem up to 35% of the aggregate principal amount of the second mortgage notes with the proceeds of certain qualified equity offerings at a specified redemption price; provided that certain conditions are satisfied. The second mortgage notes otherwise</w:t>
      </w:r>
    </w:p>
    <w:p>
      <w:pPr>
        <w:spacing w:after="0"/>
        <w:tabs>
          <w:tab w:leader="none" w:pos="3040" w:val="left"/>
        </w:tabs>
        <w:rPr>
          <w:sz w:val="20"/>
          <w:szCs w:val="20"/>
          <w:color w:val="auto"/>
        </w:rPr>
      </w:pPr>
      <w:r>
        <w:rPr>
          <w:rFonts w:ascii="Arial" w:cs="Arial" w:eastAsia="Arial" w:hAnsi="Arial"/>
          <w:sz w:val="18"/>
          <w:szCs w:val="18"/>
          <w:color w:val="auto"/>
        </w:rPr>
        <w:t>are not redeemable prior to</w:t>
      </w:r>
      <w:r>
        <w:rPr>
          <w:sz w:val="20"/>
          <w:szCs w:val="20"/>
          <w:color w:val="auto"/>
        </w:rPr>
        <w:tab/>
      </w:r>
      <w:r>
        <w:rPr>
          <w:rFonts w:ascii="Arial" w:cs="Arial" w:eastAsia="Arial" w:hAnsi="Arial"/>
          <w:sz w:val="15"/>
          <w:szCs w:val="15"/>
          <w:color w:val="auto"/>
        </w:rPr>
        <w:t>, 2006.</w:t>
      </w:r>
    </w:p>
    <w:p>
      <w:pPr>
        <w:spacing w:after="0" w:line="219" w:lineRule="exact"/>
        <w:rPr>
          <w:sz w:val="20"/>
          <w:szCs w:val="20"/>
          <w:color w:val="auto"/>
        </w:rPr>
      </w:pPr>
    </w:p>
    <w:p>
      <w:pPr>
        <w:ind w:left="340"/>
        <w:spacing w:after="0"/>
        <w:tabs>
          <w:tab w:leader="none" w:pos="1840" w:val="left"/>
        </w:tabs>
        <w:rPr>
          <w:sz w:val="20"/>
          <w:szCs w:val="20"/>
          <w:color w:val="auto"/>
        </w:rPr>
      </w:pPr>
      <w:r>
        <w:rPr>
          <w:rFonts w:ascii="Arial" w:cs="Arial" w:eastAsia="Arial" w:hAnsi="Arial"/>
          <w:sz w:val="15"/>
          <w:szCs w:val="15"/>
          <w:color w:val="auto"/>
        </w:rPr>
        <w:t>After</w:t>
      </w:r>
      <w:r>
        <w:rPr>
          <w:sz w:val="20"/>
          <w:szCs w:val="20"/>
          <w:color w:val="auto"/>
        </w:rPr>
        <w:tab/>
      </w:r>
      <w:r>
        <w:rPr>
          <w:rFonts w:ascii="Arial" w:cs="Arial" w:eastAsia="Arial" w:hAnsi="Arial"/>
          <w:sz w:val="15"/>
          <w:szCs w:val="15"/>
          <w:color w:val="auto"/>
        </w:rPr>
        <w:t>, 2006, the issuers may redeem all or a part of the second mortgage notes upon not less than 30 nor more than 60 days' notice, at certain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specified redemption prices based on timing of the redemption.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Repurchase at the Option of the Holders of Second Mortgage Notes</w:t>
      </w:r>
    </w:p>
    <w:p>
      <w:pPr>
        <w:spacing w:after="0" w:line="231"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Following the occurrence of a change of control under the second mortgage notes, the issuers will be required to offer to repurchase the second mortgage notes at a purchase price equal to 101% of the principal amount of the second mortgage notes, plus any accrued and unpaid interest to the date of repurchase.</w:t>
      </w:r>
    </w:p>
    <w:p>
      <w:pPr>
        <w:spacing w:after="0" w:line="11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issuers will be required in certain circumstances to offer to repurchase the second mortgage notes at a purchase price equal to the principal amount of the second mortgage notes, plus any accrued and unpaid interest to the date of repurchase, with the net cash proceeds of certain asset sales and events of loss.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Redemption</w:t>
      </w:r>
    </w:p>
    <w:p>
      <w:pPr>
        <w:sectPr>
          <w:pgSz w:w="11900" w:h="16847" w:orient="portrait"/>
          <w:cols w:equalWidth="0" w:num="1">
            <w:col w:w="11420"/>
          </w:cols>
          <w:pgMar w:left="240" w:top="131" w:right="239" w:bottom="0" w:gutter="0" w:footer="0" w:header="0"/>
        </w:sectPr>
      </w:pPr>
    </w:p>
    <w:bookmarkStart w:id="87" w:name="page88"/>
    <w:bookmarkEnd w:id="87"/>
    <w:p>
      <w:pPr>
        <w:ind w:firstLine="348"/>
        <w:spacing w:after="0" w:line="256" w:lineRule="auto"/>
        <w:rPr>
          <w:sz w:val="20"/>
          <w:szCs w:val="20"/>
          <w:color w:val="auto"/>
        </w:rPr>
      </w:pPr>
      <w:r>
        <w:rPr>
          <w:rFonts w:ascii="Arial" w:cs="Arial" w:eastAsia="Arial" w:hAnsi="Arial"/>
          <w:sz w:val="18"/>
          <w:szCs w:val="18"/>
          <w:color w:val="auto"/>
        </w:rPr>
        <w:t>The second mortgage notes may be redeemed by the issuers in certain instances where a gaming authority requires a holder or beneficial owner of the second mortgage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issuers will not be required to make mandatory redemption or sinking fund payments with respect to the second mortgage notes.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second mortgage notes will contain additional affirmative and negative covenants applicable to the issuers and the other restricted entities, including, without limitation, limitations on:</w:t>
      </w:r>
    </w:p>
    <w:p>
      <w:pPr>
        <w:spacing w:after="0" w:line="199"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issuance of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liens;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merger, consolidation or sale of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designation of restricted and unrestricted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sale and leaseback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activities of Wynn Capital and the completion guarantor; and</w:t>
      </w:r>
    </w:p>
    <w:p>
      <w:pPr>
        <w:spacing w:after="0" w:line="252" w:lineRule="exact"/>
        <w:rPr>
          <w:rFonts w:ascii="Arial" w:cs="Arial" w:eastAsia="Arial" w:hAnsi="Arial"/>
          <w:sz w:val="18"/>
          <w:szCs w:val="18"/>
          <w:color w:val="auto"/>
        </w:rPr>
      </w:pPr>
    </w:p>
    <w:p>
      <w:pPr>
        <w:jc w:val="right"/>
        <w:ind w:left="5580" w:right="5540" w:hanging="5032"/>
        <w:spacing w:after="0" w:line="670" w:lineRule="auto"/>
        <w:tabs>
          <w:tab w:leader="none" w:pos="1086" w:val="left"/>
        </w:tabs>
        <w:numPr>
          <w:ilvl w:val="0"/>
          <w:numId w:val="117"/>
        </w:numPr>
        <w:rPr>
          <w:rFonts w:ascii="Arial" w:cs="Arial" w:eastAsia="Arial" w:hAnsi="Arial"/>
          <w:sz w:val="15"/>
          <w:szCs w:val="15"/>
          <w:color w:val="auto"/>
        </w:rPr>
      </w:pPr>
      <w:r>
        <w:rPr>
          <w:rFonts w:ascii="Arial" w:cs="Arial" w:eastAsia="Arial" w:hAnsi="Arial"/>
          <w:sz w:val="15"/>
          <w:szCs w:val="15"/>
          <w:color w:val="auto"/>
        </w:rPr>
        <w:t>issuances and sales of equity interests in wholly owned subsidiaries. 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24"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Valvino, though not a restricted entity, will be subject to certain limited restrictions under the indenture governing the second mortgage notes limiting its ability to encumber assets pledged to the lenders and the second mortgage note holders as collateral and to incur indebtedness, other than non-recourse debt, prior to the release of the 20-acre parcel of land fronting Las Vegas Boulevard adjacent to the site of Le Rêve.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indenture for the second mortgage notes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loss of material contracts, noncompliance with covenants, material breaches of representations and warranties, bankruptcy, judgments in excess of specified amounts, impairment of security interests in collateral, and, prior to final completion of Le Rêve, specified events under the disbursement agreement, subject in some cases to applicable notice provisions and grace periods. See "—Disbursement Agreement." Events of default will apply to the restricted entities and, in some cases, to Valvino and Wynn Resorts.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Facility</w:t>
      </w:r>
    </w:p>
    <w:p>
      <w:pPr>
        <w:spacing w:after="0" w:line="23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referred to as the FF&amp;E agents, for a $178.5 million FF&amp;E facility. The engagement letter provides that the FF&amp;E agents have agreed on a best efforts basis to syndicate the FF&amp;E facility. Wynn Las Vegas and the FF&amp;E agents are currently in the process of syndicating the FF&amp;E facility and negotiating the terms of the FF&amp;E facility with proposed lenders. The FF&amp;E facility will provide financing or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Valvino acquired World Travel from Mr. Wynn and has guaranteed the Bank of America loan. Wynn Las Vegas may use additional proceeds of the FF&amp;E facility to refinance other furniture, fixtures or equipment purchased with proceeds of this offering or other funds. Obtaining the FF&amp;E facility will be a condition to the consummation of this offering. For more information, see "Use of Proceeds," "Management's Discussion and Analysis of Financial Condition and Results of Operations" and "Certain Relationships and Related Party Transactions—Aircraft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Lenders Intercreditor Agreement</w:t>
      </w:r>
    </w:p>
    <w:p>
      <w:pPr>
        <w:spacing w:after="0" w:line="231" w:lineRule="exact"/>
        <w:rPr>
          <w:sz w:val="20"/>
          <w:szCs w:val="20"/>
          <w:color w:val="auto"/>
        </w:rPr>
      </w:pPr>
    </w:p>
    <w:p>
      <w:pPr>
        <w:ind w:right="140" w:firstLine="341"/>
        <w:spacing w:after="0" w:line="290" w:lineRule="auto"/>
        <w:rPr>
          <w:sz w:val="20"/>
          <w:szCs w:val="20"/>
          <w:color w:val="auto"/>
        </w:rPr>
      </w:pPr>
      <w:r>
        <w:rPr>
          <w:rFonts w:ascii="Arial" w:cs="Arial" w:eastAsia="Arial" w:hAnsi="Arial"/>
          <w:sz w:val="16"/>
          <w:szCs w:val="16"/>
          <w:color w:val="auto"/>
        </w:rPr>
        <w:t>A representative of the lenders under the credit facilities and the trustee will enter into an intercreditor agreement that will govern the relations between the note holders and those lenders. The intercreditor agreement will provide that the second mortgage note holders will have a first priority security interest in, or claim against, the net proceeds of the second mortgage note offering deposited into a secured account pending disbursement of such amounts in accordance with the terms of the disbursement agreement. The lenders under the credit facilities will have a first priority security interest in, or claim against all remaining collateral pledged by the restricted entities, other than collateral securing the FF&amp;E facility, excluding the aircraft in which the lenders under the FF&amp;E facility will have a first priority security interest, the lenders under the credit facilities will have a second priority security interest and the second mortgage note holders will have a third priority security interest.</w:t>
      </w:r>
    </w:p>
    <w:p>
      <w:pPr>
        <w:sectPr>
          <w:pgSz w:w="11900" w:h="16838" w:orient="portrait"/>
          <w:cols w:equalWidth="0" w:num="1">
            <w:col w:w="11420"/>
          </w:cols>
          <w:pgMar w:left="240" w:top="131" w:right="239" w:bottom="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Neither the lenders under the credit facilities nor the second mortgage note holders will have a security interest in the aircraft.</w:t>
      </w:r>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intercreditor agreement will establish certain provisions and agreements concerning the exercise of remedies by the second mortgage note holders and the lenders against their respective collateral. As a result, the second mortgage note holders will have limited rights to force a sale of any of the collateral or otherwise exercise any of the remedies available to a secured creditor in connection with the collateral, other than the collateral in which the credit facilities lenders do not have an interest, unless or until the credit facilities are paid in full. Applicable law, including gaming laws and regulations, will also impose restrictions on the ability of the second mortgage note holders and the lenders under the credit facilities to enforce the remedies of a secured creditor.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Intercreditor Agreement</w:t>
      </w:r>
    </w:p>
    <w:p>
      <w:pPr>
        <w:spacing w:after="0" w:line="231"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 representative of the lenders under the credit facilities and the trustee, on the one hand, and the representative of the lenders under the FF&amp;E facility, on the other hand, will enter into an intercreditor agreement that will govern the relations between the credit facilities lenders and the note holders, on the one hand, and the lenders under the FF&amp;E facility on the other hand. This intercreditor agreement will provide that the lenders under the FF&amp;E facility will have a first priority security interest in the furniture, fixture and equipment for Le Rêve that is financed by draws on the FF&amp;E facility. The lenders under the credit facilities will have a second priority security interest in such collateral and the note holders will benefit from a third priority security interest in such collateral, except that neither the lenders under the credit facilities nor the second mortgage note holders will have a security interest in the aircraft.</w:t>
      </w:r>
    </w:p>
    <w:p>
      <w:pPr>
        <w:spacing w:after="0" w:line="17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FF&amp;E intercreditor agreement will establish certain provisions and agreements concerning the exercise of remedies by the lenders under the credit facilities, the note holders and the lenders under the FF&amp;E facility against the furniture, fixtures and equipment financed by the FF&amp;E facility. Generally speaking, and subject to certain agreed upon stand still periods, the lenders under the FF&amp;E facility will have, until repayment in full of the FF&amp;E facility, the exclusive right to force a sale of any of the FF&amp;E collateral or otherwise exercise any of the remedies available to a secured creditor in connection with the FF&amp;E collateral. Applicable law, including gaming laws and regulations, will also impose restrictions on the ability of the lenders under the FF&amp;E facility, the lenders under the credit facilities and the second mortgage note holders to enforce the remedies of a secured creditor.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Agreement</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and Wynn Capital will enter into a disbursement agreement with Deutsche Bank Trust Company Americas, as the bank agent,</w:t>
      </w:r>
    </w:p>
    <w:p>
      <w:pPr>
        <w:spacing w:after="0" w:line="38" w:lineRule="exact"/>
        <w:rPr>
          <w:sz w:val="20"/>
          <w:szCs w:val="20"/>
          <w:color w:val="auto"/>
        </w:rPr>
      </w:pPr>
    </w:p>
    <w:p>
      <w:pPr>
        <w:ind w:left="840"/>
        <w:spacing w:after="0"/>
        <w:tabs>
          <w:tab w:leader="none" w:pos="3700" w:val="left"/>
        </w:tabs>
        <w:rPr>
          <w:sz w:val="20"/>
          <w:szCs w:val="20"/>
          <w:color w:val="auto"/>
        </w:rPr>
      </w:pPr>
      <w:r>
        <w:rPr>
          <w:rFonts w:ascii="Arial" w:cs="Arial" w:eastAsia="Arial" w:hAnsi="Arial"/>
          <w:sz w:val="18"/>
          <w:szCs w:val="18"/>
          <w:color w:val="auto"/>
        </w:rPr>
        <w:t>], as the mortgage note trustee, [</w:t>
      </w:r>
      <w:r>
        <w:rPr>
          <w:sz w:val="20"/>
          <w:szCs w:val="20"/>
          <w:color w:val="auto"/>
        </w:rPr>
        <w:tab/>
      </w:r>
      <w:r>
        <w:rPr>
          <w:rFonts w:ascii="Arial" w:cs="Arial" w:eastAsia="Arial" w:hAnsi="Arial"/>
          <w:sz w:val="15"/>
          <w:szCs w:val="15"/>
          <w:color w:val="auto"/>
        </w:rPr>
        <w:t>] as the FF&amp;E facility agent, and Deutsche Bank Trust Company Americas, as the disbursement agent.</w:t>
      </w:r>
    </w:p>
    <w:p>
      <w:pPr>
        <w:spacing w:after="0" w:line="200" w:lineRule="exact"/>
        <w:rPr>
          <w:sz w:val="20"/>
          <w:szCs w:val="20"/>
          <w:color w:val="auto"/>
        </w:rPr>
      </w:pPr>
    </w:p>
    <w:p>
      <w:pPr>
        <w:sectPr>
          <w:pgSz w:w="11900" w:h="16838" w:orient="portrait"/>
          <w:cols w:equalWidth="0" w:num="2">
            <w:col w:w="60" w:space="300"/>
            <w:col w:w="11040"/>
          </w:cols>
          <w:pgMar w:left="240" w:top="131" w:right="259" w:bottom="0" w:gutter="0" w:footer="0" w:header="0"/>
          <w:type w:val="continuous"/>
        </w:sectPr>
      </w:pP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disbursement agreement will set forth our subsidiaries' material obligations to construct and complete Le Rêve and will establish a line item budget and a schedule for construction of Le Rêve. The disbursement agreement also will establish the conditions to, and the relative sequencing of, the making of disbursements from the proceeds of the credit facilities, the FF&amp;E facility and the second mortgage notes, and will establish the obligations of the bank agent and the FF&amp;E facility agent to make disbursements under the credit facilities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and the FF&amp;E facility and the obligation of the second mortgage notes trustee to release funds from the second mortgage notes proceeds account upon satisfaction of such conditions. The disbursement agreement further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pacing w:after="0" w:line="16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the disbursement agreement, we will only be permitted to use the proceeds of the credit facilities, the FF&amp;E facility and the second mortgage notes to pay for project costs related to Le Rêve and, subject to certain limitations, corporate overhead and related costs.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Order</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disbursement agreement will set forth the sequencing order in which funds from the various sources will be made available to our subsidiaries. Under the disbursement agreement, our subsidiaries will be required to use all of the equity funds available to them (including proceeds of this offering that are contributed to Wynn Las Vegas) before obtaining any disbursement of debt proceeds.</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expect to commence construction of Le Rêve in September 2002, and we have incurred, and prior to the initial disbursement of debt proceeds, will continue to incur, significant costs in connection with Le Rêve. Pursuant to the disbursement agreement, the construction consultant will confirm that such costs were incurred within the parameters set forth in the approved project budget.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w:t>
      </w:r>
    </w:p>
    <w:p>
      <w:pPr>
        <w:spacing w:after="0" w:line="231"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In order to implement the funding of disbursements, the disbursement agreement will call for the establishment of certain accounts, each of which will be, subject to certain exceptions, pledged to the lenders under the credit facilities and the holders of second mortgage notes, except that the secured account holding the proceeds of the second mortgage notes will be pledged to the second mortgage note holders only. Each time Wynn Las Vegas receives funds from its credit facilities, FF&amp;E facility, the second mortgage notes proceeds account or other sources for the development and construction of Le Rêve, those funds must be deposited in the appropriate accounts and, subject to the conditions to disbursement, be disbursed to pay for the development and construction of Le Rêve.</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Conditions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subsidiaries will be required to satisfy conditions precedent before we are permitted to receive funds from the disbursement accounts. These conditions will include, among others: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31" w:right="259" w:bottom="0" w:gutter="0" w:footer="0" w:header="0"/>
          <w:type w:val="continuous"/>
        </w:sectPr>
      </w:pPr>
    </w:p>
    <w:bookmarkStart w:id="89" w:name="page90"/>
    <w:bookmarkEnd w:id="89"/>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delivery of a disbursement request and certificate certifying as to, among other things:</w:t>
      </w:r>
    </w:p>
    <w:p>
      <w:pPr>
        <w:spacing w:after="0" w:line="200" w:lineRule="exact"/>
        <w:rPr>
          <w:sz w:val="20"/>
          <w:szCs w:val="20"/>
          <w:color w:val="auto"/>
        </w:rPr>
      </w:pPr>
    </w:p>
    <w:p>
      <w:pPr>
        <w:spacing w:after="0" w:line="255" w:lineRule="exact"/>
        <w:rPr>
          <w:sz w:val="20"/>
          <w:szCs w:val="20"/>
          <w:color w:val="auto"/>
        </w:rPr>
      </w:pPr>
    </w:p>
    <w:p>
      <w:pPr>
        <w:ind w:left="1620" w:hanging="532"/>
        <w:spacing w:after="0"/>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252" w:lineRule="exact"/>
        <w:rPr>
          <w:rFonts w:ascii="Arial" w:cs="Arial" w:eastAsia="Arial" w:hAnsi="Arial"/>
          <w:sz w:val="18"/>
          <w:szCs w:val="18"/>
          <w:color w:val="auto"/>
        </w:rPr>
      </w:pPr>
    </w:p>
    <w:p>
      <w:pPr>
        <w:ind w:left="1620" w:right="760" w:hanging="532"/>
        <w:spacing w:after="0" w:line="268" w:lineRule="auto"/>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amended from time to time in accordance with the disbursement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right="100" w:hanging="532"/>
        <w:spacing w:after="0" w:line="268" w:lineRule="auto"/>
        <w:tabs>
          <w:tab w:leader="none" w:pos="16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continued expectation that the construction of Le Rêve will be completed by August 31, 2005, subject to limited permitted extensions due to force majeure events,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the use of funds in accordance with the budgeted amounts, as adjusted from time to time in accordance with the disbursement agreement,</w:t>
      </w:r>
    </w:p>
    <w:p>
      <w:pPr>
        <w:spacing w:after="0" w:line="286" w:lineRule="exact"/>
        <w:rPr>
          <w:rFonts w:ascii="Arial" w:cs="Arial" w:eastAsia="Arial" w:hAnsi="Arial"/>
          <w:sz w:val="15"/>
          <w:szCs w:val="15"/>
          <w:color w:val="auto"/>
        </w:rPr>
      </w:pPr>
    </w:p>
    <w:p>
      <w:pPr>
        <w:ind w:left="1620" w:right="60" w:hanging="532"/>
        <w:spacing w:after="0" w:line="268" w:lineRule="auto"/>
        <w:tabs>
          <w:tab w:leader="none" w:pos="16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sufficiency of remaining funds (net of the completion capital commitment and liquidity reserve, and contingency amount) to complete Le Rêve, and</w:t>
      </w:r>
    </w:p>
    <w:p>
      <w:pPr>
        <w:spacing w:after="0" w:line="199" w:lineRule="exact"/>
        <w:rPr>
          <w:rFonts w:ascii="Arial" w:cs="Arial" w:eastAsia="Arial" w:hAnsi="Arial"/>
          <w:sz w:val="18"/>
          <w:szCs w:val="18"/>
          <w:color w:val="auto"/>
        </w:rPr>
      </w:pPr>
    </w:p>
    <w:p>
      <w:pPr>
        <w:ind w:left="1620" w:right="60" w:hanging="532"/>
        <w:spacing w:after="0" w:line="268" w:lineRule="auto"/>
        <w:tabs>
          <w:tab w:leader="none" w:pos="16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compliance with line item budget allocations (as such allocations may be amended from time to time in accordance with the disbursement agreement), taking into account allocations for contingencies;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delivery by the construction consultant and the contractors of certificates corroborating various matters set forth in our disbursement request and certificate;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absence of a default or event of default under the credit facilities, the FF&amp;E facility and the second mortgage notes documents;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of the credit documentation and each other material agreement for the development and construction of the project being in full force and effect;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subsidiaries' receipt of the governmental approvals then required;</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subsidiaries' delivery to the disbursement agent of the acknowledgments of payment and lien releases required under the disbursement agreement;</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 and</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18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Prior to borrowing any amounts under the credit facilities or the FF&amp;E facility or receiving any disbursements from the secured account holding the proceeds of the second mortgage notes, we plan to use a portion of the proceeds of this offering, and our other available funds, to commence construction of Le Rêve. As a condition to borrowing under the credit facilities or the FF&amp;E facility or receiving disbursements from the secured account, we will be required to submit evidence acceptable to the construction consultant that the construction of Le Rêve has been completed to that point in accordance with our plans and specifications, on budget and on schedule.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Completion Guarantee Deposit Account</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security for the $50 million completion guarantee in favor of the lenders under the credit facilities and the holders of the second mortgage notes by the special purpose subsidiary of Wynn Las Vegas, $50 million of the proceeds of this offering will be contributed to the subsidiary and deposited into the completion guarantee deposit account. Amounts on deposit in the completion guarantee deposit account may, on a gradual basis from time to time after fifty percent of the Le Rêve construction work has been completed, be transferred to the company's funds account for application to pay budgeted costs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notes, will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 permitted to exercise remedies against such sums and apply such sums against the obligations under their respective debt documents. Any interest which may accrue on amounts deposited in the completion capital account deposit account shall be deposited in the company's funds account until applied as provided in the disbursement agreement. These funds will not be available for any other purpose until Le Rêve is completed and opened, at which time any amounts remaining in the account will be released to Wynn Resorts.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Liquidity Reserve Account</w:t>
      </w:r>
    </w:p>
    <w:p>
      <w:pPr>
        <w:spacing w:after="0" w:line="225" w:lineRule="exact"/>
        <w:rPr>
          <w:sz w:val="20"/>
          <w:szCs w:val="20"/>
          <w:color w:val="auto"/>
        </w:rPr>
      </w:pPr>
    </w:p>
    <w:p>
      <w:pPr>
        <w:ind w:right="40" w:firstLine="341"/>
        <w:spacing w:after="0" w:line="318" w:lineRule="auto"/>
        <w:rPr>
          <w:sz w:val="20"/>
          <w:szCs w:val="20"/>
          <w:color w:val="auto"/>
        </w:rPr>
      </w:pPr>
      <w:r>
        <w:rPr>
          <w:rFonts w:ascii="Arial" w:cs="Arial" w:eastAsia="Arial" w:hAnsi="Arial"/>
          <w:sz w:val="15"/>
          <w:szCs w:val="15"/>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may be applied to pay budgeted costs in accordance with the disbursement agreement. Following the completion and opening of Le Rêve, these funds will be available to meet our subsidiaries' debt service obligations.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w:t>
      </w:r>
    </w:p>
    <w:p>
      <w:pPr>
        <w:sectPr>
          <w:pgSz w:w="11900" w:h="16938" w:orient="portrait"/>
          <w:cols w:equalWidth="0" w:num="1">
            <w:col w:w="11380"/>
          </w:cols>
          <w:pgMar w:left="240" w:top="131" w:right="279" w:bottom="0" w:gutter="0" w:footer="0" w:header="0"/>
        </w:sectPr>
      </w:pPr>
    </w:p>
    <w:bookmarkStart w:id="90" w:name="page91"/>
    <w:bookmarkEnd w:id="90"/>
    <w:p>
      <w:pPr>
        <w:spacing w:after="0" w:line="306" w:lineRule="auto"/>
        <w:rPr>
          <w:sz w:val="20"/>
          <w:szCs w:val="20"/>
          <w:color w:val="auto"/>
        </w:rPr>
      </w:pPr>
      <w:r>
        <w:rPr>
          <w:rFonts w:ascii="Arial" w:cs="Arial" w:eastAsia="Arial" w:hAnsi="Arial"/>
          <w:sz w:val="16"/>
          <w:szCs w:val="16"/>
          <w:color w:val="auto"/>
        </w:rPr>
        <w:t>exercise remedies against such sums and apply such sums against the obligations under their respective debt documents. At such time as Wynn Las Vegas has met prescribed cash flow tests for a full fiscal year after the opening of Le Rêve, any remaining funds shall be used to reduce the principal amount outstanding under our subsidiaries' revolving credit facility, but without reducing the revolving credit facility commitment.</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Changes to Construction Budget and Schedule</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guidelines will only permit increases to any line item category to the extent of the sum of:</w:t>
      </w:r>
    </w:p>
    <w:p>
      <w:pPr>
        <w:spacing w:after="0" w:line="239"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and</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use of additional Le Rêve revenues or additional company equity and other amounts, to the extent deposited in the appropriate disbursement agreement accounts.</w:t>
      </w:r>
    </w:p>
    <w:p>
      <w:pPr>
        <w:spacing w:after="0" w:line="186"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may, from time to time, amend the project schedule to extend the completion date, but not beyond August 31, 2005, by delivering to the disbursement agent a certificate describing the amendment and complying with the conditions set forth above with respect to the changes in the project budget that will result from the extension of the completion date. We also have the ability to extend the completion date for a limited period beyond August 31, 2005 due to force majeure events.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disbursement agreement contains various affirmative covenants that we are obligated to comply with. Such covenants include the following:</w:t>
      </w:r>
    </w:p>
    <w:p>
      <w:pPr>
        <w:spacing w:after="0" w:line="262" w:lineRule="exact"/>
        <w:rPr>
          <w:sz w:val="20"/>
          <w:szCs w:val="20"/>
          <w:color w:val="auto"/>
        </w:rPr>
      </w:pPr>
    </w:p>
    <w:p>
      <w:pPr>
        <w:ind w:left="1080" w:right="4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use the proceeds of the credit facilities, the FF&amp;E facility and the second mortgage notes only to pay project costs in accordance with the project budget and the disbursement agreement;</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construct Le Rêve diligently and substantially in accordance with the plans and specifications (as the same may be amended from time to time in accordance with the disbursement agreement);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construct, maintain and operate Le Rêve in accordance in all material respects with all applicable laws and procure, maintain and comply with all required governmental approvals in all material respects;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maintain and comply with the required insurance policies.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disbursement agreement will also require us to comply with negative covenants. These covenants will limit, among other things, the restricted entities' ability to:</w:t>
      </w:r>
    </w:p>
    <w:p>
      <w:pPr>
        <w:spacing w:after="0" w:line="213" w:lineRule="exact"/>
        <w:rPr>
          <w:sz w:val="20"/>
          <w:szCs w:val="20"/>
          <w:color w:val="auto"/>
        </w:rPr>
      </w:pPr>
    </w:p>
    <w:p>
      <w:pPr>
        <w:ind w:left="1080" w:right="6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waive or terminate any material right under the financing agreements, the construction contract guaranty, other material project documents or any required governmental approval;</w:t>
      </w:r>
    </w:p>
    <w:p>
      <w:pPr>
        <w:spacing w:after="0" w:line="199"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174"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implement any material change in the plans and specifications or any change order under the construction contracts or other contracts, if the change or change order:</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requires an amendment to the project budget, unless we comply with the procedures for amending the project budget;</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could reasonably be expected to delay completion beyond the anticipated completion date;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is not permitted by a project document;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could reasonably be expected to adversely affect our compliance with legal requirements and governmental approvals;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amend the project budget or the project schedule except in accordance with the procedures set forth in the disbursement agreement; or</w:t>
      </w:r>
    </w:p>
    <w:p>
      <w:pPr>
        <w:spacing w:after="0" w:line="261"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release any hazardous substance in violation of any legal requirement or governmental approval if it could reasonably be expected to have a material adverse effect.</w:t>
      </w:r>
    </w:p>
    <w:p>
      <w:pPr>
        <w:sectPr>
          <w:pgSz w:w="11900" w:h="16838" w:orient="portrait"/>
          <w:cols w:equalWidth="0" w:num="1">
            <w:col w:w="11380"/>
          </w:cols>
          <w:pgMar w:left="240" w:top="131" w:right="279" w:bottom="0" w:gutter="0" w:footer="0" w:header="0"/>
        </w:sectPr>
      </w:pPr>
    </w:p>
    <w:bookmarkStart w:id="91" w:name="page92"/>
    <w:bookmarkEnd w:id="91"/>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Exercise of Remedies on Default</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disbursement agreement and the other financing documents, upon the occurrence of an event of default under the credit facilities, the FF&amp;E facility or the second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mortgage notes, our subsidiaries' lenders will be permitted to exercise remedies, including one or more of the following:</w:t>
      </w:r>
    </w:p>
    <w:p>
      <w:pPr>
        <w:spacing w:after="0" w:line="239"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termination of the obligation to make any further disbursements;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taking possession of Le Rêve and completing its construction and/or operating and maintaining Le Rêve, or appointing a trustee or receiver to do the same;</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setting off and applying all cash and securities on deposit in any account with the disbursement agent to our obligations under the credit facilities and the indenture;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subject to certain limitations, assuming our rights under the project documents.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disbursement agreement will terminate on or about the date on which final completion occurs.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Securities</w:t>
      </w:r>
    </w:p>
    <w:p>
      <w:pPr>
        <w:spacing w:after="0" w:line="231"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Before this offering, there has been no public trading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 the public market could adversely affect the market price of our common stock and could impair our future ability to raise capital through the sale of our equity securities.</w:t>
      </w:r>
    </w:p>
    <w:p>
      <w:pPr>
        <w:spacing w:after="0" w:line="19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Upon the completion of this offering, we will have shares of its common stock outstanding, assuming no exercise of the underwriters' over-allotment option. All of the shares sold in this offering will be freely tradable, except that any shares purchased by our affiliates may only be sold in compliance with the applicable limitations of Rule 144. The remaining 40,000,000 shares of our common stock are "restricted securities" as defined under Rule 144. Restricted securities may be sold in the public market only if registered or if they qualify for an exemption from registration under Rules 144, 144(k) or 701 under the Securities Act. These rules are summarized below.</w:t>
      </w:r>
    </w:p>
    <w:p>
      <w:pPr>
        <w:spacing w:after="0" w:line="19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Subject to the provisions of Rules 144, 144(k) and 701, no shares of our common stock will be available for sale in the public market upon the expiration of the 180-day lock-up period. We expect that 40,000,000 shares of our common stock will become eligible for public sale in August 2003.</w:t>
      </w:r>
    </w:p>
    <w:p>
      <w:pPr>
        <w:spacing w:after="0" w:line="139"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If our stockholders sell substantial amounts of our common stock in the public market following this offering, the prevailing market price of our common stock could decline. Furthermore, sales of substantial amounts of our common stock in the public market after contractual and legal restrictions lapse could adversely affect the prevailing market price of the common stock and our ability to raise equity capital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general, under Rule 144 as currently in effect, beginning 90 days after the date of this prospectus, a person who has beneficially owned restricted shares for at least one year including the holding period of any prior owner except an affiliate would be entitled to sell within any three-month period a number of shares that does not exceed the greater of:</w:t>
      </w:r>
    </w:p>
    <w:p>
      <w:pPr>
        <w:spacing w:after="0" w:line="221"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or</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as reported on all national exchanges during the four calendar weeks preceding the filing of a Form 144 with respect to such sale.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Sales under Rule 144 are also subject to manner of sale provisions and notice requirements and to the availability of current public information about us.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23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Under Rule 144(k), a person who is not deemed to have been our affiliate at any time during the three months preceding a sale, and who has beneficially owned the shares proposed to be sold for at least two years including the holding period of any prior owner except an affiliate, is entitled to sell such shares without complying with the manner of sale, public information, volume limitation or notice provisions of Rule 144. The Securities Act defines affiliates to be persons that directly, or indirectly through one or more intermediaries,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control, or are controlled by, or are under common control with, Wynn Resorts. These persons typically include our executive officers and directors.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ectPr>
          <w:pgSz w:w="11900" w:h="16847" w:orient="portrait"/>
          <w:cols w:equalWidth="0" w:num="1">
            <w:col w:w="11380"/>
          </w:cols>
          <w:pgMar w:left="240" w:top="125" w:right="279" w:bottom="0" w:gutter="0" w:footer="0" w:header="0"/>
        </w:sectPr>
      </w:pPr>
    </w:p>
    <w:bookmarkStart w:id="92" w:name="page93"/>
    <w:bookmarkEnd w:id="92"/>
    <w:p>
      <w:pPr>
        <w:ind w:right="20" w:firstLine="351"/>
        <w:spacing w:after="0" w:line="255"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 shares from us under a stock option plan or other written agreement can resell those shares 90 days after the effective date of this offering, subject to lock-up agreements, in reliance on Rule 144, but without complying with the holding period, public information, volume limitation or notice provisions of Rule 144, so long as they are not affiliates of ours. If they are an affiliate, they are eligible to resell the shares 90 days after the effective date of this offering, subject to lock-up agreements, in reliance on Rule 144 but without compliance with the holding period contained in Rule 144.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Immediately after this offering, we intend to file a registration statement on Form S-8 under the Securities Act covering shares of common stock reserved for issuance under our stock option plan. Shares registered under that registration statement will, upon the optionee's exercise and depending on vesting provisions and Rule 144 volume limitations applicable to our affiliates, be available for resale in the public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all of our officers and directors and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our common stock or any equity securities convertible into or exercisable or exchangeable for shares of our common stock; or enter into any swap or other arrangement that transfers to another, in whole or in part, any economic consequences of ownership of our common stock during the period ending 180 days after the date of this prospectus without the prior written consent of Deutsche Bank Securities Inc., Bear, Stearns &amp; Co. Inc. and Banc of America Securities LLC, on behalf of the underwriters. Deutsche Bank Securities Inc., Bear, Stearns &amp; Co. Inc. and Banc of America Securities LLC have advised us that they have no present intention to release any shares subject to lockup agreements. In considering whether to release any shares subject to a lockup agreement, Deutsche Bank Securities Inc., Bear, Stearns &amp; Co. Inc. and Banc of America Securities LLC would consider, among other factors, the particular circumstances surrounding the request, including, but not limited to, the number of shares to be released, the effect of the released shares on the market for our common stock and the hardship of the person requesting the waiver.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TAX CONSIDERATIONS FOR NON-U.S. HOLDERS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following is a general discussion of certain U.S. federal income and estate tax consequences of the ownership and disposition of Wynn Resorts' common stock by a person that is not a "United States person" for U.S. federal income tax purposes (a "non-U.S. holder"). For this purpose, a "United States person" is a citizen or resident of the United States, a corporation, partnership or other entity created or organized in or under the laws of the United States or any political subdivision thereof, an estate, the income of which is subject to U.S. federal income taxation regardless of its source, or a trust if (1) a U.S. court is able to exercise primary supervision over the trust's administration and (2) one or more United States persons have the authority to control all of the trust's substantial decisions. This discussion does not consider specific facts and circumstances that may be relevant to any particular non-U.S. holder's tax position. Special rules may apply to certain non-U.S. holders that are subject to special treatment under the Internal Revenue Code of 1986, as amended, such as dealers in securities, banks, insurance companies, tax-exempt organizations, persons holding their shares as part of a "straddle," "hedge," or "conversion transaction," persons who acquire shares as compensation, "controlled foreign corporations," "passive foreign investment companies," "foreign personal holding companies," and corporations that accumulate earnings to avoid U.S. federal income tax. This discussion is limited to certain U.S. federal income tax consequences to beneficial owners of Wynn Resorts' common stock who hold Wynn Resorts' common stock as a capital asset. Except where otherwise explicitly stated, it does not address the tax consequences of any aspect of state, local, or foreign law or the tax consequences to persons who are former citizens or long-term residents of the United States or to persons holding Wynn Resorts' common stock through a partnership or other pass-through entity. If a partnership holds Wynn Resorts' common stock, the tax treatment of a partner generally will depend on the status of the partner and the activities of the partnership.</w:t>
      </w:r>
    </w:p>
    <w:p>
      <w:pPr>
        <w:spacing w:after="0" w:line="176" w:lineRule="exact"/>
        <w:rPr>
          <w:sz w:val="20"/>
          <w:szCs w:val="20"/>
          <w:color w:val="auto"/>
        </w:rPr>
      </w:pPr>
    </w:p>
    <w:p>
      <w:pPr>
        <w:jc w:val="both"/>
        <w:ind w:right="240" w:firstLine="351"/>
        <w:spacing w:after="0" w:line="262" w:lineRule="auto"/>
        <w:rPr>
          <w:sz w:val="20"/>
          <w:szCs w:val="20"/>
          <w:color w:val="auto"/>
        </w:rPr>
      </w:pPr>
      <w:r>
        <w:rPr>
          <w:rFonts w:ascii="Arial" w:cs="Arial" w:eastAsia="Arial" w:hAnsi="Arial"/>
          <w:sz w:val="18"/>
          <w:szCs w:val="18"/>
          <w:b w:val="1"/>
          <w:bCs w:val="1"/>
          <w:color w:val="auto"/>
        </w:rPr>
        <w:t>Accordingly, each non-U.S. holder is urged to consult its own tax advisor with respect to the U.S. federal tax consequences of the ownership and disposition of common stock, as well as any tax consequences that may arise under the laws of any state, municipality, foreign country or other taxing jurisdiction.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Dividends paid to a non-U.S. holder of Wynn Resorts' common stock ordinarily will be subject to a 30% withholding tax, unless the non-U.S. holder</w:t>
      </w:r>
    </w:p>
    <w:p>
      <w:pPr>
        <w:spacing w:after="0" w:line="38" w:lineRule="exact"/>
        <w:rPr>
          <w:sz w:val="20"/>
          <w:szCs w:val="20"/>
          <w:color w:val="auto"/>
        </w:rPr>
      </w:pPr>
    </w:p>
    <w:p>
      <w:pPr>
        <w:ind w:right="40" w:firstLine="8"/>
        <w:spacing w:after="0" w:line="292" w:lineRule="auto"/>
        <w:tabs>
          <w:tab w:leader="none" w:pos="24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provides us or our paying agent, as the case may be, with a properly executed Form W-8BEN (or a suitable substitute form) claiming a reduction in the rate of withholding pursuant to an applicable income tax treaty; (2) provides us or our paying agent, as the case may be, with a properly executed Form W-8ECI (or a suitable substitute form) providing a U.S. tax identification number and stating the dividends are effectively connected with the beneficial owner's conduct of a trade or business in the United States; or (3) in the case of payments made outside the United States with respect to an offshore account, complies with certain documentary evidence procedures, directly or, under certain circumstances, through an intermediary.</w:t>
      </w:r>
    </w:p>
    <w:p>
      <w:pPr>
        <w:spacing w:after="0" w:line="17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If a non-U.S. holder is engaged in a trade or business in the United States and our dividends are effectively connected with the conduct of such trade or business and, where an income tax treaty applies, are attributable to a U.S. permanent establishment, the non-U.S. holder will be subject to federal income tax on the dividends on a net basis. In addition, if the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31"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A non-U.S. holder generally will not be subject to U.S. federal income tax in respect of a gain realized on a disposition of Wynn Resorts' common stock, provided that (1) the gain is not effectively connected with a trade or business conducted by the non-U.S. holder in the United States, (2) in the case of a non-U.S. holder who is an individual, such holder is present in the United States for fewer than 183 days in the taxable year of the sale and other conditions are met and</w:t>
      </w:r>
    </w:p>
    <w:p>
      <w:pPr>
        <w:spacing w:after="0" w:line="1" w:lineRule="exact"/>
        <w:rPr>
          <w:sz w:val="20"/>
          <w:szCs w:val="20"/>
          <w:color w:val="auto"/>
        </w:rPr>
      </w:pPr>
    </w:p>
    <w:p>
      <w:pPr>
        <w:ind w:right="340" w:firstLine="8"/>
        <w:spacing w:after="0" w:line="261" w:lineRule="auto"/>
        <w:tabs>
          <w:tab w:leader="none" w:pos="24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Wynn Resorts is a "United States real property holding corporation" (a "USRPHC"), Wynn Resorts' common stock is regularly traded on an established securities market at the time of disposition and other conditions described below are met.</w:t>
      </w:r>
    </w:p>
    <w:p>
      <w:pPr>
        <w:sectPr>
          <w:pgSz w:w="11900" w:h="16838" w:orient="portrait"/>
          <w:cols w:equalWidth="0" w:num="1">
            <w:col w:w="11400"/>
          </w:cols>
          <w:pgMar w:left="240" w:top="131" w:right="259" w:bottom="0" w:gutter="0" w:footer="0" w:header="0"/>
        </w:sectPr>
      </w:pPr>
    </w:p>
    <w:bookmarkStart w:id="93" w:name="page94"/>
    <w:bookmarkEnd w:id="93"/>
    <w:p>
      <w:pPr>
        <w:ind w:firstLine="351"/>
        <w:spacing w:after="0" w:line="287" w:lineRule="auto"/>
        <w:rPr>
          <w:sz w:val="20"/>
          <w:szCs w:val="20"/>
          <w:color w:val="auto"/>
        </w:rPr>
      </w:pPr>
      <w:r>
        <w:rPr>
          <w:rFonts w:ascii="Arial" w:cs="Arial" w:eastAsia="Arial" w:hAnsi="Arial"/>
          <w:sz w:val="16"/>
          <w:szCs w:val="16"/>
          <w:color w:val="auto"/>
        </w:rPr>
        <w:t>Because for U.S. federal income tax purposes Wynn Resorts is now and probably will continue to be a USRPHC, a non-U.S. holder could be subject to tax on any gain realized on a disposition of Wynn Resorts' common stock and to 10% withholding (creditable against such tax liability) on the gross amount realized ("FIRPTA tax and withholding"). We believe, however, that Wynn Resorts' common stock will be considered "regularly traded" on an established securities market because we expect it to be traded on The Nasdaq National Market and to be regularly quoted by brokers and/or dealers making a market in Wynn Resorts' common stock. If Wynn Resorts' common stock is regularly traded at the time of the disposition, withholding generally will not be required and, provided that clauses (1) and (2) above are also satisfied, a non-U.S. holder who did not own more than 5% of the value of Wynn Resorts' common stock, actually or constructively, at any time during the shorter of the five-year period preceding the disposition or the non-U.S. holder's holding period, should not be subject to U.S. federal income tax on any gain realized on the disposition of Wynn Resorts' stock. It is possible, however, that, because of its concentrated ownership, Wynn Resorts' common stock will not be considered regularly traded despite being quoted on The Nasdaq National Market and regularly quoted by market makers. As a result, a non-U.S. holder could be subject to FIRPTA tax and withholding on a disposition of the common stock.</w:t>
      </w:r>
    </w:p>
    <w:p>
      <w:pPr>
        <w:spacing w:after="0" w:line="17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a non-U.S. holder is engaged in the conduct of a trade or business in the United States, gain on the disposition of Wynn Resorts' common stock that is effectively connected with the conduct of such trade or business and, where an income tax treaty applies, is attributable to a U.S. permanent establishment, will be taxed on a net basis at applicable graduated individual or corporate rates. Effectively connected gain of a foreign corporation may, under certain circumstances, be subject as well to a branch profits tax at a rate of 30% or a lower applicable treaty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Taxes</w:t>
      </w:r>
    </w:p>
    <w:p>
      <w:pPr>
        <w:spacing w:after="0" w:line="231" w:lineRule="exact"/>
        <w:rPr>
          <w:sz w:val="20"/>
          <w:szCs w:val="20"/>
          <w:color w:val="auto"/>
        </w:rPr>
      </w:pPr>
    </w:p>
    <w:p>
      <w:pPr>
        <w:jc w:val="both"/>
        <w:ind w:right="320" w:firstLine="348"/>
        <w:spacing w:after="0" w:line="335" w:lineRule="auto"/>
        <w:rPr>
          <w:sz w:val="20"/>
          <w:szCs w:val="20"/>
          <w:color w:val="auto"/>
        </w:rPr>
      </w:pPr>
      <w:r>
        <w:rPr>
          <w:rFonts w:ascii="Arial" w:cs="Arial" w:eastAsia="Arial" w:hAnsi="Arial"/>
          <w:sz w:val="15"/>
          <w:szCs w:val="15"/>
          <w:color w:val="auto"/>
        </w:rPr>
        <w:t>Wynn Resorts' common stock owned or treated as being owned by a non-U.S. holder at the time of death will be included in that holder's gross estate for U.S. federal estate tax purposes, unless an applicable estate tax treaty provides otherwise. Although the U.S. federal estate tax generally has been repealed for decedents dying in 2010, the repeal expires and, unless extended by new legislation, the U.S. federal estate tax will be reinstated beginning January 1, 2011.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Requirements and Backup Withholding Tax</w:t>
      </w:r>
    </w:p>
    <w:p>
      <w:pPr>
        <w:spacing w:after="0" w:line="23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U.S. information reporting on Form 1099 and backup withholding tax should not apply to dividends paid on Wynn Resorts' common stock to a non-U.S. holder, provided that the non-U.S. holder provides Wynn Resorts or its payor, as the case may be, with a properly executed Form W-8BEN (or satisfies certain certification or documentary evidence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requirements for establishing that it is a non-United States person under U.S. Treasury regulations) or otherwise establishes an exemption. Distributions on Wynn Resorts' common stock will, however, be reported to the IRS and to each non-U.S. holder on Form 1042-S.</w:t>
      </w:r>
    </w:p>
    <w:p>
      <w:pPr>
        <w:spacing w:after="0" w:line="186" w:lineRule="exact"/>
        <w:rPr>
          <w:sz w:val="20"/>
          <w:szCs w:val="20"/>
          <w:color w:val="auto"/>
        </w:rPr>
      </w:pPr>
    </w:p>
    <w:p>
      <w:pPr>
        <w:ind w:right="100" w:firstLine="351"/>
        <w:spacing w:after="0" w:line="284" w:lineRule="auto"/>
        <w:rPr>
          <w:sz w:val="20"/>
          <w:szCs w:val="20"/>
          <w:color w:val="auto"/>
        </w:rPr>
      </w:pPr>
      <w:r>
        <w:rPr>
          <w:rFonts w:ascii="Arial" w:cs="Arial" w:eastAsia="Arial" w:hAnsi="Arial"/>
          <w:sz w:val="16"/>
          <w:szCs w:val="16"/>
          <w:color w:val="auto"/>
        </w:rPr>
        <w:t>Information reporting and backup withholding also generally will not apply to a payment of the proceeds of a sale of Wynn Resorts' common stock effected outside the United States by a foreign office of a foreign broker. However, information reporting (but not backup withholding) will apply to a payment of the proceeds of a sale of Wynn Resorts' common stock effected outside the United States by a foreign office of a broker if the broker (1) is a United States person,</w:t>
      </w:r>
    </w:p>
    <w:p>
      <w:pPr>
        <w:spacing w:after="0" w:line="1" w:lineRule="exact"/>
        <w:rPr>
          <w:sz w:val="20"/>
          <w:szCs w:val="20"/>
          <w:color w:val="auto"/>
        </w:rPr>
      </w:pPr>
    </w:p>
    <w:p>
      <w:pPr>
        <w:ind w:right="80" w:firstLine="8"/>
        <w:spacing w:after="0" w:line="287" w:lineRule="auto"/>
        <w:tabs>
          <w:tab w:leader="none" w:pos="24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derives 50% or more of its gross income for certain periods from the conduct of a trade or business in the United States, (3) is a "controlled foreign corporation" as to the United States or (4) is a foreign partnership that, at any time during its taxable year, is 50%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by a U.S. office of a broker of the proceeds of a sale of Wynn Resorts' common stock will be subject to both backup withholding and information reporting unless the holder certifies its non-U.S. status under penalties of perjury or otherwise establishes an exemption. Pursuant to recent tax legislation the rate of backup withholding tax is currently 30% and will be reduced to 29% on January 1, 2004 and 28% on January 1, 2006. Unless extended by new legislation, however, the 31% backup withholding tax rate will be reinstated beginning January 1, 2011.</w:t>
      </w:r>
    </w:p>
    <w:p>
      <w:pPr>
        <w:spacing w:after="0" w:line="178"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Any amounts withheld under the backup withholding rules should be allowed as a refund or a credit against the non-U.S. holder's U.S. federal income tax liability provided the required information is furnished to the IRS.</w:t>
      </w:r>
    </w:p>
    <w:p>
      <w:pPr>
        <w:spacing w:after="0" w:line="180" w:lineRule="exact"/>
        <w:rPr>
          <w:sz w:val="20"/>
          <w:szCs w:val="20"/>
          <w:color w:val="auto"/>
        </w:rPr>
      </w:pPr>
    </w:p>
    <w:p>
      <w:pPr>
        <w:ind w:right="40" w:firstLine="351"/>
        <w:spacing w:after="0" w:line="262" w:lineRule="auto"/>
        <w:rPr>
          <w:sz w:val="20"/>
          <w:szCs w:val="20"/>
          <w:color w:val="auto"/>
        </w:rPr>
      </w:pPr>
      <w:r>
        <w:rPr>
          <w:rFonts w:ascii="Arial" w:cs="Arial" w:eastAsia="Arial" w:hAnsi="Arial"/>
          <w:sz w:val="18"/>
          <w:szCs w:val="18"/>
          <w:b w:val="1"/>
          <w:bCs w:val="1"/>
          <w:color w:val="auto"/>
        </w:rPr>
        <w:t>You are urged to consult your tax advisor in determining the tax consequences to you of the purchase, ownership, and disposition of Wynn Resorts' common stock, including the application to your particular situation of the federal income tax considerations discussed above and the application of state, local, foreign, or other tax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Bear, Stearns &amp; Co. Inc. and Banc of America Securities LLC, have agreed to purchase from us the following respective number of shares of common stock at a public offering price less the underwriting discounts and commissions set forth on the cover page of this prospectus:</w:t>
      </w:r>
    </w:p>
    <w:p>
      <w:pPr>
        <w:spacing w:after="0" w:line="156" w:lineRule="exact"/>
        <w:rPr>
          <w:sz w:val="20"/>
          <w:szCs w:val="20"/>
          <w:color w:val="auto"/>
        </w:rPr>
      </w:pPr>
    </w:p>
    <w:p>
      <w:pPr>
        <w:ind w:left="2120"/>
        <w:spacing w:after="0"/>
        <w:tabs>
          <w:tab w:leader="none" w:pos="808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66675</wp:posOffset>
            </wp:positionV>
            <wp:extent cx="4566285"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566285" cy="21590"/>
                    </a:xfrm>
                    <a:prstGeom prst="rect">
                      <a:avLst/>
                    </a:prstGeom>
                    <a:noFill/>
                  </pic:spPr>
                </pic:pic>
              </a:graphicData>
            </a:graphic>
          </wp:anchor>
        </w:drawing>
      </w:r>
    </w:p>
    <w:p>
      <w:pPr>
        <w:spacing w:after="0" w:line="21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94" w:name="page95"/>
    <w:bookmarkEnd w:id="94"/>
    <w:p>
      <w:pPr>
        <w:ind w:left="2120"/>
        <w:spacing w:after="0"/>
        <w:rPr>
          <w:sz w:val="20"/>
          <w:szCs w:val="20"/>
          <w:color w:val="auto"/>
        </w:rPr>
      </w:pPr>
      <w:r>
        <w:rPr>
          <w:rFonts w:ascii="Arial" w:cs="Arial" w:eastAsia="Arial" w:hAnsi="Arial"/>
          <w:sz w:val="18"/>
          <w:szCs w:val="18"/>
          <w:color w:val="auto"/>
        </w:rPr>
        <w:t>Dresdner Kleinwort Wasserstein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70585"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other than those covered by the over-allotment option described below, if any of these shares are purchased.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been advised by the representatives of the underwriters that the underwriters propose to offer the shares of common stock to the public at the public</w:t>
      </w:r>
    </w:p>
    <w:p>
      <w:pPr>
        <w:spacing w:after="0" w:line="50" w:lineRule="exact"/>
        <w:rPr>
          <w:sz w:val="20"/>
          <w:szCs w:val="20"/>
          <w:color w:val="auto"/>
        </w:rPr>
      </w:pPr>
    </w:p>
    <w:p>
      <w:pPr>
        <w:spacing w:after="0"/>
        <w:tabs>
          <w:tab w:leader="none" w:pos="9320" w:val="left"/>
        </w:tabs>
        <w:rPr>
          <w:sz w:val="20"/>
          <w:szCs w:val="20"/>
          <w:color w:val="auto"/>
        </w:rPr>
      </w:pPr>
      <w:r>
        <w:rPr>
          <w:rFonts w:ascii="Arial" w:cs="Arial" w:eastAsia="Arial" w:hAnsi="Arial"/>
          <w:sz w:val="18"/>
          <w:szCs w:val="18"/>
          <w:color w:val="auto"/>
        </w:rPr>
        <w:t>offering price set forth on the cover of this prospectus and to dealers at a price that represents a concession not in excess of $[</w:t>
      </w:r>
      <w:r>
        <w:rPr>
          <w:sz w:val="20"/>
          <w:szCs w:val="20"/>
          <w:color w:val="auto"/>
        </w:rPr>
        <w:tab/>
      </w:r>
      <w:r>
        <w:rPr>
          <w:rFonts w:ascii="Arial" w:cs="Arial" w:eastAsia="Arial" w:hAnsi="Arial"/>
          <w:sz w:val="15"/>
          <w:szCs w:val="15"/>
          <w:color w:val="auto"/>
        </w:rPr>
        <w:t>] per share under the public</w:t>
      </w:r>
    </w:p>
    <w:p>
      <w:pPr>
        <w:spacing w:after="0" w:line="9" w:lineRule="exact"/>
        <w:rPr>
          <w:sz w:val="20"/>
          <w:szCs w:val="20"/>
          <w:color w:val="auto"/>
        </w:rPr>
      </w:pPr>
    </w:p>
    <w:p>
      <w:pPr>
        <w:spacing w:after="0"/>
        <w:tabs>
          <w:tab w:leader="none" w:pos="8160" w:val="left"/>
        </w:tabs>
        <w:rPr>
          <w:sz w:val="20"/>
          <w:szCs w:val="20"/>
          <w:color w:val="auto"/>
        </w:rPr>
      </w:pPr>
      <w:r>
        <w:rPr>
          <w:rFonts w:ascii="Arial" w:cs="Arial" w:eastAsia="Arial" w:hAnsi="Arial"/>
          <w:sz w:val="18"/>
          <w:szCs w:val="18"/>
          <w:color w:val="auto"/>
        </w:rPr>
        <w:t>offering price. The underwriters may allow, and these dealers may re-allow, a concession of not more than $[</w:t>
      </w:r>
      <w:r>
        <w:rPr>
          <w:sz w:val="20"/>
          <w:szCs w:val="20"/>
          <w:color w:val="auto"/>
        </w:rPr>
        <w:tab/>
      </w:r>
      <w:r>
        <w:rPr>
          <w:rFonts w:ascii="Arial" w:cs="Arial" w:eastAsia="Arial" w:hAnsi="Arial"/>
          <w:sz w:val="16"/>
          <w:szCs w:val="16"/>
          <w:color w:val="auto"/>
        </w:rPr>
        <w:t>] per share to other dealers. After the initial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representatives of the underwriters may change the offering price and other selling terms.</w:t>
      </w:r>
    </w:p>
    <w:p>
      <w:pPr>
        <w:spacing w:after="0" w:line="219" w:lineRule="exact"/>
        <w:rPr>
          <w:sz w:val="20"/>
          <w:szCs w:val="20"/>
          <w:color w:val="auto"/>
        </w:rPr>
      </w:pPr>
    </w:p>
    <w:p>
      <w:pPr>
        <w:ind w:left="360"/>
        <w:spacing w:after="0"/>
        <w:tabs>
          <w:tab w:leader="none" w:pos="10180" w:val="left"/>
        </w:tabs>
        <w:rPr>
          <w:sz w:val="20"/>
          <w:szCs w:val="20"/>
          <w:color w:val="auto"/>
        </w:rPr>
      </w:pPr>
      <w:r>
        <w:rPr>
          <w:rFonts w:ascii="Arial" w:cs="Arial" w:eastAsia="Arial" w:hAnsi="Arial"/>
          <w:sz w:val="16"/>
          <w:szCs w:val="16"/>
          <w:color w:val="auto"/>
        </w:rPr>
        <w:t>We have granted to the underwriters an option, exercisable not later than 30 days after the date of this prospectus, to purchase up to [</w:t>
      </w:r>
      <w:r>
        <w:rPr>
          <w:sz w:val="20"/>
          <w:szCs w:val="20"/>
          <w:color w:val="auto"/>
        </w:rPr>
        <w:tab/>
      </w:r>
      <w:r>
        <w:rPr>
          <w:rFonts w:ascii="Arial" w:cs="Arial" w:eastAsia="Arial" w:hAnsi="Arial"/>
          <w:sz w:val="16"/>
          <w:szCs w:val="16"/>
          <w:color w:val="auto"/>
        </w:rPr>
        <w:t>] additional</w:t>
      </w:r>
    </w:p>
    <w:p>
      <w:pPr>
        <w:spacing w:after="0" w:line="3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shares of common stock at the public offering price less the underwriting discounts and commissions set forth on the cover page of this prospectus. The underwriters may exercise this option only to cover over-allotments made in connection with the sale of the common stock offered by this prospectus.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shares are being offered.</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underwriting discounts and commissions per share are equal to the public offering price per share of common stock less the amount paid by the</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underwriters to us per share of common stock. The underwriting discounts and commissions are [ ]% of the initial public offering price. We have agreed to pay the underwriters the following discounts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commissions, assuming either no exercise or full exercise by the underwriters of the underwriters' over-allotment option: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gridSpan w:val="3"/>
          </w:tcPr>
          <w:p>
            <w:pPr>
              <w:jc w:val="right"/>
              <w:ind w:right="1672"/>
              <w:spacing w:after="0"/>
              <w:rPr>
                <w:sz w:val="20"/>
                <w:szCs w:val="20"/>
                <w:color w:val="auto"/>
              </w:rPr>
            </w:pPr>
            <w:r>
              <w:rPr>
                <w:rFonts w:ascii="Arial" w:cs="Arial" w:eastAsia="Arial" w:hAnsi="Arial"/>
                <w:sz w:val="14"/>
                <w:szCs w:val="14"/>
                <w:b w:val="1"/>
                <w:bCs w:val="1"/>
                <w:color w:val="auto"/>
              </w:rPr>
              <w:t>Total Fees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86"/>
              </w:rPr>
              <w:t>Without Exercise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9"/>
              </w:rPr>
              <w:t>With Full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Fee per Share</w:t>
            </w: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19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47"/>
              <w:spacing w:after="0"/>
              <w:rPr>
                <w:sz w:val="20"/>
                <w:szCs w:val="20"/>
                <w:color w:val="auto"/>
              </w:rPr>
            </w:pPr>
            <w:r>
              <w:rPr>
                <w:rFonts w:ascii="Arial" w:cs="Arial" w:eastAsia="Arial" w:hAnsi="Arial"/>
                <w:sz w:val="18"/>
                <w:szCs w:val="18"/>
                <w:color w:val="auto"/>
                <w:w w:val="79"/>
              </w:rPr>
              <w:t>$</w:t>
            </w:r>
          </w:p>
        </w:tc>
        <w:tc>
          <w:tcPr>
            <w:tcW w:w="2460" w:type="dxa"/>
            <w:vAlign w:val="bottom"/>
            <w:gridSpan w:val="3"/>
            <w:shd w:val="clear" w:color="auto" w:fill="CCEEFF"/>
          </w:tcPr>
          <w:p>
            <w:pPr>
              <w:jc w:val="right"/>
              <w:ind w:right="1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-655320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-655320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-217805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-217805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-217805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-217805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-217805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-217805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we estimate that our share of the total expenses of this offering, excluding underwriting discounts and commissions, will be approximately</w:t>
      </w:r>
    </w:p>
    <w:p>
      <w:pPr>
        <w:spacing w:after="0" w:line="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1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all of our officers and directors and all of our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our common stock or any equity securities convertible into or exercisable or exchangeable for shares of our common stock; or enter into any swap or other arrangement that transfers to another, in whole or in part, any economic consequences of ownership of our common stock during the period ending 180 days after the date of this prospectus without the prior written consent of Deutsche Bank Securities Inc., Bear, Stearns &amp; Co. Inc. and Banc of America Securities LLC, the representatives on behalf of the underwriters.</w:t>
      </w:r>
    </w:p>
    <w:p>
      <w:pPr>
        <w:spacing w:after="0" w:line="17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70"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86"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shares sold by or for the account of that underwriter in stabilizing or short covering transactions.</w:t>
      </w:r>
    </w:p>
    <w:p>
      <w:pPr>
        <w:sectPr>
          <w:pgSz w:w="11900" w:h="16838" w:orient="portrait"/>
          <w:cols w:equalWidth="0" w:num="1">
            <w:col w:w="11420"/>
          </w:cols>
          <w:pgMar w:left="240" w:top="158" w:right="2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1420"/>
          </w:cols>
          <w:pgMar w:left="240" w:top="158" w:right="239" w:bottom="0" w:gutter="0" w:footer="0" w:header="0"/>
          <w:type w:val="continuous"/>
        </w:sectPr>
      </w:pPr>
    </w:p>
    <w:bookmarkStart w:id="95" w:name="page96"/>
    <w:bookmarkEnd w:id="95"/>
    <w:p>
      <w:pPr>
        <w:ind w:right="140" w:firstLine="351"/>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19050"/>
                    </a:xfrm>
                    <a:prstGeom prst="rect">
                      <a:avLst/>
                    </a:prstGeom>
                    <a:noFill/>
                  </pic:spPr>
                </pic:pic>
              </a:graphicData>
            </a:graphic>
          </wp:anchor>
        </w:drawing>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New York Stock Exchange, in the over-the-counter market or otherwise.</w:t>
      </w:r>
    </w:p>
    <w:p>
      <w:pPr>
        <w:spacing w:after="0" w:line="197" w:lineRule="exact"/>
        <w:rPr>
          <w:sz w:val="20"/>
          <w:szCs w:val="20"/>
          <w:color w:val="auto"/>
        </w:rPr>
      </w:pPr>
    </w:p>
    <w:p>
      <w:pPr>
        <w:ind w:left="340"/>
        <w:spacing w:after="0"/>
        <w:tabs>
          <w:tab w:leader="none" w:pos="7540" w:val="left"/>
        </w:tabs>
        <w:rPr>
          <w:sz w:val="20"/>
          <w:szCs w:val="20"/>
          <w:color w:val="auto"/>
        </w:rPr>
      </w:pPr>
      <w:r>
        <w:rPr>
          <w:rFonts w:ascii="Arial" w:cs="Arial" w:eastAsia="Arial" w:hAnsi="Arial"/>
          <w:sz w:val="18"/>
          <w:szCs w:val="18"/>
          <w:color w:val="auto"/>
        </w:rPr>
        <w:t>At our request, the underwriters have reserved for sale at the initial public offering price up to [</w:t>
      </w:r>
      <w:r>
        <w:rPr>
          <w:sz w:val="20"/>
          <w:szCs w:val="20"/>
          <w:color w:val="auto"/>
        </w:rPr>
        <w:tab/>
      </w:r>
      <w:r>
        <w:rPr>
          <w:rFonts w:ascii="Arial" w:cs="Arial" w:eastAsia="Arial" w:hAnsi="Arial"/>
          <w:sz w:val="16"/>
          <w:szCs w:val="16"/>
          <w:color w:val="auto"/>
        </w:rPr>
        <w:t>] shares of our common stock being sold in this</w:t>
      </w:r>
    </w:p>
    <w:p>
      <w:pPr>
        <w:spacing w:after="0" w:line="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offering for our vendors, employees, family members of employees, customers and other third parties. The number of shares of our common stock available for the sale to the general public will be reduced to the extent these reserved shares are purchased. Any reserved shares not purchased by these persons will be offered by the underwriters to the general public on the same basis as the other shares in this offering.</w:t>
      </w:r>
    </w:p>
    <w:p>
      <w:pPr>
        <w:spacing w:after="0" w:line="198"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 prospectus in electronic format may be made available on Internet web sites maintained by one or more of the joint book-running managers of this offering and may be made available on web sites maintained by other underwriters. The representatives may agree to allocate a number of shares of common stock to underwriters for sale to their online brokerage account holders. The representatives may allocate shares of common stock to underwriters that may make Internet distributions on the same basis as other allocations. In addition, shares of common stock may be sold by the underwriters to securities dealers who may resell shares of common stock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Consequently, the initial public offering price of our common stock will be determined by negotiation among us and the representatives of the underwriters. The primary factors that will be considered in determining the public offering price include:</w:t>
      </w:r>
    </w:p>
    <w:p>
      <w:pPr>
        <w:spacing w:after="0" w:line="208" w:lineRule="exact"/>
        <w:rPr>
          <w:sz w:val="20"/>
          <w:szCs w:val="20"/>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present stage of our development;</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market capitalizations and stages of development of other companies that we and the representatives of the underwriters believe to be comparable to our business;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estimates of our business potential.</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Deutsche Bank Securities Inc., Bear, Stearns &amp; Co. Inc., Banc of America Securities LLC and Dresdner Kleinwort Wasserstein Securities LLC, or one of their respective affiliates, will provide investment banking services to us and our subsidiaries and affiliates in connection with other financings expected to close concurrently with this offering, and will receive certain fees for their services.</w:t>
      </w:r>
    </w:p>
    <w:p>
      <w:pPr>
        <w:spacing w:after="0" w:line="194"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Deutsche Bank Trust Company Americas, an affiliate of Deutsche Bank Securities Inc., will act as the sole administrative agent and as a lender under our subsidiaries' credit facilities and will receive certain fees for its services. In addition, Deutsche Bank Securities Inc. will act as advisor, joint book-running manager and joint lead-arranger in connection with the credit facilities and will receive certain fees for its services.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94"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 See "Description of Certain Indebtedness—Credit Facilities."</w:t>
      </w:r>
    </w:p>
    <w:p>
      <w:pPr>
        <w:spacing w:after="0" w:line="16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Bank of America, N.A. and Banc of America Leasing &amp; Capital LLC, affiliates of Banc of America Securities LLC, and Deutsche Bank Securities Inc. will act as arrangers under the FF&amp;E facility and will receive certain fees for their services. Wynn Las Vegas intends to use approximately $28.5 million of borrowings under the FF&amp;E facility to refinance a loan made by Bank of America, N.A. to World Travel, LLC, a wholly owned subsidiary of Valvino.</w:t>
      </w:r>
    </w:p>
    <w:p>
      <w:pPr>
        <w:spacing w:after="0" w:line="161"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Affiliates of Dresdner Kleinwort Wasserstein Securities LLC and J.P. Morgan Securities Inc. may participate in the credit facilities and/or FF&amp;E facility and will receive certain fees for their services.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Some of the underwriters or their affiliates have provided investment and commercial banking services to us and our subsidiaries and our affiliates in the past and may do so in the future. They receive customary fees and commissions for these services.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Selected legal matters in connection with this offering will be passed upon for Wynn Resorts by Irell &amp; Manella LLP, Los Angeles, California and for the underwriters by Latham &amp; Watkins, Los Angeles, California. Certain matters of Nevada law, including the validity of the common stock offered hereby, will be</w:t>
      </w:r>
    </w:p>
    <w:p>
      <w:pPr>
        <w:sectPr>
          <w:pgSz w:w="11900" w:h="16838" w:orient="portrait"/>
          <w:cols w:equalWidth="0" w:num="1">
            <w:col w:w="11420"/>
          </w:cols>
          <w:pgMar w:left="240" w:top="374" w:right="239" w:bottom="0" w:gutter="0" w:footer="0" w:header="0"/>
        </w:sectPr>
      </w:pPr>
    </w:p>
    <w:bookmarkStart w:id="96" w:name="page97"/>
    <w:bookmarkEnd w:id="96"/>
    <w:p>
      <w:pPr>
        <w:ind w:right="360"/>
        <w:spacing w:after="0" w:line="370" w:lineRule="auto"/>
        <w:rPr>
          <w:sz w:val="20"/>
          <w:szCs w:val="20"/>
          <w:color w:val="auto"/>
        </w:rPr>
      </w:pPr>
      <w:r>
        <w:rPr>
          <w:rFonts w:ascii="Arial" w:cs="Arial" w:eastAsia="Arial" w:hAnsi="Arial"/>
          <w:sz w:val="15"/>
          <w:szCs w:val="15"/>
          <w:color w:val="auto"/>
        </w:rPr>
        <w:t>passed upon for us by Schreck Brignone Godfrey, Las Vegas, Nevada. Certain matters of the law of the Macau Special Administrative Region of the People's Republic of China will be passed upon for Wynn Resorts by A. Correia da Silva, Macau Special Administrative Region of the People's Republic of China.</w:t>
      </w: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appearing herein and elsewhere in the registration statement, and have been so included in reliance upon the reports of such firm given upon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ACCOUNTANTS</w:t>
      </w:r>
    </w:p>
    <w:p>
      <w:pPr>
        <w:spacing w:after="0" w:line="23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 Through the present date, there have been no disagreements between Valvino and Andersen on any matter of accounting principles or practices, financial statement disclosure, or auditing scope or procedure, which disagreements,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74"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Valvino named Deloitte &amp; Touche LLP ("Deloitte &amp; Touche") as its new independent accountants in May, 2002. Prior to their appointment as independent accountants,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Resorts has filed with the Securities and Exchange Commission, referred to as the SEC, a registration statement on Form S-1 with respect to the common stock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Resorts to omit various information about Wynn Resorts and its capital stock. For further information with respect to Wynn Resorts and its common stock, we refer you to the registration statement and exhibits and schedules filed as part of the registration statement. Statements contained in this prospectus concerning the contents of any contract or any other documents are not necessarily complete. If a contract or document has been filed as an exhibit to the registration statement, we refer you to the copy of the contract or document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that has been filed. Each statement in this prospectus relating to a contract or document filed as an exhibit is qualified in all respects by the filed exhibit. Any document Wynn Resorts files may be read and copied at the SEC's public reference room at 450 Fifth Street, N.W., Washington, D.C. 20549. Please call the SEC at 1-800-SEC-0330 for further information about the public reference room. Wynn Resorts' filings with the SEC are also available to the public from the SEC's Web site at http://www.sec.gov.</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Wynn Resorts does not currently file periodic reports, proxy statements or other information with the SEC. However, upon completion of this offering, Wynn Resorts will become subject to the information and periodic reporting requirements of the Securities Exchange Act, as amended, and, accordingly, will file periodic reports, proxy statements and other information with the SEC. Such periodic reports, proxy statements and other information will be available for inspection and copying at the SEC's public reference room, and the Web site of the SEC referred to above.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5480" w:type="dxa"/>
            <w:vAlign w:val="bottom"/>
          </w:tcPr>
          <w:p>
            <w:pPr>
              <w:ind w:left="100"/>
              <w:spacing w:after="0"/>
              <w:rPr>
                <w:sz w:val="20"/>
                <w:szCs w:val="20"/>
                <w:color w:val="auto"/>
              </w:rPr>
            </w:pPr>
            <w:r>
              <w:rPr>
                <w:rFonts w:ascii="Arial" w:cs="Arial" w:eastAsia="Arial" w:hAnsi="Arial"/>
                <w:sz w:val="18"/>
                <w:szCs w:val="18"/>
                <w:b w:val="1"/>
                <w:bCs w:val="1"/>
                <w:color w:val="auto"/>
              </w:rPr>
              <w:t>INDEX TO CONSOLIDATED FINANCIAL STATEMENTS</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Valvino Lamore, LLC and Subsidiaries</w:t>
            </w:r>
          </w:p>
        </w:tc>
        <w:tc>
          <w:tcPr>
            <w:tcW w:w="5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Development Stage Company)</w:t>
            </w:r>
          </w:p>
        </w:tc>
        <w:tc>
          <w:tcPr>
            <w:tcW w:w="5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300" w:type="dxa"/>
            <w:vAlign w:val="bottom"/>
            <w:gridSpan w:val="2"/>
          </w:tcPr>
          <w:p>
            <w:pPr>
              <w:spacing w:after="0"/>
              <w:rPr>
                <w:sz w:val="20"/>
                <w:szCs w:val="20"/>
                <w:color w:val="auto"/>
              </w:rPr>
            </w:pPr>
            <w:r>
              <w:rPr>
                <w:rFonts w:ascii="Arial" w:cs="Arial" w:eastAsia="Arial" w:hAnsi="Arial"/>
                <w:sz w:val="18"/>
                <w:szCs w:val="18"/>
                <w:color w:val="auto"/>
              </w:rPr>
              <w:t>Independent Auditors' Report</w:t>
            </w:r>
          </w:p>
        </w:tc>
        <w:tc>
          <w:tcPr>
            <w:tcW w:w="5480" w:type="dxa"/>
            <w:vAlign w:val="bottom"/>
          </w:tcPr>
          <w:p>
            <w:pPr>
              <w:ind w:left="5240"/>
              <w:spacing w:after="0"/>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w:t>
            </w:r>
          </w:p>
        </w:tc>
        <w:tc>
          <w:tcPr>
            <w:tcW w:w="5480" w:type="dxa"/>
            <w:vAlign w:val="bottom"/>
            <w:shd w:val="clear" w:color="auto" w:fill="CCEEFF"/>
          </w:tcPr>
          <w:p>
            <w:pPr>
              <w:ind w:left="5240"/>
              <w:spacing w:after="0"/>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431"/>
        </w:trPr>
        <w:tc>
          <w:tcPr>
            <w:tcW w:w="330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w:t>
            </w:r>
          </w:p>
        </w:tc>
        <w:tc>
          <w:tcPr>
            <w:tcW w:w="5480" w:type="dxa"/>
            <w:vAlign w:val="bottom"/>
          </w:tcPr>
          <w:p>
            <w:pPr>
              <w:ind w:left="5240"/>
              <w:spacing w:after="0"/>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0"/>
              </w:rPr>
              <w:t>Consolidated Statements of Members' Equity</w:t>
            </w:r>
          </w:p>
        </w:tc>
        <w:tc>
          <w:tcPr>
            <w:tcW w:w="5480" w:type="dxa"/>
            <w:vAlign w:val="bottom"/>
            <w:shd w:val="clear" w:color="auto" w:fill="CCEEFF"/>
          </w:tcPr>
          <w:p>
            <w:pPr>
              <w:ind w:left="5240"/>
              <w:spacing w:after="0"/>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431"/>
        </w:trPr>
        <w:tc>
          <w:tcPr>
            <w:tcW w:w="330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w:t>
            </w:r>
          </w:p>
        </w:tc>
        <w:tc>
          <w:tcPr>
            <w:tcW w:w="5480" w:type="dxa"/>
            <w:vAlign w:val="bottom"/>
          </w:tcPr>
          <w:p>
            <w:pPr>
              <w:ind w:left="5240"/>
              <w:spacing w:after="0"/>
              <w:rPr>
                <w:sz w:val="20"/>
                <w:szCs w:val="20"/>
                <w:color w:val="auto"/>
              </w:rPr>
            </w:pPr>
            <w:r>
              <w:rPr>
                <w:rFonts w:ascii="Arial" w:cs="Arial" w:eastAsia="Arial" w:hAnsi="Arial"/>
                <w:sz w:val="18"/>
                <w:szCs w:val="18"/>
                <w:color w:val="auto"/>
                <w:w w:val="81"/>
              </w:rPr>
              <w:t>F-6</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3"/>
              </w:rPr>
              <w:t>Notes to Consolidated Financial Statements</w:t>
            </w:r>
          </w:p>
        </w:tc>
        <w:tc>
          <w:tcPr>
            <w:tcW w:w="5480" w:type="dxa"/>
            <w:vAlign w:val="bottom"/>
            <w:shd w:val="clear" w:color="auto" w:fill="CCEEFF"/>
          </w:tcPr>
          <w:p>
            <w:pPr>
              <w:ind w:left="5240"/>
              <w:spacing w:after="0"/>
              <w:rPr>
                <w:sz w:val="20"/>
                <w:szCs w:val="20"/>
                <w:color w:val="auto"/>
              </w:rPr>
            </w:pPr>
            <w:r>
              <w:rPr>
                <w:rFonts w:ascii="Arial" w:cs="Arial" w:eastAsia="Arial" w:hAnsi="Arial"/>
                <w:sz w:val="18"/>
                <w:szCs w:val="18"/>
                <w:color w:val="auto"/>
                <w:w w:val="81"/>
              </w:rPr>
              <w:t>F-8</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480" w:type="dxa"/>
            <w:vAlign w:val="bottom"/>
          </w:tcPr>
          <w:p>
            <w:pPr>
              <w:ind w:left="230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4763"/>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97" w:name="page98"/>
    <w:bookmarkEnd w:id="97"/>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audited the accompanying consolidated balance sheets of Valvino Lamore, LLC and subsidiaries (a development stage company)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2001 and 2000, and the related consolidated statements of operations, members' equity, and cash flows for the year ended December 31, 2001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inception (April 21, 2000) to December 31, 2000. These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financial statements based on our audits.</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35"/>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5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4"/>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39,271</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Due from related parties, current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191,858</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41,507</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380,236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337,464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313,022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Due from related parties, net of current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586,407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390,788</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00" w:type="dxa"/>
            <w:vAlign w:val="bottom"/>
            <w:gridSpan w:val="2"/>
            <w:vMerge w:val="continue"/>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52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2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7,272</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2,071</w:t>
            </w:r>
          </w:p>
        </w:tc>
        <w:tc>
          <w:tcPr>
            <w:tcW w:w="20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52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28,140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52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412,572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-5149215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-5149215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-5149215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-5149215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-5149215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-5149215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-3510915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-3510915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-3510915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-3510915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-3510915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-3510915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-2516505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-2516505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-2516505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-2516505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-2516505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-2516505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-1058545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-1058545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-1058545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-1058545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-1058545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-1058545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7" w:orient="portrait"/>
          <w:cols w:equalWidth="0" w:num="1">
            <w:col w:w="11380"/>
          </w:cols>
          <w:pgMar w:left="240" w:top="571" w:right="279" w:bottom="0" w:gutter="0" w:footer="0" w:header="0"/>
        </w:sectPr>
      </w:pPr>
    </w:p>
    <w:bookmarkStart w:id="98" w:name="page99"/>
    <w:bookmarkEnd w:id="9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Deficit accumulated from inception during the development stage</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(40,747)</w:t>
            </w:r>
          </w:p>
        </w:tc>
        <w:tc>
          <w:tcPr>
            <w:tcW w:w="5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(26,054)</w:t>
            </w:r>
          </w:p>
        </w:tc>
        <w:tc>
          <w:tcPr>
            <w:tcW w:w="7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(9,155)</w:t>
            </w:r>
          </w:p>
        </w:tc>
        <w:tc>
          <w:tcPr>
            <w:tcW w:w="1260" w:type="dxa"/>
            <w:vAlign w:val="bottom"/>
          </w:tcPr>
          <w:p>
            <w:pPr>
              <w:spacing w:after="0"/>
              <w:rPr>
                <w:sz w:val="19"/>
                <w:szCs w:val="19"/>
                <w:color w:val="auto"/>
              </w:rPr>
            </w:pPr>
          </w:p>
        </w:tc>
      </w:tr>
      <w:tr>
        <w:trPr>
          <w:trHeight w:val="120"/>
        </w:trPr>
        <w:tc>
          <w:tcPr>
            <w:tcW w:w="5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05"/>
        </w:trPr>
        <w:tc>
          <w:tcPr>
            <w:tcW w:w="5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386,518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383,417</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118"/>
        </w:trPr>
        <w:tc>
          <w:tcPr>
            <w:tcW w:w="5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346"/>
        </w:trPr>
        <w:tc>
          <w:tcPr>
            <w:tcW w:w="5200" w:type="dxa"/>
            <w:vAlign w:val="bottom"/>
          </w:tcPr>
          <w:p>
            <w:pPr>
              <w:ind w:left="220"/>
              <w:spacing w:after="0"/>
              <w:rPr>
                <w:sz w:val="20"/>
                <w:szCs w:val="20"/>
                <w:color w:val="auto"/>
              </w:rPr>
            </w:pPr>
            <w:r>
              <w:rPr>
                <w:rFonts w:ascii="Arial" w:cs="Arial" w:eastAsia="Arial" w:hAnsi="Arial"/>
                <w:sz w:val="18"/>
                <w:szCs w:val="18"/>
                <w:color w:val="auto"/>
              </w:rPr>
              <w:t>Total Liabilities and Members' Equity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586,407</w:t>
            </w:r>
          </w:p>
        </w:tc>
        <w:tc>
          <w:tcPr>
            <w:tcW w:w="200" w:type="dxa"/>
            <w:vAlign w:val="bottom"/>
          </w:tcPr>
          <w:p>
            <w:pPr>
              <w:spacing w:after="0"/>
              <w:rPr>
                <w:sz w:val="24"/>
                <w:szCs w:val="24"/>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390,788</w:t>
            </w:r>
          </w:p>
        </w:tc>
        <w:tc>
          <w:tcPr>
            <w:tcW w:w="200" w:type="dxa"/>
            <w:vAlign w:val="bottom"/>
          </w:tcPr>
          <w:p>
            <w:pPr>
              <w:spacing w:after="0"/>
              <w:rPr>
                <w:sz w:val="24"/>
                <w:szCs w:val="24"/>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388,467</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7"/>
        </w:trPr>
        <w:tc>
          <w:tcPr>
            <w:tcW w:w="5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61"/>
        </w:trPr>
        <w:tc>
          <w:tcPr>
            <w:tcW w:w="5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535"/>
        </w:trPr>
        <w:tc>
          <w:tcPr>
            <w:tcW w:w="9200" w:type="dxa"/>
            <w:vAlign w:val="bottom"/>
            <w:gridSpan w:val="8"/>
          </w:tcPr>
          <w:p>
            <w:pPr>
              <w:jc w:val="right"/>
              <w:ind w:right="192"/>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900"/>
              <w:spacing w:after="0"/>
              <w:rPr>
                <w:sz w:val="20"/>
                <w:szCs w:val="20"/>
                <w:color w:val="auto"/>
              </w:rPr>
            </w:pPr>
            <w:r>
              <w:rPr>
                <w:rFonts w:ascii="Arial" w:cs="Arial" w:eastAsia="Arial" w:hAnsi="Arial"/>
                <w:sz w:val="18"/>
                <w:szCs w:val="18"/>
                <w:color w:val="auto"/>
              </w:rPr>
              <w:t>F-3</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8"/>
        </w:trPr>
        <w:tc>
          <w:tcPr>
            <w:tcW w:w="5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-1403350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-1403350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-1403350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-1403350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-1403350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-1403350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-1111885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-1111885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-1111885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-1111885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-1111885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-1111885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12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From Inception to</w:t>
            </w:r>
          </w:p>
        </w:tc>
        <w:tc>
          <w:tcPr>
            <w:tcW w:w="10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2001</w:t>
            </w:r>
          </w:p>
        </w:tc>
        <w:tc>
          <w:tcPr>
            <w:tcW w:w="1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December 31, 2001</w:t>
            </w:r>
          </w:p>
        </w:tc>
        <w:tc>
          <w:tcPr>
            <w:tcW w:w="10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December 31, 2000</w:t>
            </w:r>
          </w:p>
        </w:tc>
        <w:tc>
          <w:tcPr>
            <w:tcW w:w="10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Airplane lease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69</w:t>
            </w: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336</w:t>
            </w:r>
          </w:p>
        </w:tc>
        <w:tc>
          <w:tcPr>
            <w:tcW w:w="80" w:type="dxa"/>
            <w:vAlign w:val="bottom"/>
          </w:tcPr>
          <w:p>
            <w:pPr>
              <w:spacing w:after="0"/>
              <w:rPr>
                <w:sz w:val="21"/>
                <w:szCs w:val="2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838</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Art gallery</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Retail</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Water</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88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918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1,206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Pre-opening costs</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9,193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10,980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24,695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Depreciation and</w:t>
            </w:r>
          </w:p>
        </w:tc>
        <w:tc>
          <w:tcPr>
            <w:tcW w:w="100" w:type="dxa"/>
            <w:vAlign w:val="bottom"/>
            <w:shd w:val="clear" w:color="auto" w:fill="CCEEFF"/>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3,966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4,021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7,979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3,681</w:t>
            </w: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15,626</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w w:val="96"/>
              </w:rPr>
              <w:t>Loss on affiliate acquisitions</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2,092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2,092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Loss on sale of fixed assets</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ind w:left="160"/>
              <w:spacing w:after="0" w:line="138" w:lineRule="exact"/>
              <w:rPr>
                <w:sz w:val="20"/>
                <w:szCs w:val="20"/>
                <w:color w:val="auto"/>
              </w:rPr>
            </w:pPr>
            <w:r>
              <w:rPr>
                <w:rFonts w:ascii="Arial" w:cs="Arial" w:eastAsia="Arial" w:hAnsi="Arial"/>
                <w:sz w:val="14"/>
                <w:szCs w:val="14"/>
                <w:color w:val="auto"/>
              </w:rPr>
              <w:t>Selling, general &amp;</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60"/>
              <w:spacing w:after="0" w:line="159" w:lineRule="exact"/>
              <w:rPr>
                <w:sz w:val="20"/>
                <w:szCs w:val="20"/>
                <w:color w:val="auto"/>
              </w:rPr>
            </w:pPr>
            <w:r>
              <w:rPr>
                <w:rFonts w:ascii="Arial" w:cs="Arial" w:eastAsia="Arial" w:hAnsi="Arial"/>
                <w:sz w:val="14"/>
                <w:szCs w:val="14"/>
                <w:color w:val="auto"/>
              </w:rPr>
              <w:t>administrative expenses</w:t>
            </w:r>
          </w:p>
        </w:tc>
        <w:tc>
          <w:tcPr>
            <w:tcW w:w="10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273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194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376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4"/>
                <w:szCs w:val="14"/>
                <w:color w:val="auto"/>
              </w:rPr>
              <w:t>649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Facility closure expenses</w:t>
            </w: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Cost of water</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retail sales</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ind w:left="160"/>
              <w:spacing w:after="0" w:line="138" w:lineRule="exact"/>
              <w:rPr>
                <w:sz w:val="20"/>
                <w:szCs w:val="20"/>
                <w:color w:val="auto"/>
              </w:rPr>
            </w:pPr>
            <w:r>
              <w:rPr>
                <w:rFonts w:ascii="Arial" w:cs="Arial" w:eastAsia="Arial" w:hAnsi="Arial"/>
                <w:sz w:val="14"/>
                <w:szCs w:val="14"/>
                <w:color w:val="auto"/>
              </w:rPr>
              <w:t>Loss from incidental</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operations</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1,428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Expenses</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15,915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10,572</w:t>
            </w: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46,638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Operating Loss</w:t>
            </w:r>
          </w:p>
        </w:tc>
        <w:tc>
          <w:tcPr>
            <w:tcW w:w="10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(15,627)</w:t>
            </w:r>
          </w:p>
        </w:tc>
        <w:tc>
          <w:tcPr>
            <w:tcW w:w="10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(9,471)</w:t>
            </w:r>
          </w:p>
        </w:tc>
        <w:tc>
          <w:tcPr>
            <w:tcW w:w="1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(19,233)</w:t>
            </w:r>
          </w:p>
        </w:tc>
        <w:tc>
          <w:tcPr>
            <w:tcW w:w="10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(10,572)</w:t>
            </w:r>
          </w:p>
        </w:tc>
        <w:tc>
          <w:tcPr>
            <w:tcW w:w="10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(45,432)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Income/(Expense)</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ind w:left="160"/>
              <w:spacing w:after="0" w:line="138" w:lineRule="exact"/>
              <w:rPr>
                <w:sz w:val="20"/>
                <w:szCs w:val="20"/>
                <w:color w:val="auto"/>
              </w:rPr>
            </w:pPr>
            <w:r>
              <w:rPr>
                <w:rFonts w:ascii="Arial" w:cs="Arial" w:eastAsia="Arial" w:hAnsi="Arial"/>
                <w:sz w:val="14"/>
                <w:szCs w:val="14"/>
                <w:color w:val="auto"/>
              </w:rPr>
              <w:t>Interest expense, net of</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160"/>
              <w:spacing w:after="0" w:line="159" w:lineRule="exact"/>
              <w:rPr>
                <w:sz w:val="20"/>
                <w:szCs w:val="20"/>
                <w:color w:val="auto"/>
              </w:rPr>
            </w:pPr>
            <w:r>
              <w:rPr>
                <w:rFonts w:ascii="Arial" w:cs="Arial" w:eastAsia="Arial" w:hAnsi="Arial"/>
                <w:sz w:val="14"/>
                <w:szCs w:val="14"/>
                <w:color w:val="auto"/>
              </w:rPr>
              <w:t>amounts capitalized</w:t>
            </w:r>
          </w:p>
        </w:tc>
        <w:tc>
          <w:tcPr>
            <w:tcW w:w="100" w:type="dxa"/>
            <w:vAlign w:val="bottom"/>
          </w:tcPr>
          <w:p>
            <w:pPr>
              <w:spacing w:after="0"/>
              <w:rPr>
                <w:sz w:val="13"/>
                <w:szCs w:val="13"/>
                <w:color w:val="auto"/>
              </w:rPr>
            </w:pPr>
          </w:p>
        </w:tc>
        <w:tc>
          <w:tcPr>
            <w:tcW w:w="13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(127)</w:t>
            </w:r>
          </w:p>
        </w:tc>
        <w:tc>
          <w:tcPr>
            <w:tcW w:w="100" w:type="dxa"/>
            <w:vAlign w:val="bottom"/>
          </w:tcPr>
          <w:p>
            <w:pPr>
              <w:spacing w:after="0"/>
              <w:rPr>
                <w:sz w:val="13"/>
                <w:szCs w:val="13"/>
                <w:color w:val="auto"/>
              </w:rPr>
            </w:pPr>
          </w:p>
        </w:tc>
        <w:tc>
          <w:tcPr>
            <w:tcW w:w="13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3"/>
                <w:szCs w:val="13"/>
                <w:color w:val="auto"/>
              </w:rPr>
            </w:pPr>
          </w:p>
        </w:tc>
        <w:tc>
          <w:tcPr>
            <w:tcW w:w="13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3"/>
                <w:szCs w:val="13"/>
                <w:color w:val="auto"/>
              </w:rPr>
            </w:pPr>
          </w:p>
        </w:tc>
        <w:tc>
          <w:tcPr>
            <w:tcW w:w="14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3"/>
                <w:szCs w:val="13"/>
                <w:color w:val="auto"/>
              </w:rPr>
            </w:pPr>
          </w:p>
        </w:tc>
        <w:tc>
          <w:tcPr>
            <w:tcW w:w="14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88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1,536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2,334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1,417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4,403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60" w:type="dxa"/>
            <w:vAlign w:val="bottom"/>
            <w:vMerge w:val="restart"/>
          </w:tcPr>
          <w:p>
            <w:pPr>
              <w:ind w:left="160"/>
              <w:spacing w:after="0"/>
              <w:rPr>
                <w:sz w:val="20"/>
                <w:szCs w:val="20"/>
                <w:color w:val="auto"/>
              </w:rPr>
            </w:pPr>
            <w:r>
              <w:rPr>
                <w:rFonts w:ascii="Arial" w:cs="Arial" w:eastAsia="Arial" w:hAnsi="Arial"/>
                <w:sz w:val="14"/>
                <w:szCs w:val="14"/>
                <w:color w:val="auto"/>
                <w:w w:val="95"/>
              </w:rPr>
              <w:t>Net loss accumulated during</w:t>
            </w: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the development stage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(14,693)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(7,935)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(16,899)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(9,155)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Weighted Average Shares</w:t>
            </w:r>
          </w:p>
        </w:tc>
        <w:tc>
          <w:tcPr>
            <w:tcW w:w="100" w:type="dxa"/>
            <w:vAlign w:val="bottom"/>
            <w:shd w:val="clear" w:color="auto" w:fill="CCEEFF"/>
          </w:tcPr>
          <w:p>
            <w:pPr>
              <w:spacing w:after="0"/>
              <w:rPr>
                <w:sz w:val="11"/>
                <w:szCs w:val="11"/>
                <w:color w:val="auto"/>
              </w:rPr>
            </w:pPr>
          </w:p>
        </w:tc>
        <w:tc>
          <w:tcPr>
            <w:tcW w:w="12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Outstanding</w:t>
            </w:r>
          </w:p>
        </w:tc>
        <w:tc>
          <w:tcPr>
            <w:tcW w:w="10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208,784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203,230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205,479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w:t>
            </w:r>
          </w:p>
        </w:tc>
        <w:tc>
          <w:tcPr>
            <w:tcW w:w="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204,482</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Loss Per Share—Basic and</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(70.37)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(39.04)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(82.24)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(45.78)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(199.27)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-5114290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-5114290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-5114290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-5114290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-5114290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-5114290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-5114290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-5114290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-5114290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-5114290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-3999865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-3999865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-3999865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-3999865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-3999865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-3999865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-3999865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-3999865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-3999865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-3999865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-2164715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-2164715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-2164715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-2164715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-2164715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-2164715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-2164715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-2164715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-2164715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-2164715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-1915795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-1915795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-1915795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-1915795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-1915795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-1915795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-1915795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-1915795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-1915795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-1915795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-1169670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-1169670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-1169670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-1169670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-1169670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-1169670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-1169670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-1169670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-1169670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-1169670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-826770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-826770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-826770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-826770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-826770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-826770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-826770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-826770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-826770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-826770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Stephen A. Wynn</w:t>
            </w:r>
          </w:p>
        </w:tc>
        <w:tc>
          <w:tcPr>
            <w:tcW w:w="120" w:type="dxa"/>
            <w:vAlign w:val="bottom"/>
          </w:tcPr>
          <w:p>
            <w:pPr>
              <w:spacing w:after="0"/>
              <w:rPr>
                <w:sz w:val="14"/>
                <w:szCs w:val="14"/>
                <w:color w:val="auto"/>
              </w:rPr>
            </w:pPr>
          </w:p>
        </w:tc>
        <w:tc>
          <w:tcPr>
            <w:tcW w:w="1460" w:type="dxa"/>
            <w:vAlign w:val="bottom"/>
          </w:tcPr>
          <w:p>
            <w:pPr>
              <w:ind w:left="380"/>
              <w:spacing w:after="0"/>
              <w:rPr>
                <w:sz w:val="20"/>
                <w:szCs w:val="20"/>
                <w:color w:val="auto"/>
              </w:rPr>
            </w:pPr>
            <w:r>
              <w:rPr>
                <w:rFonts w:ascii="Arial" w:cs="Arial" w:eastAsia="Arial" w:hAnsi="Arial"/>
                <w:sz w:val="14"/>
                <w:szCs w:val="14"/>
                <w:b w:val="1"/>
                <w:bCs w:val="1"/>
                <w:color w:val="auto"/>
              </w:rPr>
              <w:t>Aruze USA,</w:t>
            </w: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4"/>
              </w:rPr>
              <w:t>Baron Asset</w:t>
            </w: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Kenneth R.</w:t>
            </w:r>
          </w:p>
        </w:tc>
        <w:tc>
          <w:tcPr>
            <w:tcW w:w="120" w:type="dxa"/>
            <w:vAlign w:val="bottom"/>
          </w:tcPr>
          <w:p>
            <w:pPr>
              <w:spacing w:after="0"/>
              <w:rPr>
                <w:sz w:val="14"/>
                <w:szCs w:val="14"/>
                <w:color w:val="auto"/>
              </w:rPr>
            </w:pPr>
          </w:p>
        </w:tc>
        <w:tc>
          <w:tcPr>
            <w:tcW w:w="1280" w:type="dxa"/>
            <w:vAlign w:val="bottom"/>
          </w:tcPr>
          <w:p>
            <w:pPr>
              <w:ind w:left="480"/>
              <w:spacing w:after="0"/>
              <w:rPr>
                <w:sz w:val="20"/>
                <w:szCs w:val="20"/>
                <w:color w:val="auto"/>
              </w:rPr>
            </w:pPr>
            <w:r>
              <w:rPr>
                <w:rFonts w:ascii="Arial" w:cs="Arial" w:eastAsia="Arial" w:hAnsi="Arial"/>
                <w:sz w:val="14"/>
                <w:szCs w:val="14"/>
                <w:b w:val="1"/>
                <w:bCs w:val="1"/>
                <w:color w:val="auto"/>
              </w:rPr>
              <w:t>Total</w:t>
            </w:r>
          </w:p>
        </w:tc>
      </w:tr>
      <w:tr>
        <w:trPr>
          <w:trHeight w:val="131"/>
        </w:trPr>
        <w:tc>
          <w:tcPr>
            <w:tcW w:w="12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Outstanding</w:t>
            </w:r>
          </w:p>
        </w:tc>
        <w:tc>
          <w:tcPr>
            <w:tcW w:w="12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1"/>
                <w:szCs w:val="11"/>
                <w:color w:val="auto"/>
              </w:rPr>
            </w:pPr>
          </w:p>
        </w:tc>
        <w:tc>
          <w:tcPr>
            <w:tcW w:w="1460" w:type="dxa"/>
            <w:vAlign w:val="bottom"/>
          </w:tcPr>
          <w:p>
            <w:pPr>
              <w:ind w:left="380"/>
              <w:spacing w:after="0" w:line="131" w:lineRule="exact"/>
              <w:rPr>
                <w:sz w:val="20"/>
                <w:szCs w:val="20"/>
                <w:color w:val="auto"/>
              </w:rPr>
            </w:pPr>
            <w:r>
              <w:rPr>
                <w:rFonts w:ascii="Arial" w:cs="Arial" w:eastAsia="Arial" w:hAnsi="Arial"/>
                <w:sz w:val="14"/>
                <w:szCs w:val="14"/>
                <w:b w:val="1"/>
                <w:bCs w:val="1"/>
                <w:color w:val="auto"/>
              </w:rPr>
              <w:t>Inc. Capital</w:t>
            </w:r>
          </w:p>
        </w:tc>
        <w:tc>
          <w:tcPr>
            <w:tcW w:w="10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Fund</w:t>
            </w:r>
          </w:p>
        </w:tc>
        <w:tc>
          <w:tcPr>
            <w:tcW w:w="10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Wynn Family</w:t>
            </w:r>
          </w:p>
        </w:tc>
        <w:tc>
          <w:tcPr>
            <w:tcW w:w="120" w:type="dxa"/>
            <w:vAlign w:val="bottom"/>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r>
      <w:tr>
        <w:trPr>
          <w:trHeight w:val="129"/>
        </w:trPr>
        <w:tc>
          <w:tcPr>
            <w:tcW w:w="12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Trust</w:t>
            </w: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15"/>
        </w:trPr>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-99695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-99695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-99695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-99695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-99695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-99695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-99695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-99695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-5080</wp:posOffset>
            </wp:positionV>
            <wp:extent cx="1270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-5080</wp:posOffset>
            </wp:positionV>
            <wp:extent cx="12700"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-194310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-194310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99" w:name="page100"/>
    <w:bookmarkEnd w:id="99"/>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Inception (April 21, 2000)</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253,054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distributions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development stage</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(7,281)</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(1,874)</w:t>
            </w: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118"/>
        </w:trPr>
        <w:tc>
          <w:tcPr>
            <w:tcW w:w="2940" w:type="dxa"/>
            <w:vAlign w:val="bottom"/>
            <w:gridSpan w:val="2"/>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940" w:type="dxa"/>
            <w:vAlign w:val="bottom"/>
            <w:gridSpan w:val="2"/>
          </w:tcPr>
          <w:p>
            <w:pPr>
              <w:spacing w:after="0"/>
              <w:rPr>
                <w:sz w:val="20"/>
                <w:szCs w:val="20"/>
                <w:color w:val="auto"/>
              </w:rPr>
            </w:pPr>
            <w:r>
              <w:rPr>
                <w:rFonts w:ascii="Arial" w:cs="Arial" w:eastAsia="Arial" w:hAnsi="Arial"/>
                <w:sz w:val="18"/>
                <w:szCs w:val="18"/>
                <w:color w:val="auto"/>
              </w:rPr>
              <w:t>Balance at December 31, 2000</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135,291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248,126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383,417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36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development stage</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(8,213)</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(8,213)</w:t>
            </w: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118"/>
        </w:trPr>
        <w:tc>
          <w:tcPr>
            <w:tcW w:w="2940" w:type="dxa"/>
            <w:vAlign w:val="bottom"/>
            <w:gridSpan w:val="2"/>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940" w:type="dxa"/>
            <w:vAlign w:val="bottom"/>
            <w:gridSpan w:val="2"/>
          </w:tcPr>
          <w:p>
            <w:pPr>
              <w:spacing w:after="0"/>
              <w:rPr>
                <w:sz w:val="20"/>
                <w:szCs w:val="20"/>
                <w:color w:val="auto"/>
              </w:rPr>
            </w:pPr>
            <w:r>
              <w:rPr>
                <w:rFonts w:ascii="Arial" w:cs="Arial" w:eastAsia="Arial" w:hAnsi="Arial"/>
                <w:sz w:val="18"/>
                <w:szCs w:val="18"/>
                <w:color w:val="auto"/>
              </w:rPr>
              <w:t>Balance at December 31, 2001</w:t>
            </w:r>
          </w:p>
        </w:tc>
        <w:tc>
          <w:tcPr>
            <w:tcW w:w="1240" w:type="dxa"/>
            <w:vAlign w:val="bottom"/>
          </w:tcPr>
          <w:p>
            <w:pPr>
              <w:jc w:val="right"/>
              <w:spacing w:after="0"/>
              <w:rPr>
                <w:sz w:val="20"/>
                <w:szCs w:val="20"/>
                <w:color w:val="auto"/>
              </w:rPr>
            </w:pPr>
            <w:r>
              <w:rPr>
                <w:rFonts w:ascii="Arial" w:cs="Arial" w:eastAsia="Arial" w:hAnsi="Arial"/>
                <w:sz w:val="18"/>
                <w:szCs w:val="18"/>
                <w:color w:val="auto"/>
              </w:rPr>
              <w:t>207,692</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127,078</w:t>
            </w:r>
          </w:p>
        </w:tc>
        <w:tc>
          <w:tcPr>
            <w:tcW w:w="120" w:type="dxa"/>
            <w:vAlign w:val="bottom"/>
          </w:tcPr>
          <w:p>
            <w:pPr>
              <w:spacing w:after="0"/>
              <w:rPr>
                <w:sz w:val="24"/>
                <w:szCs w:val="24"/>
                <w:color w:val="auto"/>
              </w:rPr>
            </w:pP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239,913</w:t>
            </w:r>
          </w:p>
        </w:tc>
        <w:tc>
          <w:tcPr>
            <w:tcW w:w="10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19,527</w:t>
            </w:r>
          </w:p>
        </w:tc>
        <w:tc>
          <w:tcPr>
            <w:tcW w:w="10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386,518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Member contributions (unaudited)</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development stage (unaudited)</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(7,021)</w:t>
            </w:r>
          </w:p>
        </w:tc>
        <w:tc>
          <w:tcPr>
            <w:tcW w:w="4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(7,021)</w:t>
            </w: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(650)</w:t>
            </w:r>
          </w:p>
        </w:tc>
        <w:tc>
          <w:tcPr>
            <w:tcW w:w="3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(14,693)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Balance at June 30, 2002 (unaudited)</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152,057</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-2261235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-2261235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-2261235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-2261235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-2261235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-2261235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-2261235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-2261235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-2261235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-2261235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-2261235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-2261235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-1214755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-1214755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-1214755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-1214755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-1214755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-1214755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-1214755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-1214755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-1214755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-1214755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-1214755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-1214755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-323215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-323215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-323215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-323215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-323215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-323215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-323215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-323215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-323215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Inception to</w:t>
            </w:r>
          </w:p>
        </w:tc>
        <w:tc>
          <w:tcPr>
            <w:tcW w:w="8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Inception to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 2001</w:t>
            </w: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2001</w:t>
            </w:r>
          </w:p>
        </w:tc>
        <w:tc>
          <w:tcPr>
            <w:tcW w:w="14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December 31, 2000</w:t>
            </w:r>
          </w:p>
        </w:tc>
        <w:tc>
          <w:tcPr>
            <w:tcW w:w="80" w:type="dxa"/>
            <w:vAlign w:val="bottom"/>
          </w:tcPr>
          <w:p>
            <w:pPr>
              <w:spacing w:after="0"/>
              <w:rPr>
                <w:sz w:val="15"/>
                <w:szCs w:val="15"/>
                <w:color w:val="auto"/>
              </w:rPr>
            </w:pPr>
          </w:p>
        </w:tc>
        <w:tc>
          <w:tcPr>
            <w:tcW w:w="13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spacing w:after="0" w:line="138" w:lineRule="exact"/>
              <w:rPr>
                <w:sz w:val="20"/>
                <w:szCs w:val="20"/>
                <w:color w:val="auto"/>
              </w:rPr>
            </w:pPr>
            <w:r>
              <w:rPr>
                <w:rFonts w:ascii="Arial" w:cs="Arial" w:eastAsia="Arial" w:hAnsi="Arial"/>
                <w:sz w:val="14"/>
                <w:szCs w:val="14"/>
                <w:color w:val="auto"/>
                <w:w w:val="96"/>
              </w:rPr>
              <w:t>Net loss accumulated during the development</w:t>
            </w: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8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(14,693)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(7,935)</w:t>
            </w: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(16,899)</w:t>
            </w: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(9,155)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Adjustments to reconcile net loss accumulated</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provided by/(used in) operating activities:</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3,966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4,021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3,681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15,626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loan origination fees</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Loss on sale of fixed assets</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Incidental operations</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3,611</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w w:val="97"/>
              </w:rPr>
              <w:t>Increase (decrease) in cash from changes in:</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cash</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(524)</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Receivables, net</w:t>
            </w: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7,042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7,662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Inventories</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Prepaid expenses and other</w:t>
            </w: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(81)</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(664)</w:t>
            </w:r>
          </w:p>
        </w:tc>
        <w:tc>
          <w:tcPr>
            <w:tcW w:w="8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9"/>
              </w:rPr>
              <w:t>Accounts payable and accrued expenses</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6,318</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(9,064)</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Minority interest</w:t>
            </w:r>
          </w:p>
        </w:tc>
        <w:tc>
          <w:tcPr>
            <w:tcW w:w="10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Cash Provided by / (Used in) Operating</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Activities</w:t>
            </w: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(4,507)</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579</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(4,187)</w:t>
            </w:r>
          </w:p>
        </w:tc>
        <w:tc>
          <w:tcPr>
            <w:tcW w:w="160" w:type="dxa"/>
            <w:vAlign w:val="bottom"/>
            <w:shd w:val="clear" w:color="auto" w:fill="CCEEFF"/>
          </w:tcPr>
          <w:p>
            <w:pPr>
              <w:spacing w:after="0"/>
              <w:rPr>
                <w:sz w:val="13"/>
                <w:szCs w:val="13"/>
                <w:color w:val="auto"/>
              </w:rPr>
            </w:pPr>
          </w:p>
        </w:tc>
        <w:tc>
          <w:tcPr>
            <w:tcW w:w="1260" w:type="dxa"/>
            <w:vAlign w:val="bottom"/>
            <w:tcBorders>
              <w:right w:val="single" w:sz="8" w:color="CCEEFF"/>
            </w:tcBorders>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(4,807)</w:t>
            </w: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(13,501)</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7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Acquisition of Desert Inn Resort and</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Casino, net of cash acquired</w:t>
            </w: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60" w:type="dxa"/>
            <w:vAlign w:val="bottom"/>
            <w:tcBorders>
              <w:right w:val="single" w:sz="8" w:color="CCEEFF"/>
            </w:tcBorders>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(270,718)</w:t>
            </w: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200"/>
              <w:spacing w:after="0" w:line="138" w:lineRule="exact"/>
              <w:rPr>
                <w:sz w:val="20"/>
                <w:szCs w:val="20"/>
                <w:color w:val="auto"/>
              </w:rPr>
            </w:pPr>
            <w:r>
              <w:rPr>
                <w:rFonts w:ascii="Arial" w:cs="Arial" w:eastAsia="Arial" w:hAnsi="Arial"/>
                <w:sz w:val="14"/>
                <w:szCs w:val="14"/>
                <w:color w:val="auto"/>
              </w:rPr>
              <w:t>Capital expenditures, net of construction</w:t>
            </w: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ind w:left="200"/>
              <w:spacing w:after="0" w:line="159" w:lineRule="exact"/>
              <w:rPr>
                <w:sz w:val="20"/>
                <w:szCs w:val="20"/>
                <w:color w:val="auto"/>
              </w:rPr>
            </w:pPr>
            <w:r>
              <w:rPr>
                <w:rFonts w:ascii="Arial" w:cs="Arial" w:eastAsia="Arial" w:hAnsi="Arial"/>
                <w:sz w:val="14"/>
                <w:szCs w:val="14"/>
                <w:color w:val="auto"/>
              </w:rPr>
              <w:t>payables</w:t>
            </w:r>
          </w:p>
        </w:tc>
        <w:tc>
          <w:tcPr>
            <w:tcW w:w="100" w:type="dxa"/>
            <w:vAlign w:val="bottom"/>
          </w:tcPr>
          <w:p>
            <w:pPr>
              <w:spacing w:after="0"/>
              <w:rPr>
                <w:sz w:val="13"/>
                <w:szCs w:val="13"/>
                <w:color w:val="auto"/>
              </w:rPr>
            </w:pP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(19,306)</w:t>
            </w:r>
          </w:p>
        </w:tc>
        <w:tc>
          <w:tcPr>
            <w:tcW w:w="100" w:type="dxa"/>
            <w:vAlign w:val="bottom"/>
          </w:tcPr>
          <w:p>
            <w:pPr>
              <w:spacing w:after="0"/>
              <w:rPr>
                <w:sz w:val="13"/>
                <w:szCs w:val="13"/>
                <w:color w:val="auto"/>
              </w:rPr>
            </w:pP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(14,961)</w:t>
            </w:r>
          </w:p>
        </w:tc>
        <w:tc>
          <w:tcPr>
            <w:tcW w:w="160" w:type="dxa"/>
            <w:vAlign w:val="bottom"/>
          </w:tcPr>
          <w:p>
            <w:pPr>
              <w:spacing w:after="0"/>
              <w:rPr>
                <w:sz w:val="13"/>
                <w:szCs w:val="13"/>
                <w:color w:val="auto"/>
              </w:rPr>
            </w:pP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(29,080)</w:t>
            </w:r>
          </w:p>
        </w:tc>
        <w:tc>
          <w:tcPr>
            <w:tcW w:w="160" w:type="dxa"/>
            <w:vAlign w:val="bottom"/>
          </w:tcPr>
          <w:p>
            <w:pPr>
              <w:spacing w:after="0"/>
              <w:rPr>
                <w:sz w:val="13"/>
                <w:szCs w:val="13"/>
                <w:color w:val="auto"/>
              </w:rPr>
            </w:pPr>
          </w:p>
        </w:tc>
        <w:tc>
          <w:tcPr>
            <w:tcW w:w="12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(47,068)</w:t>
            </w:r>
          </w:p>
        </w:tc>
        <w:tc>
          <w:tcPr>
            <w:tcW w:w="80" w:type="dxa"/>
            <w:vAlign w:val="bottom"/>
          </w:tcPr>
          <w:p>
            <w:pPr>
              <w:spacing w:after="0"/>
              <w:rPr>
                <w:sz w:val="13"/>
                <w:szCs w:val="13"/>
                <w:color w:val="auto"/>
              </w:rPr>
            </w:pPr>
          </w:p>
        </w:tc>
        <w:tc>
          <w:tcPr>
            <w:tcW w:w="1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(95,454)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of airplane</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(9,591)</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(9,489)</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(9,489)</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(4,714)</w:t>
            </w: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(968)</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(1,720)</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(1,299)</w:t>
            </w:r>
          </w:p>
        </w:tc>
        <w:tc>
          <w:tcPr>
            <w:tcW w:w="8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(7,733)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Due from related parties</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(498)</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(1,465)</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(1,163)</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8,008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343</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9,559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(23,438)</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(25,573)</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(40,979)</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(319,472)</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(383,889)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(Continued)</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517640" cy="18161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517640" cy="18161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-4797425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-4797425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-4797425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-4797425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-4797425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-4797425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-4797425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-4797425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-4797425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-4797425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-1830070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-1830070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-1830070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-1830070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-1830070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-1830070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-1830070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-1830070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-1830070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-1830070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-586740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-586740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-586740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-586740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-586740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-586740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-586740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-586740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-586740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-586740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-277495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-277495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-277495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-277495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-277495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-277495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-277495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-277495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-277495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-277495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ectPr>
          <w:pgSz w:w="11900" w:h="16913" w:orient="portrait"/>
          <w:cols w:equalWidth="0" w:num="1">
            <w:col w:w="10840"/>
          </w:cols>
          <w:pgMar w:left="240" w:top="248" w:right="819" w:bottom="0" w:gutter="0" w:footer="0" w:header="0"/>
        </w:sectPr>
      </w:pPr>
    </w:p>
    <w:bookmarkStart w:id="100" w:name="page101"/>
    <w:bookmarkEnd w:id="100"/>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Equity contributions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173,494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20,800</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480,713</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675,007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 distributions</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(110,482)</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Third party fee</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4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(10,000)</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Macau</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w w:val="97"/>
              </w:rPr>
              <w:t>Proceeds from issuance of long-term debt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125,000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payments of long-term debt</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(125,018)</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Loan origination fees</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(1,465)</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Proceeds from issuance of related party</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loan</w:t>
            </w:r>
          </w:p>
        </w:tc>
        <w:tc>
          <w:tcPr>
            <w:tcW w:w="5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Principal payments of related party loan</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5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Net Cash Provided by (used in) Financing</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19,985</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19,968</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388,748</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585,250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4"/>
                <w:szCs w:val="14"/>
                <w:color w:val="auto"/>
              </w:rPr>
              <w:t>Increase/(Decrease) in Cash and Cash</w:t>
            </w: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78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78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5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148,589</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(5,009)</w:t>
            </w:r>
          </w:p>
        </w:tc>
        <w:tc>
          <w:tcPr>
            <w:tcW w:w="420" w:type="dxa"/>
            <w:vAlign w:val="bottom"/>
          </w:tcPr>
          <w:p>
            <w:pPr>
              <w:spacing w:after="0"/>
              <w:rPr>
                <w:sz w:val="13"/>
                <w:szCs w:val="13"/>
                <w:color w:val="auto"/>
              </w:rPr>
            </w:pP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(25,198)</w:t>
            </w:r>
          </w:p>
        </w:tc>
        <w:tc>
          <w:tcPr>
            <w:tcW w:w="3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64,469</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187,860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39,271</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64,469</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64,469</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8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187,860</w:t>
            </w:r>
          </w:p>
        </w:tc>
        <w:tc>
          <w:tcPr>
            <w:tcW w:w="200" w:type="dxa"/>
            <w:vAlign w:val="bottom"/>
          </w:tcPr>
          <w:p>
            <w:pPr>
              <w:spacing w:after="0"/>
              <w:rPr>
                <w:sz w:val="23"/>
                <w:szCs w:val="23"/>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59,460</w:t>
            </w:r>
          </w:p>
        </w:tc>
        <w:tc>
          <w:tcPr>
            <w:tcW w:w="200" w:type="dxa"/>
            <w:vAlign w:val="bottom"/>
          </w:tcPr>
          <w:p>
            <w:pPr>
              <w:spacing w:after="0"/>
              <w:rPr>
                <w:sz w:val="23"/>
                <w:szCs w:val="23"/>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39,271</w:t>
            </w:r>
          </w:p>
        </w:tc>
        <w:tc>
          <w:tcPr>
            <w:tcW w:w="220" w:type="dxa"/>
            <w:vAlign w:val="bottom"/>
          </w:tcPr>
          <w:p>
            <w:pPr>
              <w:spacing w:after="0"/>
              <w:rPr>
                <w:sz w:val="23"/>
                <w:szCs w:val="2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64,469</w:t>
            </w:r>
          </w:p>
        </w:tc>
        <w:tc>
          <w:tcPr>
            <w:tcW w:w="200" w:type="dxa"/>
            <w:vAlign w:val="bottom"/>
          </w:tcPr>
          <w:p>
            <w:pPr>
              <w:spacing w:after="0"/>
              <w:rPr>
                <w:sz w:val="23"/>
                <w:szCs w:val="23"/>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127</w:t>
            </w:r>
          </w:p>
        </w:tc>
        <w:tc>
          <w:tcPr>
            <w:tcW w:w="200" w:type="dxa"/>
            <w:vAlign w:val="bottom"/>
          </w:tcPr>
          <w:p>
            <w:pPr>
              <w:spacing w:after="0"/>
              <w:rPr>
                <w:sz w:val="14"/>
                <w:szCs w:val="14"/>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4"/>
                <w:szCs w:val="1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-1420495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-1420495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-1420495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-1420495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-1420495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-1420495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-1420495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-1420495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-1420495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-1420495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-1077595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-1077595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-1077595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-1077595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-1077595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-1077595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-1077595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-1077595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-1077595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-1077595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-640080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-640080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-640080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-640080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-640080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-640080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-640080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-640080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-640080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-640080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period from inception (April 21, 2000) through December 31, 2000, a member converted $30 million of related party debt and $2.3 million of accrued interest into equity.</w:t>
      </w:r>
    </w:p>
    <w:p>
      <w:pPr>
        <w:spacing w:after="0" w:line="227" w:lineRule="exact"/>
        <w:rPr>
          <w:sz w:val="20"/>
          <w:szCs w:val="20"/>
          <w:color w:val="auto"/>
        </w:rPr>
      </w:pPr>
    </w:p>
    <w:p>
      <w:pPr>
        <w:ind w:left="540" w:right="120"/>
        <w:spacing w:after="0" w:line="239" w:lineRule="auto"/>
        <w:rPr>
          <w:sz w:val="20"/>
          <w:szCs w:val="20"/>
          <w:color w:val="auto"/>
        </w:rPr>
      </w:pPr>
      <w:r>
        <w:rPr>
          <w:rFonts w:ascii="Arial" w:cs="Arial" w:eastAsia="Arial" w:hAnsi="Arial"/>
          <w:sz w:val="14"/>
          <w:szCs w:val="14"/>
          <w:color w:val="auto"/>
        </w:rPr>
        <w:t>As further discussed in Note 1, during the year ended December 31, 2001, the Company acquired the Desert Inn Water Company and $6.4 million of receivables recorded as Due from related party in the balance sheet at December 31, 2000 were reclassified to Water rights.</w:t>
      </w:r>
    </w:p>
    <w:p>
      <w:pPr>
        <w:spacing w:after="0" w:line="193" w:lineRule="exact"/>
        <w:rPr>
          <w:sz w:val="20"/>
          <w:szCs w:val="20"/>
          <w:color w:val="auto"/>
        </w:rPr>
      </w:pPr>
    </w:p>
    <w:p>
      <w:pPr>
        <w:ind w:left="540" w:right="160"/>
        <w:spacing w:after="0" w:line="239" w:lineRule="auto"/>
        <w:rPr>
          <w:sz w:val="20"/>
          <w:szCs w:val="20"/>
          <w:color w:val="auto"/>
        </w:rPr>
      </w:pPr>
      <w:r>
        <w:rPr>
          <w:rFonts w:ascii="Arial" w:cs="Arial" w:eastAsia="Arial" w:hAnsi="Arial"/>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April 2002, the Company converted approximately $458,000 of advances to Wynn Resorts (Macau), S.A. to capital contributions (Note 10. a.).</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In connection with the May 2002 acquisition of Las Vegas Jet (Note 10. c.), the Company forgave approximately $2 million of related party accounts receivable due from Las Vegas Jet.</w:t>
      </w:r>
    </w:p>
    <w:p>
      <w:pPr>
        <w:spacing w:after="0" w:line="227" w:lineRule="exact"/>
        <w:rPr>
          <w:sz w:val="20"/>
          <w:szCs w:val="20"/>
          <w:color w:val="auto"/>
        </w:rPr>
      </w:pPr>
    </w:p>
    <w:p>
      <w:pPr>
        <w:ind w:left="10740"/>
        <w:spacing w:after="0"/>
        <w:rPr>
          <w:sz w:val="20"/>
          <w:szCs w:val="20"/>
          <w:color w:val="auto"/>
        </w:rPr>
      </w:pPr>
      <w:r>
        <w:rPr>
          <w:rFonts w:ascii="Arial" w:cs="Arial" w:eastAsia="Arial" w:hAnsi="Arial"/>
          <w:sz w:val="12"/>
          <w:szCs w:val="12"/>
          <w:color w:val="auto"/>
        </w:rPr>
        <w:t>(Concluded)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5" w:lineRule="exact"/>
        <w:rPr>
          <w:sz w:val="20"/>
          <w:szCs w:val="20"/>
          <w:color w:val="auto"/>
        </w:rPr>
      </w:pPr>
    </w:p>
    <w:p>
      <w:pPr>
        <w:ind w:left="540" w:hanging="532"/>
        <w:spacing w:after="0"/>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left="540" w:right="140" w:firstLine="348"/>
        <w:spacing w:after="0" w:line="256" w:lineRule="auto"/>
        <w:rPr>
          <w:sz w:val="20"/>
          <w:szCs w:val="20"/>
          <w:color w:val="auto"/>
        </w:rPr>
      </w:pPr>
      <w:r>
        <w:rPr>
          <w:rFonts w:ascii="Arial" w:cs="Arial" w:eastAsia="Arial" w:hAnsi="Arial"/>
          <w:sz w:val="18"/>
          <w:szCs w:val="18"/>
          <w:color w:val="auto"/>
        </w:rPr>
        <w:t>Valvino Lamore, LLC was formed on April 21, 2000 as a Nevada limited-liability company. At formation the Company's sole member was Stephen A. Wynn. As of December 31, 2001, subsidiaries of Valvino Lamore, LLC include Wynn Design and Development, LLC, Rambas Marketing Company, LLC, Palo, LLC, Toasty, LLC, Wynn Resorts Holdings, LLC, WorldWide Wynn, LLC, Kevyn, LLC and Desert Inn Water Company, LLC and are collectively, with Valvino Lamore, LLC, herein referred to as the "Company".</w:t>
      </w:r>
    </w:p>
    <w:p>
      <w:pPr>
        <w:spacing w:after="0" w:line="197"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72"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left="540" w:firstLine="351"/>
        <w:spacing w:after="0" w:line="332"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w:t>
      </w:r>
    </w:p>
    <w:p>
      <w:pPr>
        <w:sectPr>
          <w:pgSz w:w="11900" w:h="16885" w:orient="portrait"/>
          <w:cols w:equalWidth="0" w:num="1">
            <w:col w:w="11420"/>
          </w:cols>
          <w:pgMar w:left="240" w:top="131" w:right="239" w:bottom="0" w:gutter="0" w:footer="0" w:header="0"/>
        </w:sectPr>
      </w:pPr>
    </w:p>
    <w:bookmarkStart w:id="101" w:name="page102"/>
    <w:bookmarkEnd w:id="101"/>
    <w:p>
      <w:pPr>
        <w:spacing w:after="0" w:line="29"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39" w:lineRule="exact"/>
        <w:rPr>
          <w:sz w:val="20"/>
          <w:szCs w:val="20"/>
          <w:color w:val="auto"/>
        </w:rPr>
      </w:pPr>
    </w:p>
    <w:p>
      <w:pPr>
        <w:ind w:right="200" w:firstLine="351"/>
        <w:spacing w:after="0" w:line="335" w:lineRule="auto"/>
        <w:rPr>
          <w:sz w:val="20"/>
          <w:szCs w:val="20"/>
          <w:color w:val="auto"/>
        </w:rPr>
      </w:pPr>
      <w:r>
        <w:rPr>
          <w:rFonts w:ascii="Arial" w:cs="Arial" w:eastAsia="Arial" w:hAnsi="Arial"/>
          <w:sz w:val="15"/>
          <w:szCs w:val="15"/>
          <w:color w:val="auto"/>
        </w:rPr>
        <w:t>On April 1, 2001, the Company acquired Kevyn, LLC, a previously unconsolidated affiliate, which was wholly owned by Mr. Wynn, for approximately $10 million. As Kevyn, LLC primarily consisted of an airplane, this transaction was treated as an acquisition of assets for financial reporting purposes. Management believes that the cash paid for the assets was equivalent to the fair market value of the assets at the time of acquisition.</w:t>
      </w:r>
    </w:p>
    <w:p>
      <w:pPr>
        <w:spacing w:after="0" w:line="142"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Additionally, effective June 28, 2001, the Public Utilities Commission of Nevada approved the transfer of ownership of Desert Inn Water Company, also a previously unconsolidated affiliate and wholly owned company of Mr. Wynn, to the Company. As the</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208" w:lineRule="exact"/>
        <w:rPr>
          <w:sz w:val="20"/>
          <w:szCs w:val="20"/>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Development Stage Risk Factors</w:t>
      </w:r>
    </w:p>
    <w:p>
      <w:pPr>
        <w:spacing w:after="0" w:line="225"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3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88" w:lineRule="exact"/>
        <w:rPr>
          <w:sz w:val="20"/>
          <w:szCs w:val="20"/>
          <w:color w:val="auto"/>
        </w:rPr>
      </w:pPr>
    </w:p>
    <w:p>
      <w:pPr>
        <w:ind w:left="540" w:hanging="532"/>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Significant intercompany balances and transactions have been eliminated.</w:t>
      </w:r>
    </w:p>
    <w:p>
      <w:pPr>
        <w:spacing w:after="0" w:line="199" w:lineRule="exact"/>
        <w:rPr>
          <w:sz w:val="20"/>
          <w:szCs w:val="20"/>
          <w:color w:val="auto"/>
        </w:rPr>
      </w:pPr>
    </w:p>
    <w:p>
      <w:pPr>
        <w:ind w:left="540" w:hanging="532"/>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99"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75"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99" w:lineRule="exact"/>
        <w:rPr>
          <w:sz w:val="20"/>
          <w:szCs w:val="20"/>
          <w:color w:val="auto"/>
        </w:rPr>
      </w:pPr>
    </w:p>
    <w:p>
      <w:pPr>
        <w:ind w:left="540" w:hanging="532"/>
        <w:spacing w:after="0"/>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jc w:val="both"/>
        <w:ind w:right="340" w:firstLine="348"/>
        <w:spacing w:after="0" w:line="306" w:lineRule="auto"/>
        <w:rPr>
          <w:sz w:val="20"/>
          <w:szCs w:val="20"/>
          <w:color w:val="auto"/>
        </w:rPr>
      </w:pPr>
      <w:r>
        <w:rPr>
          <w:rFonts w:ascii="Arial" w:cs="Arial" w:eastAsia="Arial" w:hAnsi="Arial"/>
          <w:sz w:val="16"/>
          <w:szCs w:val="16"/>
          <w:color w:val="auto"/>
        </w:rPr>
        <w:t>The allocation of the purchase price of the Desert Inn Resort and Casino to these asset categories was based upon an appraisal and management's estimate of the fair value of the assets acquired. Subsequent purchases of property and equipment are stated at cost. Depreciation is provided over the estimated useful lives of the assets using the straight-line method for financial reporting purposes as follows:</w:t>
      </w:r>
    </w:p>
    <w:p>
      <w:pPr>
        <w:spacing w:after="0" w:line="169"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620" w:type="dxa"/>
            <w:vAlign w:val="bottom"/>
            <w:shd w:val="clear" w:color="auto" w:fill="CCEEFF"/>
          </w:tcPr>
          <w:p>
            <w:pPr>
              <w:ind w:left="3080"/>
              <w:spacing w:after="0"/>
              <w:rPr>
                <w:sz w:val="20"/>
                <w:szCs w:val="20"/>
                <w:color w:val="auto"/>
              </w:rPr>
            </w:pPr>
            <w:r>
              <w:rPr>
                <w:rFonts w:ascii="Arial" w:cs="Arial" w:eastAsia="Arial" w:hAnsi="Arial"/>
                <w:sz w:val="18"/>
                <w:szCs w:val="18"/>
                <w:color w:val="auto"/>
              </w:rPr>
              <w:t>1 to 3 years</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Parking garage</w:t>
            </w:r>
          </w:p>
        </w:tc>
        <w:tc>
          <w:tcPr>
            <w:tcW w:w="4620" w:type="dxa"/>
            <w:vAlign w:val="bottom"/>
          </w:tcPr>
          <w:p>
            <w:pPr>
              <w:ind w:left="3080"/>
              <w:spacing w:after="0"/>
              <w:rPr>
                <w:sz w:val="20"/>
                <w:szCs w:val="20"/>
                <w:color w:val="auto"/>
              </w:rPr>
            </w:pPr>
            <w:r>
              <w:rPr>
                <w:rFonts w:ascii="Arial" w:cs="Arial" w:eastAsia="Arial" w:hAnsi="Arial"/>
                <w:sz w:val="18"/>
                <w:szCs w:val="18"/>
                <w:color w:val="auto"/>
              </w:rPr>
              <w:t>15 years</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4620" w:type="dxa"/>
            <w:vAlign w:val="bottom"/>
            <w:shd w:val="clear" w:color="auto" w:fill="CCEEFF"/>
          </w:tcPr>
          <w:p>
            <w:pPr>
              <w:ind w:left="3080"/>
              <w:spacing w:after="0"/>
              <w:rPr>
                <w:sz w:val="20"/>
                <w:szCs w:val="20"/>
                <w:color w:val="auto"/>
              </w:rPr>
            </w:pPr>
            <w:r>
              <w:rPr>
                <w:rFonts w:ascii="Arial" w:cs="Arial" w:eastAsia="Arial" w:hAnsi="Arial"/>
                <w:sz w:val="18"/>
                <w:szCs w:val="18"/>
                <w:color w:val="auto"/>
              </w:rPr>
              <w:t>7 years</w:t>
            </w: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4620" w:type="dxa"/>
            <w:vAlign w:val="bottom"/>
          </w:tcPr>
          <w:p>
            <w:pPr>
              <w:ind w:left="3080"/>
              <w:spacing w:after="0"/>
              <w:rPr>
                <w:sz w:val="20"/>
                <w:szCs w:val="20"/>
                <w:color w:val="auto"/>
              </w:rPr>
            </w:pPr>
            <w:r>
              <w:rPr>
                <w:rFonts w:ascii="Arial" w:cs="Arial" w:eastAsia="Arial" w:hAnsi="Arial"/>
                <w:sz w:val="18"/>
                <w:szCs w:val="18"/>
                <w:color w:val="auto"/>
              </w:rPr>
              <w:t>3 to 5 years</w:t>
            </w:r>
          </w:p>
        </w:tc>
      </w:tr>
      <w:tr>
        <w:trPr>
          <w:trHeight w:val="424"/>
        </w:trPr>
        <w:tc>
          <w:tcPr>
            <w:tcW w:w="3020" w:type="dxa"/>
            <w:vAlign w:val="bottom"/>
          </w:tcPr>
          <w:p>
            <w:pPr>
              <w:spacing w:after="0"/>
              <w:rPr>
                <w:sz w:val="24"/>
                <w:szCs w:val="24"/>
                <w:color w:val="auto"/>
              </w:rPr>
            </w:pPr>
          </w:p>
        </w:tc>
        <w:tc>
          <w:tcPr>
            <w:tcW w:w="4620" w:type="dxa"/>
            <w:vAlign w:val="bottom"/>
          </w:tcPr>
          <w:p>
            <w:pPr>
              <w:ind w:left="680"/>
              <w:spacing w:after="0"/>
              <w:rPr>
                <w:sz w:val="20"/>
                <w:szCs w:val="20"/>
                <w:color w:val="auto"/>
              </w:rPr>
            </w:pPr>
            <w:r>
              <w:rPr>
                <w:rFonts w:ascii="Arial" w:cs="Arial" w:eastAsia="Arial" w:hAnsi="Arial"/>
                <w:sz w:val="18"/>
                <w:szCs w:val="18"/>
                <w:color w:val="auto"/>
              </w:rPr>
              <w:t>F-9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136525</wp:posOffset>
            </wp:positionV>
            <wp:extent cx="725043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8"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21" w:lineRule="exact"/>
        <w:rPr>
          <w:sz w:val="20"/>
          <w:szCs w:val="20"/>
          <w:color w:val="auto"/>
        </w:rPr>
      </w:pPr>
    </w:p>
    <w:p>
      <w:pPr>
        <w:ind w:left="540" w:hanging="532"/>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w:t>
      </w:r>
    </w:p>
    <w:p>
      <w:pPr>
        <w:sectPr>
          <w:pgSz w:w="11900" w:h="16867" w:orient="portrait"/>
          <w:cols w:equalWidth="0" w:num="1">
            <w:col w:w="10880"/>
          </w:cols>
          <w:pgMar w:left="780" w:top="131" w:right="239" w:bottom="0" w:gutter="0" w:footer="0" w:header="0"/>
        </w:sectPr>
      </w:pPr>
    </w:p>
    <w:bookmarkStart w:id="102" w:name="page103"/>
    <w:bookmarkEnd w:id="102"/>
    <w:p>
      <w:pPr>
        <w:ind w:right="220"/>
        <w:spacing w:after="0" w:line="268" w:lineRule="auto"/>
        <w:rPr>
          <w:sz w:val="20"/>
          <w:szCs w:val="20"/>
          <w:color w:val="auto"/>
        </w:rPr>
      </w:pPr>
      <w:r>
        <w:rPr>
          <w:rFonts w:ascii="Arial" w:cs="Arial" w:eastAsia="Arial" w:hAnsi="Arial"/>
          <w:sz w:val="18"/>
          <w:szCs w:val="18"/>
          <w:color w:val="auto"/>
        </w:rPr>
        <w:t>is substantially complete. There was no capitalized interest for the year ended December 31, 2001. Capitalized interest for the periods from inception to December 31, 2000 and June 30, 2002 was $6.3 million.</w:t>
      </w:r>
    </w:p>
    <w:p>
      <w:pPr>
        <w:spacing w:after="0" w:line="199" w:lineRule="exact"/>
        <w:rPr>
          <w:sz w:val="20"/>
          <w:szCs w:val="20"/>
          <w:color w:val="auto"/>
        </w:rPr>
      </w:pPr>
    </w:p>
    <w:p>
      <w:pPr>
        <w:ind w:left="540" w:hanging="532"/>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213" w:lineRule="exact"/>
        <w:rPr>
          <w:sz w:val="20"/>
          <w:szCs w:val="20"/>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Members' Equity</w:t>
      </w:r>
    </w:p>
    <w:p>
      <w:pPr>
        <w:spacing w:after="0" w:line="22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As of December 31, 2001, there were 207,692.31 common shares of Valvino outstanding. The most recent sale of shares prior to December 31, 2001 occurred at a price of approximately $2,704 per share. Consistent with the management structure permitted under applicable Nevada law, the Agreement provides that each share is entitled to one vote on all matters requiring the vote of the members. The Agreement 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 USA each appoint two representatives to the Board of Representatives. Mr. Wynn acts as Chairman of the Board of Representatives and has certain rights in that capacity, including the right to make the tie-breaking vote with respect to board action. Allocations of Valvino's profits and losses are made based on the common shares of each member, subject to applicable tax law requirements. 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77"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Wynn Resorts, Limited, a Nevada corporation, was recently organized to offer shares of its common stock for sale to the public in an initial public offering (IPO). At June 30, 2002, Wynn Resorts, Limited has one share of common stock outstanding, which is held</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by Mr. Wynn. All of the assets and operations of Wynn Resort, Limited are presently held by and conducted through the Company. Prior to the closing of the IPO, all of the members of the Company 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 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174"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contribution will be a tax-free contribution under the Internal Revenue Code and will be accounted for as a reorganization of entities under common control. Accordingly,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212"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16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6" w:lineRule="exact"/>
        <w:rPr>
          <w:sz w:val="20"/>
          <w:szCs w:val="20"/>
          <w:color w:val="auto"/>
        </w:rPr>
      </w:pPr>
    </w:p>
    <w:p>
      <w:pPr>
        <w:ind w:left="540" w:hanging="532"/>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221" w:lineRule="exact"/>
        <w:rPr>
          <w:sz w:val="20"/>
          <w:szCs w:val="20"/>
          <w:color w:val="auto"/>
        </w:rPr>
      </w:pPr>
    </w:p>
    <w:p>
      <w:pPr>
        <w:ind w:left="540" w:hanging="532"/>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as part of the overall purchase price of the Desert Inn Resort and Casino acquired water rights with an appraised value of $6.4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water rights have been recorded as an asset at this appraised value and have an indefinite useful life.</w:t>
      </w:r>
    </w:p>
    <w:p>
      <w:pPr>
        <w:spacing w:after="0" w:line="21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w:t>
      </w:r>
    </w:p>
    <w:p>
      <w:pPr>
        <w:spacing w:after="0" w:line="211" w:lineRule="exact"/>
        <w:rPr>
          <w:sz w:val="20"/>
          <w:szCs w:val="20"/>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ectPr>
          <w:pgSz w:w="11900" w:h="16838" w:orient="portrait"/>
          <w:cols w:equalWidth="0" w:num="1">
            <w:col w:w="10880"/>
          </w:cols>
          <w:pgMar w:left="780" w:top="131" w:right="239" w:bottom="0" w:gutter="0" w:footer="0" w:header="0"/>
        </w:sectPr>
      </w:pPr>
    </w:p>
    <w:bookmarkStart w:id="103" w:name="page104"/>
    <w:bookmarkEnd w:id="103"/>
    <w:p>
      <w:pPr>
        <w:ind w:left="540" w:right="40" w:firstLine="351"/>
        <w:spacing w:after="0" w:line="290" w:lineRule="auto"/>
        <w:rPr>
          <w:sz w:val="20"/>
          <w:szCs w:val="20"/>
          <w:color w:val="auto"/>
        </w:rPr>
      </w:pPr>
      <w:r>
        <w:rPr>
          <w:rFonts w:ascii="Arial" w:cs="Arial" w:eastAsia="Arial" w:hAnsi="Arial"/>
          <w:sz w:val="16"/>
          <w:szCs w:val="16"/>
          <w:color w:val="auto"/>
        </w:rPr>
        <w:t>In July 2001, the Financial Accounting Standards Board ("FASB") issued Statement on financial Accounting Standards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an intangible asset consisting of a trademark with an indefinite useful life. Accordingly, the adoption of this statement on January 1, 2002 did not have a material effect on the Company's consolidated financial position or results of operations.</w:t>
      </w:r>
    </w:p>
    <w:p>
      <w:pPr>
        <w:spacing w:after="0" w:line="172" w:lineRule="exact"/>
        <w:rPr>
          <w:sz w:val="20"/>
          <w:szCs w:val="20"/>
          <w:color w:val="auto"/>
        </w:rPr>
      </w:pPr>
    </w:p>
    <w:p>
      <w:pPr>
        <w:ind w:left="540" w:right="80" w:firstLine="351"/>
        <w:spacing w:after="0" w:line="255" w:lineRule="auto"/>
        <w:rPr>
          <w:sz w:val="20"/>
          <w:szCs w:val="20"/>
          <w:color w:val="auto"/>
        </w:rPr>
      </w:pPr>
      <w:r>
        <w:rPr>
          <w:rFonts w:ascii="Arial" w:cs="Arial" w:eastAsia="Arial" w:hAnsi="Arial"/>
          <w:sz w:val="18"/>
          <w:szCs w:val="18"/>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 beginning after June 15, 2002. The Company does not expect adoption of SFAS No. 143 will have a material impact on the Company's consolidated financial position or results of operations.</w:t>
      </w:r>
    </w:p>
    <w:p>
      <w:pPr>
        <w:spacing w:after="0" w:line="197"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ind w:left="540" w:right="20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statement will have an impact on its consolidated financial position or results of operations.</w:t>
      </w:r>
    </w:p>
    <w:p>
      <w:pPr>
        <w:spacing w:after="0" w:line="225" w:lineRule="exact"/>
        <w:rPr>
          <w:sz w:val="20"/>
          <w:szCs w:val="20"/>
          <w:color w:val="auto"/>
        </w:rPr>
      </w:pPr>
    </w:p>
    <w:p>
      <w:pPr>
        <w:ind w:left="540" w:firstLine="351"/>
        <w:spacing w:after="0" w:line="253" w:lineRule="auto"/>
        <w:rPr>
          <w:sz w:val="20"/>
          <w:szCs w:val="20"/>
          <w:color w:val="auto"/>
        </w:rPr>
      </w:pPr>
      <w:r>
        <w:rPr>
          <w:rFonts w:ascii="Arial" w:cs="Arial" w:eastAsia="Arial" w:hAnsi="Arial"/>
          <w:sz w:val="18"/>
          <w:szCs w:val="18"/>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financial position or results of operations of the Company.</w:t>
      </w:r>
    </w:p>
    <w:p>
      <w:pPr>
        <w:spacing w:after="0" w:line="215" w:lineRule="exact"/>
        <w:rPr>
          <w:sz w:val="20"/>
          <w:szCs w:val="20"/>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Pre-opening costs are expensed as incurred.</w:t>
      </w:r>
    </w:p>
    <w:p>
      <w:pPr>
        <w:spacing w:after="0" w:line="252"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right="100" w:firstLine="348"/>
        <w:spacing w:after="0" w:line="256"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 prices for comparable assets and estimates made by management. The allocation of the purchase price was completed within one year from the acquisition date and is as follows:</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 and (Liabilities)</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616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08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-1163320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-1163320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-1163320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-1163320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Incidental Operations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Upon completion of the acquisition of the Desert Inn Resort and Casino on June 22, 2000, the Company announced its intention to close the property and to plan the development of a new casino/hotel project named "Le Rêve" on the existing site. In accordance with SFAS No. 67, "Accounting for Costs and Initial Rental Operations of Real Estate Projects," both the casino/hotel operation and the golf course and related operations are being accounted for as separate incidental operations. Under this method, incidental operations with a net income are excluded from the Company's consolidated operating results and the net income from each is recorded as a reduction in the carrying value of land. Incidental operations with a net loss are stated separately on the consolidated statements of operations. The amount of net income from incidental operations recorded as a reduction in the carrying value of land was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04" w:name="page105"/>
    <w:bookmarkEnd w:id="104"/>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$3,611,000 and $1,198,000 for the year ended December 31, 2001 and the period April 21, 2000 through December 31, 2000,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Incidental operations resulting in a net loss are reported in the Statement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7740" w:type="dxa"/>
            <w:vAlign w:val="bottom"/>
            <w:gridSpan w:val="2"/>
          </w:tcPr>
          <w:p>
            <w:pPr>
              <w:ind w:left="300"/>
              <w:spacing w:after="0"/>
              <w:rPr>
                <w:sz w:val="20"/>
                <w:szCs w:val="20"/>
                <w:color w:val="auto"/>
              </w:rPr>
            </w:pPr>
            <w:r>
              <w:rPr>
                <w:rFonts w:ascii="Arial" w:cs="Arial" w:eastAsia="Arial" w:hAnsi="Arial"/>
                <w:sz w:val="18"/>
                <w:szCs w:val="18"/>
                <w:i w:val="1"/>
                <w:iCs w:val="1"/>
                <w:color w:val="auto"/>
              </w:rPr>
              <w:t>Receivables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Components of receivables as of December 31 were as follows: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Hotel/Golf Course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-1566545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-1566545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-1317625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-1317625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-1317625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-1317625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-751840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-751840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-751840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-751840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6140" w:type="dxa"/>
            <w:vAlign w:val="bottom"/>
            <w:gridSpan w:val="2"/>
          </w:tcPr>
          <w:p>
            <w:pPr>
              <w:ind w:left="300"/>
              <w:spacing w:after="0"/>
              <w:rPr>
                <w:sz w:val="20"/>
                <w:szCs w:val="20"/>
                <w:color w:val="auto"/>
              </w:rPr>
            </w:pPr>
            <w:r>
              <w:rPr>
                <w:rFonts w:ascii="Arial" w:cs="Arial" w:eastAsia="Arial" w:hAnsi="Arial"/>
                <w:sz w:val="18"/>
                <w:szCs w:val="18"/>
                <w:i w:val="1"/>
                <w:iCs w:val="1"/>
                <w:color w:val="auto"/>
              </w:rPr>
              <w:t>Property and Equipment</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614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as of December 31 consisted of the following:</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Airplane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112"/>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337,464</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-1978025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-1978025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-1729740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-1729740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-1729740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-1729740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-751840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-751840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-751840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casino/hotel project.</w:t>
      </w:r>
    </w:p>
    <w:p>
      <w:pPr>
        <w:spacing w:after="0" w:line="239" w:lineRule="exact"/>
        <w:rPr>
          <w:sz w:val="20"/>
          <w:szCs w:val="20"/>
          <w:color w:val="auto"/>
        </w:rPr>
      </w:pPr>
    </w:p>
    <w:p>
      <w:pPr>
        <w:ind w:left="540" w:hanging="532"/>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loan was repaid on October 10, 2000. The remaining $30 million principal and $2.3 million accrued interest was converted to equity as a member contribution.</w:t>
      </w:r>
    </w:p>
    <w:p>
      <w:pPr>
        <w:spacing w:after="0" w:line="24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74" w:lineRule="exact"/>
        <w:rPr>
          <w:sz w:val="20"/>
          <w:szCs w:val="20"/>
          <w:color w:val="auto"/>
        </w:rPr>
      </w:pPr>
    </w:p>
    <w:p>
      <w:pPr>
        <w:ind w:left="540" w:hanging="532"/>
        <w:spacing w:after="0"/>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100" w:firstLine="348"/>
        <w:spacing w:after="0" w:line="370" w:lineRule="auto"/>
        <w:rPr>
          <w:sz w:val="20"/>
          <w:szCs w:val="20"/>
          <w:color w:val="auto"/>
        </w:rPr>
      </w:pPr>
      <w:r>
        <w:rPr>
          <w:rFonts w:ascii="Arial" w:cs="Arial" w:eastAsia="Arial" w:hAnsi="Arial"/>
          <w:sz w:val="15"/>
          <w:szCs w:val="15"/>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w:t>
      </w:r>
    </w:p>
    <w:p>
      <w:pPr>
        <w:sectPr>
          <w:pgSz w:w="11900" w:h="16948" w:orient="portrait"/>
          <w:cols w:equalWidth="0" w:num="1">
            <w:col w:w="11400"/>
          </w:cols>
          <w:pgMar w:left="240" w:top="590" w:right="259" w:bottom="0" w:gutter="0" w:footer="0" w:header="0"/>
        </w:sectPr>
      </w:pPr>
    </w:p>
    <w:bookmarkStart w:id="105" w:name="page106"/>
    <w:bookmarkEnd w:id="105"/>
    <w:p>
      <w:pPr>
        <w:ind w:right="360"/>
        <w:spacing w:after="0" w:line="306" w:lineRule="auto"/>
        <w:rPr>
          <w:sz w:val="20"/>
          <w:szCs w:val="20"/>
          <w:color w:val="auto"/>
        </w:rPr>
      </w:pPr>
      <w:r>
        <w:rPr>
          <w:rFonts w:ascii="Arial" w:cs="Arial" w:eastAsia="Arial" w:hAnsi="Arial"/>
          <w:sz w:val="16"/>
          <w:szCs w:val="16"/>
          <w:color w:val="auto"/>
        </w:rPr>
        <w:t>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6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7.</w:t>
            </w:r>
          </w:p>
        </w:tc>
        <w:tc>
          <w:tcPr>
            <w:tcW w:w="5060" w:type="dxa"/>
            <w:vAlign w:val="bottom"/>
            <w:gridSpan w:val="2"/>
          </w:tcPr>
          <w:p>
            <w:pPr>
              <w:ind w:left="300"/>
              <w:spacing w:after="0"/>
              <w:rPr>
                <w:sz w:val="20"/>
                <w:szCs w:val="20"/>
                <w:color w:val="auto"/>
              </w:rPr>
            </w:pPr>
            <w:r>
              <w:rPr>
                <w:rFonts w:ascii="Arial" w:cs="Arial" w:eastAsia="Arial" w:hAnsi="Arial"/>
                <w:sz w:val="18"/>
                <w:szCs w:val="18"/>
                <w:i w:val="1"/>
                <w:iCs w:val="1"/>
                <w:color w:val="auto"/>
              </w:rPr>
              <w:t>Related Parties</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w w:val="92"/>
              </w:rPr>
              <w:t>At December 31 amounts due from related parties were as follows:</w:t>
            </w: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0"/>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66"/>
        </w:trPr>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8"/>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right"/>
              <w:ind w:right="156"/>
              <w:spacing w:after="0"/>
              <w:rPr>
                <w:sz w:val="20"/>
                <w:szCs w:val="20"/>
                <w:color w:val="auto"/>
              </w:rPr>
            </w:pPr>
            <w:r>
              <w:rPr>
                <w:rFonts w:ascii="Arial" w:cs="Arial" w:eastAsia="Arial" w:hAnsi="Arial"/>
                <w:sz w:val="14"/>
                <w:szCs w:val="14"/>
                <w:b w:val="1"/>
                <w:bCs w:val="1"/>
                <w:color w:val="auto"/>
                <w:w w:val="83"/>
              </w:rPr>
              <w:t>2000</w:t>
            </w:r>
          </w:p>
        </w:tc>
        <w:tc>
          <w:tcPr>
            <w:tcW w:w="20" w:type="dxa"/>
            <w:vAlign w:val="bottom"/>
          </w:tcPr>
          <w:p>
            <w:pPr>
              <w:spacing w:after="0"/>
              <w:rPr>
                <w:sz w:val="23"/>
                <w:szCs w:val="23"/>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Desert Inn Water Company, LLC</w:t>
            </w:r>
          </w:p>
        </w:tc>
        <w:tc>
          <w:tcPr>
            <w:tcW w:w="2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Las Vegas CharterJet, LLC</w:t>
            </w: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Kevyn, LLC</w:t>
            </w:r>
          </w:p>
        </w:tc>
        <w:tc>
          <w:tcPr>
            <w:tcW w:w="27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22"/>
        </w:trPr>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Related Parties</w:t>
            </w:r>
          </w:p>
        </w:tc>
        <w:tc>
          <w:tcPr>
            <w:tcW w:w="2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r>
      <w:tr>
        <w:trPr>
          <w:trHeight w:val="112"/>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20" w:type="dxa"/>
            <w:vAlign w:val="bottom"/>
          </w:tcPr>
          <w:p>
            <w:pPr>
              <w:spacing w:after="0"/>
              <w:rPr>
                <w:sz w:val="18"/>
                <w:szCs w:val="18"/>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860" w:type="dxa"/>
            <w:vAlign w:val="bottom"/>
          </w:tcPr>
          <w:p>
            <w:pPr>
              <w:spacing w:after="0"/>
              <w:rPr>
                <w:sz w:val="5"/>
                <w:szCs w:val="5"/>
                <w:color w:val="auto"/>
              </w:rPr>
            </w:pPr>
          </w:p>
        </w:tc>
        <w:tc>
          <w:tcPr>
            <w:tcW w:w="27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535"/>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940" w:type="dxa"/>
            <w:vAlign w:val="bottom"/>
            <w:gridSpan w:val="2"/>
          </w:tcPr>
          <w:p>
            <w:pPr>
              <w:jc w:val="right"/>
              <w:ind w:right="2360"/>
              <w:spacing w:after="0"/>
              <w:rPr>
                <w:sz w:val="20"/>
                <w:szCs w:val="20"/>
                <w:color w:val="auto"/>
              </w:rPr>
            </w:pPr>
            <w:r>
              <w:rPr>
                <w:rFonts w:ascii="Arial" w:cs="Arial" w:eastAsia="Arial" w:hAnsi="Arial"/>
                <w:sz w:val="18"/>
                <w:szCs w:val="18"/>
                <w:color w:val="auto"/>
              </w:rPr>
              <w:t>F-15</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-1614805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-1614805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-1365885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-1365885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-1365885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-1365885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-662940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-662940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-662940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-662940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due from other related parties consist of amounts paid on behalf of related parties.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further discussed in Note 1, both Desert Inn Water Company, LLC and Kevyn, LLC were acquired by the Company during 2001.</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Las Vegas CharterJet, LLC is an unconsolidated affiliate that is wholly owned by Mr. Wynn at December 31, 2001. The Company disburses funds for payroll, property taxes, insurance and all other operating expenses on behalf of Las Vegas CharterJet, LLC. The Company also leases an airplane to Las Vegas CharterJet, LLC on a per flight hour basis. Las Vegas CharterJet, LLC in turn charges the Company for the business use of its airplane. For the year ended December 31, 2001, the Company recognized lease revenues of approximately $838,000. For the year ended December 31, 2001 and the period from inception to December 31, 2000, the Company and paid Las Vegas CharterJet, LLC approximately of $919,000 and $452,000 for the use of the aircraft.</w:t>
      </w:r>
    </w:p>
    <w:p>
      <w:pPr>
        <w:spacing w:after="0" w:line="197" w:lineRule="exact"/>
        <w:rPr>
          <w:sz w:val="20"/>
          <w:szCs w:val="20"/>
          <w:color w:val="auto"/>
        </w:rPr>
      </w:pPr>
    </w:p>
    <w:p>
      <w:pPr>
        <w:ind w:left="540" w:hanging="532"/>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4"/>
          <w:szCs w:val="14"/>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0" w:right="300" w:firstLine="351"/>
        <w:spacing w:after="0" w:line="332" w:lineRule="auto"/>
        <w:rPr>
          <w:sz w:val="20"/>
          <w:szCs w:val="20"/>
          <w:color w:val="auto"/>
        </w:rPr>
      </w:pPr>
      <w:r>
        <w:rPr>
          <w:rFonts w:ascii="Arial" w:cs="Arial" w:eastAsia="Arial" w:hAnsi="Arial"/>
          <w:sz w:val="16"/>
          <w:szCs w:val="16"/>
          <w:color w:val="auto"/>
        </w:rPr>
        <w:t>No significant third party operating leases exist as of December 31, 2001 or 2000. As discussed in Note 7, the Company leases an airplane to Las Vegas CharterJet, LLC on a per flight hour basis. The lease term runs through July 2005 or other such date as the parties may mutually agree.</w:t>
      </w:r>
    </w:p>
    <w:p>
      <w:pPr>
        <w:spacing w:after="0" w:line="139"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pacing w:after="0" w:line="199" w:lineRule="exact"/>
        <w:rPr>
          <w:sz w:val="20"/>
          <w:szCs w:val="20"/>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intends to adopt incentive stock plans for non-employee directors and certain of its key executives.</w:t>
      </w:r>
    </w:p>
    <w:p>
      <w:pPr>
        <w:spacing w:after="0" w:line="252"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right="260" w:firstLine="351"/>
        <w:spacing w:after="0" w:line="332" w:lineRule="auto"/>
        <w:rPr>
          <w:sz w:val="20"/>
          <w:szCs w:val="20"/>
          <w:color w:val="auto"/>
        </w:rPr>
      </w:pPr>
      <w:r>
        <w:rPr>
          <w:rFonts w:ascii="Arial" w:cs="Arial" w:eastAsia="Arial" w:hAnsi="Arial"/>
          <w:sz w:val="16"/>
          <w:szCs w:val="16"/>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53"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Entertainment Services</w:t>
      </w:r>
    </w:p>
    <w:p>
      <w:pPr>
        <w:spacing w:after="0" w:line="225" w:lineRule="exact"/>
        <w:rPr>
          <w:sz w:val="20"/>
          <w:szCs w:val="20"/>
          <w:color w:val="auto"/>
        </w:rPr>
      </w:pPr>
    </w:p>
    <w:p>
      <w:pPr>
        <w:ind w:left="540" w:right="20" w:firstLine="348"/>
        <w:spacing w:after="0" w:line="286" w:lineRule="auto"/>
        <w:rPr>
          <w:sz w:val="20"/>
          <w:szCs w:val="20"/>
          <w:color w:val="auto"/>
        </w:rPr>
      </w:pPr>
      <w:r>
        <w:rPr>
          <w:rFonts w:ascii="Arial" w:cs="Arial" w:eastAsia="Arial" w:hAnsi="Arial"/>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ind w:left="540" w:right="540"/>
        <w:spacing w:after="0" w:line="261" w:lineRule="auto"/>
        <w:rPr>
          <w:sz w:val="20"/>
          <w:szCs w:val="20"/>
          <w:color w:val="auto"/>
        </w:rPr>
      </w:pPr>
      <w:r>
        <w:rPr>
          <w:rFonts w:ascii="Arial" w:cs="Arial" w:eastAsia="Arial" w:hAnsi="Arial"/>
          <w:sz w:val="18"/>
          <w:szCs w:val="18"/>
          <w:color w:val="auto"/>
        </w:rPr>
        <w:t>$1.1 million, respectively, of amounts paid in conjunction with this agreement. An additional $2 million, payable in two equal installments, will be payable upon the approval of the show concepts.</w:t>
      </w:r>
    </w:p>
    <w:p>
      <w:pPr>
        <w:spacing w:after="0" w:line="205" w:lineRule="exact"/>
        <w:rPr>
          <w:sz w:val="20"/>
          <w:szCs w:val="20"/>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40" w:firstLine="348"/>
        <w:spacing w:after="0" w:line="268" w:lineRule="auto"/>
        <w:rPr>
          <w:sz w:val="20"/>
          <w:szCs w:val="20"/>
          <w:color w:val="auto"/>
        </w:rPr>
      </w:pPr>
      <w:r>
        <w:rPr>
          <w:rFonts w:ascii="Arial" w:cs="Arial" w:eastAsia="Arial" w:hAnsi="Arial"/>
          <w:sz w:val="18"/>
          <w:szCs w:val="18"/>
          <w:color w:val="auto"/>
        </w:rPr>
        <w:t>The Company has entered into certain contracts related to the construction of "Le Rêve". As of December 31, 2001, the Company is committed to approximately $6.2 million under these contracts.</w:t>
      </w:r>
    </w:p>
    <w:p>
      <w:pPr>
        <w:spacing w:after="0" w:line="213" w:lineRule="exact"/>
        <w:rPr>
          <w:sz w:val="20"/>
          <w:szCs w:val="20"/>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Self-Insurance</w:t>
      </w:r>
    </w:p>
    <w:p>
      <w:pPr>
        <w:sectPr>
          <w:pgSz w:w="11900" w:h="16838" w:orient="portrait"/>
          <w:cols w:equalWidth="0" w:num="1">
            <w:col w:w="11400"/>
          </w:cols>
          <w:pgMar w:left="240" w:top="131" w:right="259" w:bottom="0" w:gutter="0" w:footer="0" w:header="0"/>
        </w:sectPr>
      </w:pPr>
    </w:p>
    <w:bookmarkStart w:id="106" w:name="page107"/>
    <w:bookmarkEnd w:id="106"/>
    <w:p>
      <w:pPr>
        <w:spacing w:after="0" w:line="79" w:lineRule="exact"/>
        <w:rPr>
          <w:sz w:val="20"/>
          <w:szCs w:val="20"/>
          <w:color w:val="auto"/>
        </w:rPr>
      </w:pPr>
    </w:p>
    <w:p>
      <w:pPr>
        <w:ind w:left="540" w:right="220" w:firstLine="348"/>
        <w:spacing w:after="0" w:line="332" w:lineRule="auto"/>
        <w:rPr>
          <w:sz w:val="20"/>
          <w:szCs w:val="20"/>
          <w:color w:val="auto"/>
        </w:rPr>
      </w:pPr>
      <w:r>
        <w:rPr>
          <w:rFonts w:ascii="Arial" w:cs="Arial" w:eastAsia="Arial" w:hAnsi="Arial"/>
          <w:sz w:val="16"/>
          <w:szCs w:val="16"/>
          <w:color w:val="auto"/>
        </w:rPr>
        <w:t>The Company is self-insured for medical and worker's compensation claims. The Individual Stop Loss Attachment Point for each claim is $40,000 for medical and $250,000 for worker's compensation claims with a maximum payout of $960,000 and $1,000,000, respectively.</w:t>
      </w:r>
    </w:p>
    <w:p>
      <w:pPr>
        <w:spacing w:after="0" w:line="153" w:lineRule="exact"/>
        <w:rPr>
          <w:sz w:val="20"/>
          <w:szCs w:val="20"/>
          <w:color w:val="auto"/>
        </w:rPr>
      </w:pPr>
    </w:p>
    <w:p>
      <w:pPr>
        <w:ind w:left="540" w:hanging="532"/>
        <w:spacing w:after="0"/>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pacing w:after="0" w:line="194" w:lineRule="exact"/>
        <w:rPr>
          <w:sz w:val="20"/>
          <w:szCs w:val="20"/>
          <w:color w:val="auto"/>
        </w:rPr>
      </w:pPr>
    </w:p>
    <w:p>
      <w:pPr>
        <w:ind w:left="540" w:hanging="532"/>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Subsequent Events</w:t>
      </w: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Capital Contributions</w:t>
      </w:r>
    </w:p>
    <w:p>
      <w:pPr>
        <w:spacing w:after="0" w:line="225" w:lineRule="exact"/>
        <w:rPr>
          <w:sz w:val="20"/>
          <w:szCs w:val="20"/>
          <w:color w:val="auto"/>
        </w:rPr>
      </w:pPr>
    </w:p>
    <w:p>
      <w:pPr>
        <w:ind w:left="540" w:right="80" w:firstLine="348"/>
        <w:spacing w:after="0" w:line="294" w:lineRule="auto"/>
        <w:rPr>
          <w:sz w:val="20"/>
          <w:szCs w:val="20"/>
          <w:color w:val="auto"/>
        </w:rPr>
      </w:pPr>
      <w:r>
        <w:rPr>
          <w:rFonts w:ascii="Arial" w:cs="Arial" w:eastAsia="Arial" w:hAnsi="Arial"/>
          <w:sz w:val="16"/>
          <w:szCs w:val="16"/>
          <w:color w:val="auto"/>
        </w:rPr>
        <w:t>Through the completion of various legal agreements and transactions, in April 2002, the Company and Wynn Resorts (Macau), S.A achieved the contribution of Mr. Wynn's 90% ownership interest in Wynn Resorts (Macau), S.A. to the Company. In addition, Mr. Wynn made additional contributions to the Company including an approximate $8.6 million in cash and the right to be reimbursed for approximately $825,000 of expenses advanced by him. These transactions were accounted for as approximately $32 million, in aggregate, of contributions to members' equity. No additional shares of Valvino Lamore, LLC were issued to Mr. Wynn in such contribution.</w:t>
      </w:r>
    </w:p>
    <w:p>
      <w:pPr>
        <w:spacing w:after="0" w:line="170" w:lineRule="exact"/>
        <w:rPr>
          <w:sz w:val="20"/>
          <w:szCs w:val="20"/>
          <w:color w:val="auto"/>
        </w:rPr>
      </w:pPr>
    </w:p>
    <w:p>
      <w:pPr>
        <w:ind w:left="540" w:right="340" w:firstLine="351"/>
        <w:spacing w:after="0" w:line="268" w:lineRule="auto"/>
        <w:rPr>
          <w:sz w:val="20"/>
          <w:szCs w:val="20"/>
          <w:color w:val="auto"/>
        </w:rPr>
      </w:pPr>
      <w:r>
        <w:rPr>
          <w:rFonts w:ascii="Arial" w:cs="Arial" w:eastAsia="Arial" w:hAnsi="Arial"/>
          <w:sz w:val="18"/>
          <w:szCs w:val="18"/>
          <w:color w:val="auto"/>
        </w:rPr>
        <w:t>In connection with this transaction, advances by the Company to Wynn Resorts (Macau), S.A. of approximately $458,000 were treated as capital contributions.</w:t>
      </w:r>
    </w:p>
    <w:p>
      <w:pPr>
        <w:spacing w:after="0" w:line="186" w:lineRule="exact"/>
        <w:rPr>
          <w:sz w:val="20"/>
          <w:szCs w:val="20"/>
          <w:color w:val="auto"/>
        </w:rPr>
      </w:pPr>
    </w:p>
    <w:p>
      <w:pPr>
        <w:ind w:left="540" w:right="760" w:firstLine="351"/>
        <w:spacing w:after="0" w:line="268" w:lineRule="auto"/>
        <w:rPr>
          <w:sz w:val="20"/>
          <w:szCs w:val="20"/>
          <w:color w:val="auto"/>
        </w:rPr>
      </w:pPr>
      <w:r>
        <w:rPr>
          <w:rFonts w:ascii="Arial" w:cs="Arial" w:eastAsia="Arial" w:hAnsi="Arial"/>
          <w:sz w:val="18"/>
          <w:szCs w:val="18"/>
          <w:color w:val="auto"/>
        </w:rPr>
        <w:t>In addition, in April 2002, Aruze USA, Inc. contributed an additional $120 million in cash and Baron Asset Fund contributed an additional approximately $20.3 million in cash.</w:t>
      </w:r>
    </w:p>
    <w:p>
      <w:pPr>
        <w:spacing w:after="0" w:line="186" w:lineRule="exact"/>
        <w:rPr>
          <w:sz w:val="20"/>
          <w:szCs w:val="20"/>
          <w:color w:val="auto"/>
        </w:rPr>
      </w:pPr>
    </w:p>
    <w:p>
      <w:pPr>
        <w:ind w:left="540" w:right="140" w:firstLine="351"/>
        <w:spacing w:after="0" w:line="268" w:lineRule="auto"/>
        <w:rPr>
          <w:sz w:val="20"/>
          <w:szCs w:val="20"/>
          <w:color w:val="auto"/>
        </w:rPr>
      </w:pPr>
      <w:r>
        <w:rPr>
          <w:rFonts w:ascii="Arial" w:cs="Arial" w:eastAsia="Arial" w:hAnsi="Arial"/>
          <w:sz w:val="18"/>
          <w:szCs w:val="18"/>
          <w:color w:val="auto"/>
        </w:rPr>
        <w:t>Immediately following those additional capital contributions, Mr. Wynn and Aruze USA, Inc. each owned 47.5% of the membership interests in the Company, and Baron Asset Fund owned 5% of the membership interests in the Company.</w:t>
      </w:r>
    </w:p>
    <w:p>
      <w:pPr>
        <w:spacing w:after="0" w:line="186" w:lineRule="exact"/>
        <w:rPr>
          <w:sz w:val="20"/>
          <w:szCs w:val="20"/>
          <w:color w:val="auto"/>
        </w:rPr>
      </w:pPr>
    </w:p>
    <w:p>
      <w:pPr>
        <w:ind w:left="540" w:right="80" w:firstLine="351"/>
        <w:spacing w:after="0" w:line="332" w:lineRule="auto"/>
        <w:rPr>
          <w:sz w:val="20"/>
          <w:szCs w:val="20"/>
          <w:color w:val="auto"/>
        </w:rPr>
      </w:pPr>
      <w:r>
        <w:rPr>
          <w:rFonts w:ascii="Arial" w:cs="Arial" w:eastAsia="Arial" w:hAnsi="Arial"/>
          <w:sz w:val="16"/>
          <w:szCs w:val="16"/>
          <w:color w:val="auto"/>
        </w:rPr>
        <w:t>In June 2002, The Kenneth R. Wynn Family Trust contributed $1.2 million in cash in exchange for a 0.146% of the outstanding membership interest in the Company (approximately 307 shares at $3,904 per share). Accordingly, at June 30, 2002 there were approximately 210,834 shares outstanding.</w:t>
      </w:r>
    </w:p>
    <w:p>
      <w:pPr>
        <w:spacing w:after="0" w:line="153" w:lineRule="exact"/>
        <w:rPr>
          <w:sz w:val="20"/>
          <w:szCs w:val="20"/>
          <w:color w:val="auto"/>
        </w:rPr>
      </w:pPr>
    </w:p>
    <w:p>
      <w:pPr>
        <w:ind w:left="1080" w:hanging="532"/>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Sale of Airplane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On March 26, 2002, the Company sold the aircraft (See Note 7) for approximately $8 million resulting in a loss of approximately $69,000.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firstLine="351"/>
        <w:spacing w:after="0" w:line="294" w:lineRule="auto"/>
        <w:rPr>
          <w:sz w:val="20"/>
          <w:szCs w:val="20"/>
          <w:color w:val="auto"/>
        </w:rPr>
      </w:pPr>
      <w:r>
        <w:rPr>
          <w:rFonts w:ascii="Arial" w:cs="Arial" w:eastAsia="Arial" w:hAnsi="Arial"/>
          <w:sz w:val="16"/>
          <w:szCs w:val="16"/>
          <w:color w:val="auto"/>
        </w:rPr>
        <w:t>In May 2002, the Company acquired World Travel and Las Vegas Jet, entities previously wholly owned by Mr. Wynn. The acquisition has been accounted for as a purchase. Accordingly, the purchase price is allocated to the assets acquired and liabilities assumed based on the estimated fair values at the acquisition date. Estimated fair values were determined based on market prices for comparable assets and estimates made by management. In connection with the acquisition, approximately $2 million of accounts payable to the Company were forgiven. The allocation of the purchase price will be complete within one year from the date of acquisitions and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2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754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 and (Liabilities)</w:t>
            </w: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14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86"/>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Airplane and related assets</w:t>
            </w:r>
          </w:p>
        </w:tc>
        <w:tc>
          <w:tcPr>
            <w:tcW w:w="1740" w:type="dxa"/>
            <w:vAlign w:val="bottom"/>
            <w:gridSpan w:val="2"/>
            <w:shd w:val="clear" w:color="auto" w:fill="CCEEFF"/>
          </w:tcPr>
          <w:p>
            <w:pPr>
              <w:jc w:val="right"/>
              <w:ind w:right="1232"/>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Notes Payable</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w:t>
            </w:r>
          </w:p>
        </w:tc>
        <w:tc>
          <w:tcPr>
            <w:tcW w:w="1740" w:type="dxa"/>
            <w:vAlign w:val="bottom"/>
            <w:gridSpan w:val="2"/>
            <w:shd w:val="clear" w:color="auto" w:fill="CCEEFF"/>
          </w:tcPr>
          <w:p>
            <w:pPr>
              <w:jc w:val="right"/>
              <w:ind w:right="1232"/>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-751840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-751840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-751840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-751840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-323215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40" w:right="140" w:firstLine="348"/>
        <w:spacing w:after="0" w:line="268" w:lineRule="auto"/>
        <w:rPr>
          <w:sz w:val="20"/>
          <w:szCs w:val="20"/>
          <w:color w:val="auto"/>
        </w:rPr>
      </w:pPr>
      <w:r>
        <w:rPr>
          <w:rFonts w:ascii="Arial" w:cs="Arial" w:eastAsia="Arial" w:hAnsi="Arial"/>
          <w:sz w:val="18"/>
          <w:szCs w:val="18"/>
          <w:color w:val="auto"/>
        </w:rPr>
        <w:t>The results of operations of World Travel and Las Vegas Jet from the date of acquisition are included in the consolidated results of operations of the Company for the six months ended June 30, 2002.</w:t>
      </w:r>
    </w:p>
    <w:p>
      <w:pPr>
        <w:spacing w:after="0" w:line="199" w:lineRule="exact"/>
        <w:rPr>
          <w:sz w:val="20"/>
          <w:szCs w:val="20"/>
          <w:color w:val="auto"/>
        </w:rPr>
      </w:pPr>
    </w:p>
    <w:p>
      <w:pPr>
        <w:ind w:left="1080" w:hanging="532"/>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225" w:lineRule="exact"/>
        <w:rPr>
          <w:sz w:val="20"/>
          <w:szCs w:val="20"/>
          <w:color w:val="auto"/>
        </w:rPr>
      </w:pPr>
    </w:p>
    <w:p>
      <w:pPr>
        <w:ind w:left="540" w:firstLine="348"/>
        <w:spacing w:after="0" w:line="290" w:lineRule="auto"/>
        <w:rPr>
          <w:sz w:val="20"/>
          <w:szCs w:val="20"/>
          <w:color w:val="auto"/>
        </w:rPr>
      </w:pPr>
      <w:r>
        <w:rPr>
          <w:rFonts w:ascii="Arial" w:cs="Arial" w:eastAsia="Arial" w:hAnsi="Arial"/>
          <w:sz w:val="16"/>
          <w:szCs w:val="16"/>
          <w:color w:val="auto"/>
        </w:rPr>
        <w:t>Wynn Las Vegas LLC, a wholly owned subsidiary of the Company, has entered into an agreement with a construction contractor for guaranteed maximum price construction services, effective as of June 4, 2002, and amended by Change Order No. 1, effective as of August 12, 2002 (as amended, the "Construction Agreement"). The Construction Agreement covers approximately $919 million of the approximate $1,405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72" w:lineRule="exact"/>
        <w:rPr>
          <w:sz w:val="20"/>
          <w:szCs w:val="20"/>
          <w:color w:val="auto"/>
        </w:rPr>
      </w:pPr>
    </w:p>
    <w:p>
      <w:pPr>
        <w:ind w:left="540" w:right="540" w:firstLine="348"/>
        <w:spacing w:after="0" w:line="268" w:lineRule="auto"/>
        <w:rPr>
          <w:sz w:val="20"/>
          <w:szCs w:val="20"/>
          <w:color w:val="auto"/>
        </w:rPr>
      </w:pPr>
      <w:r>
        <w:rPr>
          <w:rFonts w:ascii="Arial" w:cs="Arial" w:eastAsia="Arial" w:hAnsi="Arial"/>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86" w:lineRule="exact"/>
        <w:rPr>
          <w:sz w:val="20"/>
          <w:szCs w:val="20"/>
          <w:color w:val="auto"/>
        </w:rPr>
      </w:pPr>
    </w:p>
    <w:p>
      <w:pPr>
        <w:ind w:left="540" w:right="20" w:firstLine="348"/>
        <w:spacing w:after="0" w:line="306" w:lineRule="auto"/>
        <w:rPr>
          <w:sz w:val="20"/>
          <w:szCs w:val="20"/>
          <w:color w:val="auto"/>
        </w:rPr>
      </w:pPr>
      <w:r>
        <w:rPr>
          <w:rFonts w:ascii="Arial" w:cs="Arial" w:eastAsia="Arial" w:hAnsi="Arial"/>
          <w:sz w:val="16"/>
          <w:szCs w:val="16"/>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w:t>
      </w:r>
    </w:p>
    <w:p>
      <w:pPr>
        <w:sectPr>
          <w:pgSz w:w="11900" w:h="16918" w:orient="portrait"/>
          <w:cols w:equalWidth="0" w:num="1">
            <w:col w:w="11420"/>
          </w:cols>
          <w:pgMar w:left="240" w:top="131" w:right="239" w:bottom="0" w:gutter="0" w:footer="0" w:header="0"/>
        </w:sectPr>
      </w:pPr>
    </w:p>
    <w:bookmarkStart w:id="107" w:name="page108"/>
    <w:bookmarkEnd w:id="107"/>
    <w:p>
      <w:pPr>
        <w:ind w:left="540" w:right="680"/>
        <w:spacing w:after="0" w:line="268" w:lineRule="auto"/>
        <w:rPr>
          <w:sz w:val="20"/>
          <w:szCs w:val="20"/>
          <w:color w:val="auto"/>
        </w:rPr>
      </w:pPr>
      <w:r>
        <w:rPr>
          <w:rFonts w:ascii="Arial" w:cs="Arial" w:eastAsia="Arial" w:hAnsi="Arial"/>
          <w:sz w:val="18"/>
          <w:szCs w:val="18"/>
          <w:color w:val="auto"/>
        </w:rPr>
        <w:t>opening expenses and meet debt service obligations. Following completion of Le Rêve, proceeds will be used for operating expenses and general corporate purposes.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00" w:firstLine="351"/>
        <w:spacing w:after="0" w:line="259" w:lineRule="auto"/>
        <w:rPr>
          <w:sz w:val="20"/>
          <w:szCs w:val="20"/>
          <w:color w:val="auto"/>
        </w:rPr>
      </w:pPr>
      <w:r>
        <w:rPr>
          <w:rFonts w:ascii="Arial" w:cs="Arial" w:eastAsia="Arial" w:hAnsi="Arial"/>
          <w:sz w:val="18"/>
          <w:szCs w:val="18"/>
          <w:color w:val="auto"/>
        </w:rPr>
        <w:t>Management expects the revolving credit facility to mature six years from the closing date. When borrowings outstanding under the revolving credit facility equal or exceed $200 million, the lenders' agent will have the right to convert $100 million to $400 million of the amounts outstanding to term loans with the same terms and conditions as those made under the delay draw term loan facility.</w:t>
      </w:r>
    </w:p>
    <w:p>
      <w:pPr>
        <w:spacing w:after="0" w:line="194" w:lineRule="exact"/>
        <w:rPr>
          <w:sz w:val="20"/>
          <w:szCs w:val="20"/>
          <w:color w:val="auto"/>
        </w:rPr>
      </w:pPr>
    </w:p>
    <w:p>
      <w:pPr>
        <w:ind w:left="540"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two years after the closing. Once repaid, term loans may not be reborrowed.</w:t>
      </w:r>
    </w:p>
    <w:p>
      <w:pPr>
        <w:spacing w:after="0" w:line="186" w:lineRule="exact"/>
        <w:rPr>
          <w:sz w:val="20"/>
          <w:szCs w:val="20"/>
          <w:color w:val="auto"/>
        </w:rPr>
      </w:pPr>
    </w:p>
    <w:p>
      <w:pPr>
        <w:ind w:left="540" w:right="180" w:firstLine="351"/>
        <w:spacing w:after="0" w:line="259" w:lineRule="auto"/>
        <w:rPr>
          <w:sz w:val="20"/>
          <w:szCs w:val="20"/>
          <w:color w:val="auto"/>
        </w:rPr>
      </w:pPr>
      <w:r>
        <w:rPr>
          <w:rFonts w:ascii="Arial" w:cs="Arial" w:eastAsia="Arial" w:hAnsi="Arial"/>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94" w:lineRule="exact"/>
        <w:rPr>
          <w:sz w:val="20"/>
          <w:szCs w:val="20"/>
          <w:color w:val="auto"/>
        </w:rPr>
      </w:pPr>
    </w:p>
    <w:p>
      <w:pPr>
        <w:ind w:left="540" w:right="20" w:firstLine="348"/>
        <w:spacing w:after="0" w:line="254" w:lineRule="auto"/>
        <w:rPr>
          <w:sz w:val="20"/>
          <w:szCs w:val="20"/>
          <w:color w:val="auto"/>
        </w:rPr>
      </w:pPr>
      <w:r>
        <w:rPr>
          <w:rFonts w:ascii="Arial" w:cs="Arial" w:eastAsia="Arial" w:hAnsi="Arial"/>
          <w:sz w:val="18"/>
          <w:szCs w:val="18"/>
          <w:color w:val="auto"/>
        </w:rPr>
        <w:t>Wynn Las Vegas LLC has entered into an engagement letter with certain lenders for a $178.5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w:t>
      </w:r>
    </w:p>
    <w:p>
      <w:pPr>
        <w:spacing w:after="0" w:line="198" w:lineRule="exact"/>
        <w:rPr>
          <w:sz w:val="20"/>
          <w:szCs w:val="20"/>
          <w:color w:val="auto"/>
        </w:rPr>
      </w:pPr>
    </w:p>
    <w:p>
      <w:pPr>
        <w:ind w:left="540" w:firstLine="351"/>
        <w:spacing w:after="0" w:line="256" w:lineRule="auto"/>
        <w:rPr>
          <w:sz w:val="20"/>
          <w:szCs w:val="20"/>
          <w:color w:val="auto"/>
        </w:rPr>
      </w:pPr>
      <w:r>
        <w:rPr>
          <w:rFonts w:ascii="Arial" w:cs="Arial" w:eastAsia="Arial" w:hAnsi="Arial"/>
          <w:sz w:val="18"/>
          <w:szCs w:val="18"/>
          <w:color w:val="auto"/>
        </w:rPr>
        <w:t>In June 2002, Wynn Resorts (Macau), S.A., entered into a concession agreement with government of the Macau Special Administrative Region of the People's Republic of China, permitting Wynn Resorts (Macau), S.A. to construct and operate one or more casinos in Macau. Under the concession agreement, Wynn Resorts (Macau), S.A. is obligated to invest at lease 4 billion Macau patacas (approximately US $500 million at July 31, 2002) in building its Macau casino(s) by June 26, 2009.</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connection with the May 2002 acquisition of World Travel, the Company assumed a loan for $28.5 million, secured by a Bombardier Global</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Express Aircraft and guaranteed by the Company. The loan provides for 47 monthly principal payments of approximately $158,000, commencing</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March 1, 2003 and the payment of approximately $21.1 million remaining principal on March 1, 2007. The loan bears interest at the prime rate plus .25%</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per annum unless an optional rate equal to LIBOR plus 2.50% is elected, subject to certain requirements. Interest is payable monthly commencing June 1,</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2002.</w:t>
      </w:r>
    </w:p>
    <w:p>
      <w:pPr>
        <w:spacing w:after="0" w:line="219" w:lineRule="exact"/>
        <w:rPr>
          <w:sz w:val="20"/>
          <w:szCs w:val="20"/>
          <w:color w:val="auto"/>
        </w:rPr>
      </w:pPr>
    </w:p>
    <w:p>
      <w:pPr>
        <w:ind w:left="540" w:right="140" w:firstLine="348"/>
        <w:spacing w:after="0" w:line="268" w:lineRule="auto"/>
        <w:rPr>
          <w:sz w:val="20"/>
          <w:szCs w:val="20"/>
          <w:color w:val="auto"/>
        </w:rPr>
      </w:pPr>
      <w:r>
        <w:rPr>
          <w:rFonts w:ascii="Arial" w:cs="Arial" w:eastAsia="Arial" w:hAnsi="Arial"/>
          <w:sz w:val="18"/>
          <w:szCs w:val="18"/>
          <w:color w:val="auto"/>
        </w:rPr>
        <w:t>The results of operations of World Travel and Las Vegas Jet are included from the date of acquisition in the consolidated results of operations of the Company for the six months ended June 30, 2002.</w:t>
      </w:r>
    </w:p>
    <w:p>
      <w:pPr>
        <w:spacing w:after="0" w:line="199" w:lineRule="exact"/>
        <w:rPr>
          <w:sz w:val="20"/>
          <w:szCs w:val="20"/>
          <w:color w:val="auto"/>
        </w:rPr>
      </w:pPr>
    </w:p>
    <w:p>
      <w:pPr>
        <w:ind w:left="540" w:hanging="532"/>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Condensed Consolidating Financial Information of Guarantors and Issuers</w:t>
      </w:r>
    </w:p>
    <w:p>
      <w:pPr>
        <w:spacing w:after="0" w:line="225" w:lineRule="exact"/>
        <w:rPr>
          <w:sz w:val="20"/>
          <w:szCs w:val="20"/>
          <w:color w:val="auto"/>
        </w:rPr>
      </w:pPr>
    </w:p>
    <w:p>
      <w:pPr>
        <w:jc w:val="both"/>
        <w:ind w:right="560" w:firstLine="348"/>
        <w:spacing w:after="0" w:line="259" w:lineRule="auto"/>
        <w:rPr>
          <w:sz w:val="20"/>
          <w:szCs w:val="20"/>
          <w:color w:val="auto"/>
        </w:rPr>
      </w:pPr>
      <w:r>
        <w:rPr>
          <w:rFonts w:ascii="Arial" w:cs="Arial" w:eastAsia="Arial" w:hAnsi="Arial"/>
          <w:sz w:val="18"/>
          <w:szCs w:val="18"/>
          <w:color w:val="auto"/>
        </w:rPr>
        <w:t>Wynn Las Vegas, LLC and Wynn Las Vegas Capital Corp., wholly owned subsidiaries of the Company, intend to jointly issue $350 million of second mortgage notes. The Company and certain of its subsidiaries anticipate providing guarantees in connection with the issuance of such notes. The following combining financial statements present information related to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issuers, guarantors and non-guarantors as of June 30, 2002 and December 31, 2001 and 2000 and for the six months ended June 30, 2002 and 2001, the year ended December 31, 2001 and the periods from inception to December 31, 2000 and June 30,2002.</w:t>
      </w:r>
    </w:p>
    <w:p>
      <w:pPr>
        <w:spacing w:after="0" w:line="186"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Wynn Las Vegas, LLC was formed in April 2001 and Wynn Las Vegas Capital Corp. was formed in June 2002. Accordingly, there is no financial information for Wynn Las Vegas 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LLC, Palo, LLC, Desert Inn Water Company, LLC, World Travel, LLC and Las Vegas Jet, LLC. As indicated in Note 10, World Travel, LLC and Las Vegas Jet, LLC were acquired in May 2002. Accordingly, the All Other Guarantor financial information excludes these entities for all periods presented prior to June 30,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31" w:right="239" w:bottom="0" w:gutter="0" w:footer="0" w:header="0"/>
        </w:sectPr>
      </w:pPr>
    </w:p>
    <w:bookmarkStart w:id="108" w:name="page109"/>
    <w:bookmarkEnd w:id="108"/>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Wynn Las Vegas,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Valvino</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LLC and Wynn Las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right"/>
              <w:ind w:right="432"/>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2"/>
                <w:szCs w:val="12"/>
                <w:color w:val="auto"/>
              </w:rPr>
            </w:pPr>
          </w:p>
        </w:tc>
        <w:tc>
          <w:tcPr>
            <w:tcW w:w="11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Lamore, LLC</w:t>
            </w:r>
          </w:p>
        </w:tc>
        <w:tc>
          <w:tcPr>
            <w:tcW w:w="120" w:type="dxa"/>
            <w:vAlign w:val="bottom"/>
          </w:tcPr>
          <w:p>
            <w:pPr>
              <w:spacing w:after="0"/>
              <w:rPr>
                <w:sz w:val="15"/>
                <w:szCs w:val="15"/>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9"/>
              </w:rPr>
              <w:t>Vegas Capital Corp.</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Non-Guarantors</w:t>
            </w:r>
          </w:p>
        </w:tc>
        <w:tc>
          <w:tcPr>
            <w:tcW w:w="220" w:type="dxa"/>
            <w:vAlign w:val="bottom"/>
          </w:tcPr>
          <w:p>
            <w:pPr>
              <w:spacing w:after="0"/>
              <w:rPr>
                <w:sz w:val="15"/>
                <w:szCs w:val="15"/>
                <w:color w:val="auto"/>
              </w:rPr>
            </w:pPr>
          </w:p>
        </w:tc>
        <w:tc>
          <w:tcPr>
            <w:tcW w:w="1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Entries</w:t>
            </w:r>
          </w:p>
        </w:tc>
        <w:tc>
          <w:tcPr>
            <w:tcW w:w="20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83"/>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162,103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tcBorders>
              <w:lef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10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2,288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162,635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11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191,858</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161,392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132,167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Water Rights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Intercompany Balances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288,658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(166,852)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(118,445)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(3,361)</w:t>
            </w:r>
          </w:p>
        </w:tc>
        <w:tc>
          <w:tcPr>
            <w:tcW w:w="220" w:type="dxa"/>
            <w:vAlign w:val="bottom"/>
          </w:tcPr>
          <w:p>
            <w:pPr>
              <w:spacing w:after="0"/>
              <w:rPr>
                <w:sz w:val="18"/>
                <w:szCs w:val="18"/>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(21,289)</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183"/>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563,109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(1,332)</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(21,289)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586,407</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4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60" w:type="dxa"/>
            <w:vAlign w:val="bottom"/>
            <w:tcBorders>
              <w:right w:val="single" w:sz="8" w:color="808080"/>
            </w:tcBorders>
            <w:gridSpan w:val="2"/>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left w:val="single" w:sz="8" w:color="808080"/>
            </w:tcBorders>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Members'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4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83"/>
              <w:spacing w:after="0"/>
              <w:rPr>
                <w:sz w:val="20"/>
                <w:szCs w:val="20"/>
                <w:color w:val="auto"/>
              </w:rPr>
            </w:pPr>
            <w:r>
              <w:rPr>
                <w:rFonts w:ascii="Arial" w:cs="Arial" w:eastAsia="Arial" w:hAnsi="Arial"/>
                <w:sz w:val="10"/>
                <w:szCs w:val="10"/>
                <w:color w:val="auto"/>
                <w:w w:val="71"/>
              </w:rPr>
              <w:t>$</w:t>
            </w:r>
          </w:p>
        </w:tc>
        <w:tc>
          <w:tcPr>
            <w:tcW w:w="7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2,885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Current Portion of Long-Term</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116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Members' Equity</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586,066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(26,420)</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Deficit Accumulated from</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Inception During the</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(27,555)</w:t>
            </w:r>
          </w:p>
        </w:tc>
        <w:tc>
          <w:tcPr>
            <w:tcW w:w="8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(1,385)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(5,568)</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(40,747)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558,511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(23,605)</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545,319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40" w:type="dxa"/>
            <w:vAlign w:val="bottom"/>
            <w:vMerge w:val="restart"/>
          </w:tcPr>
          <w:p>
            <w:pPr>
              <w:ind w:left="240"/>
              <w:spacing w:after="0"/>
              <w:rPr>
                <w:sz w:val="20"/>
                <w:szCs w:val="20"/>
                <w:color w:val="auto"/>
              </w:rPr>
            </w:pPr>
            <w:r>
              <w:rPr>
                <w:rFonts w:ascii="Arial" w:cs="Arial" w:eastAsia="Arial" w:hAnsi="Arial"/>
                <w:sz w:val="18"/>
                <w:szCs w:val="18"/>
                <w:color w:val="auto"/>
              </w:rPr>
              <w:t>Total Liabilities and</w:t>
            </w:r>
          </w:p>
        </w:tc>
        <w:tc>
          <w:tcPr>
            <w:tcW w:w="3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ind w:left="240"/>
              <w:spacing w:after="0"/>
              <w:rPr>
                <w:sz w:val="20"/>
                <w:szCs w:val="20"/>
                <w:color w:val="auto"/>
              </w:rPr>
            </w:pPr>
            <w:r>
              <w:rPr>
                <w:rFonts w:ascii="Arial" w:cs="Arial" w:eastAsia="Arial" w:hAnsi="Arial"/>
                <w:sz w:val="18"/>
                <w:szCs w:val="18"/>
                <w:color w:val="auto"/>
              </w:rPr>
              <w:t>Members' Equity</w:t>
            </w:r>
          </w:p>
        </w:tc>
        <w:tc>
          <w:tcPr>
            <w:tcW w:w="300" w:type="dxa"/>
            <w:vAlign w:val="bottom"/>
          </w:tcPr>
          <w:p>
            <w:pPr>
              <w:jc w:val="right"/>
              <w:ind w:right="183"/>
              <w:spacing w:after="0"/>
              <w:rPr>
                <w:sz w:val="20"/>
                <w:szCs w:val="20"/>
                <w:color w:val="auto"/>
              </w:rPr>
            </w:pPr>
            <w:r>
              <w:rPr>
                <w:rFonts w:ascii="Arial" w:cs="Arial" w:eastAsia="Arial" w:hAnsi="Arial"/>
                <w:sz w:val="10"/>
                <w:szCs w:val="10"/>
                <w:color w:val="auto"/>
                <w:w w:val="71"/>
              </w:rPr>
              <w:t>$</w:t>
            </w: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563,109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(1,332)</w:t>
            </w:r>
          </w:p>
        </w:tc>
        <w:tc>
          <w:tcPr>
            <w:tcW w:w="260" w:type="dxa"/>
            <w:vAlign w:val="bottom"/>
            <w:gridSpan w:val="2"/>
          </w:tcPr>
          <w:p>
            <w:pPr>
              <w:jc w:val="right"/>
              <w:ind w:right="5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22,156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23,763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(21,289)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586,407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gridSpan w:val="2"/>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Borders>
              <w:left w:val="single" w:sz="8" w:color="808080"/>
            </w:tcBorders>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4"/>
          </w:tcPr>
          <w:p>
            <w:pPr>
              <w:jc w:val="center"/>
              <w:ind w:right="72"/>
              <w:spacing w:after="0"/>
              <w:rPr>
                <w:sz w:val="20"/>
                <w:szCs w:val="20"/>
                <w:color w:val="auto"/>
              </w:rPr>
            </w:pPr>
            <w:r>
              <w:rPr>
                <w:rFonts w:ascii="Arial" w:cs="Arial" w:eastAsia="Arial" w:hAnsi="Arial"/>
                <w:sz w:val="18"/>
                <w:szCs w:val="18"/>
                <w:color w:val="auto"/>
                <w:w w:val="91"/>
              </w:rPr>
              <w:t>F-21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gridSpan w:val="4"/>
          </w:tcPr>
          <w:p>
            <w:pPr>
              <w:spacing w:after="0"/>
              <w:rPr>
                <w:sz w:val="19"/>
                <w:szCs w:val="19"/>
                <w:color w:val="auto"/>
              </w:rPr>
            </w:pPr>
          </w:p>
        </w:tc>
        <w:tc>
          <w:tcPr>
            <w:tcW w:w="1360" w:type="dxa"/>
            <w:vAlign w:val="bottom"/>
            <w:tcBorders>
              <w:bottom w:val="single" w:sz="8" w:color="808080"/>
            </w:tcBorders>
            <w:gridSpan w:val="4"/>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1240" w:type="dxa"/>
            <w:vAlign w:val="bottom"/>
            <w:tcBorders>
              <w:bottom w:val="single" w:sz="8" w:color="808080"/>
            </w:tcBorders>
            <w:gridSpan w:val="4"/>
          </w:tcPr>
          <w:p>
            <w:pPr>
              <w:spacing w:after="0"/>
              <w:rPr>
                <w:sz w:val="19"/>
                <w:szCs w:val="19"/>
                <w:color w:val="auto"/>
              </w:rPr>
            </w:pPr>
          </w:p>
        </w:tc>
        <w:tc>
          <w:tcPr>
            <w:tcW w:w="1800" w:type="dxa"/>
            <w:vAlign w:val="bottom"/>
            <w:tcBorders>
              <w:bottom w:val="single" w:sz="8" w:color="808080"/>
            </w:tcBorders>
            <w:gridSpan w:val="4"/>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80" w:type="dxa"/>
            <w:vAlign w:val="bottom"/>
            <w:gridSpan w:val="19"/>
          </w:tcPr>
          <w:p>
            <w:pPr>
              <w:jc w:val="center"/>
              <w:ind w:right="102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CONSOLIDATING BALANCE SHEETS</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9"/>
          </w:tcPr>
          <w:p>
            <w:pPr>
              <w:jc w:val="center"/>
              <w:spacing w:after="0"/>
              <w:rPr>
                <w:sz w:val="20"/>
                <w:szCs w:val="20"/>
                <w:color w:val="auto"/>
              </w:rPr>
            </w:pPr>
            <w:r>
              <w:rPr>
                <w:rFonts w:ascii="Arial" w:cs="Arial" w:eastAsia="Arial" w:hAnsi="Arial"/>
                <w:sz w:val="18"/>
                <w:szCs w:val="18"/>
                <w:b w:val="1"/>
                <w:bCs w:val="1"/>
                <w:color w:val="auto"/>
                <w:w w:val="87"/>
              </w:rPr>
              <w:t>As of December 31, 2001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9"/>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Valvino</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Wynn Las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All Other</w:t>
            </w:r>
          </w:p>
        </w:tc>
        <w:tc>
          <w:tcPr>
            <w:tcW w:w="220" w:type="dxa"/>
            <w:vAlign w:val="bottom"/>
          </w:tcPr>
          <w:p>
            <w:pPr>
              <w:spacing w:after="0"/>
              <w:rPr>
                <w:sz w:val="24"/>
                <w:szCs w:val="24"/>
                <w:color w:val="auto"/>
              </w:rPr>
            </w:pPr>
          </w:p>
        </w:tc>
        <w:tc>
          <w:tcPr>
            <w:tcW w:w="11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0"/>
              </w:rPr>
              <w:t>Eliminating</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Lamore, LLC</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Vegas, LLC</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Non-Guarantors</w:t>
            </w:r>
          </w:p>
        </w:tc>
        <w:tc>
          <w:tcPr>
            <w:tcW w:w="220" w:type="dxa"/>
            <w:vAlign w:val="bottom"/>
          </w:tcPr>
          <w:p>
            <w:pPr>
              <w:spacing w:after="0"/>
              <w:rPr>
                <w:sz w:val="15"/>
                <w:szCs w:val="15"/>
                <w:color w:val="auto"/>
              </w:rPr>
            </w:pPr>
          </w:p>
        </w:tc>
        <w:tc>
          <w:tcPr>
            <w:tcW w:w="1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Entries</w:t>
            </w:r>
          </w:p>
        </w:tc>
        <w:tc>
          <w:tcPr>
            <w:tcW w:w="200" w:type="dxa"/>
            <w:vAlign w:val="bottom"/>
          </w:tcPr>
          <w:p>
            <w:pPr>
              <w:spacing w:after="0"/>
              <w:rPr>
                <w:sz w:val="15"/>
                <w:szCs w:val="15"/>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39,590</w:t>
            </w:r>
          </w:p>
        </w:tc>
        <w:tc>
          <w:tcPr>
            <w:tcW w:w="1180" w:type="dxa"/>
            <w:vAlign w:val="bottom"/>
            <w:gridSpan w:val="2"/>
            <w:shd w:val="clear" w:color="auto" w:fill="CCEEFF"/>
          </w:tcPr>
          <w:p>
            <w:pPr>
              <w:jc w:val="right"/>
              <w:ind w:right="87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(49)</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5"/>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24</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w w:val="79"/>
              </w:rPr>
              <w:t>500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88"/>
              </w:rPr>
              <w:t>Due from Related Parties, Current</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gridSpan w:val="3"/>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gridSpan w:val="3"/>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40,559</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9"/>
              </w:rPr>
              <w:t>451</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1"/>
                <w:szCs w:val="21"/>
                <w:color w:val="auto"/>
              </w:rPr>
            </w:pPr>
          </w:p>
        </w:tc>
        <w:tc>
          <w:tcPr>
            <w:tcW w:w="1160" w:type="dxa"/>
            <w:vAlign w:val="bottom"/>
            <w:tcBorders>
              <w:right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272,071</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54,184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11,207</w:t>
            </w:r>
          </w:p>
        </w:tc>
        <w:tc>
          <w:tcPr>
            <w:tcW w:w="220" w:type="dxa"/>
            <w:vAlign w:val="bottom"/>
          </w:tcPr>
          <w:p>
            <w:pPr>
              <w:spacing w:after="0"/>
              <w:rPr>
                <w:sz w:val="18"/>
                <w:szCs w:val="18"/>
                <w:color w:val="auto"/>
              </w:rPr>
            </w:pPr>
          </w:p>
        </w:tc>
        <w:tc>
          <w:tcPr>
            <w:tcW w:w="1160" w:type="dxa"/>
            <w:vAlign w:val="bottom"/>
            <w:gridSpan w:val="4"/>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Water Rights</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-10148570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-10148570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-10148570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-10148570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-10148570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-10148570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-10148570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-10148570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-10148570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-10148570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-10148570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-10148570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-8622665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-8622665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-8622665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-8622665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-8622665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-8622665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-8622665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-8622665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-8622665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-8622665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-8622665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-8622665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-7627620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-7627620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-7627620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-7627620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-7627620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-7627620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-7627620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-7627620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-7627620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-7627620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-7627620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-7627620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-6049645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-6049645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-6049645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-6049645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-6049645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-6049645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-6049645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-6049645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-6049645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-6049645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-6049645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-6049645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-4780280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-4780280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-4780280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-4780280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-4780280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-4780280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-4780280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-4780280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-4780280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-4780280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-4780280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-4780280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-4488815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-4488815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-4488815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-4488815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-4488815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-4488815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-4488815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-4488815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-4488815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-4488815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-4488815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-4488815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-3545205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-3545205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-1898650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-1898650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-1898650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-1898650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-1898650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-1898650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-1898650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-1898650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-1898650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-1898650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-1898650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-1898650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-509905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-509905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-509905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-509905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-509905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-509905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-509905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-509905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-509905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-509905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-509905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-509905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4" w:orient="portrait"/>
          <w:cols w:equalWidth="0" w:num="1">
            <w:col w:w="11520"/>
          </w:cols>
          <w:pgMar w:left="240" w:top="114" w:right="139" w:bottom="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Due from Related Parties and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82,733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(2,302)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(66,270)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(11,785)</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Intercompany Balances, Net of</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8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395,520</w:t>
            </w:r>
          </w:p>
        </w:tc>
        <w:tc>
          <w:tcPr>
            <w:tcW w:w="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(3,539)</w:t>
            </w:r>
          </w:p>
        </w:tc>
        <w:tc>
          <w:tcPr>
            <w:tcW w:w="10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(578)</w:t>
            </w:r>
          </w:p>
        </w:tc>
        <w:tc>
          <w:tcPr>
            <w:tcW w:w="700" w:type="dxa"/>
            <w:vAlign w:val="bottom"/>
            <w:shd w:val="clear" w:color="auto" w:fill="CCEEFF"/>
          </w:tcPr>
          <w:p>
            <w:pPr>
              <w:jc w:val="center"/>
              <w:ind w:right="512"/>
              <w:spacing w:after="0"/>
              <w:rPr>
                <w:sz w:val="20"/>
                <w:szCs w:val="20"/>
                <w:color w:val="auto"/>
              </w:rPr>
            </w:pPr>
            <w:r>
              <w:rPr>
                <w:rFonts w:ascii="Arial" w:cs="Arial" w:eastAsia="Arial" w:hAnsi="Arial"/>
                <w:sz w:val="18"/>
                <w:szCs w:val="18"/>
                <w:color w:val="auto"/>
                <w:w w:val="99"/>
              </w:rPr>
              <w:t>$</w:t>
            </w:r>
          </w:p>
        </w:tc>
        <w:tc>
          <w:tcPr>
            <w:tcW w:w="5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390,788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60" w:type="dxa"/>
            <w:vAlign w:val="bottom"/>
            <w:gridSpan w:val="2"/>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w w:val="99"/>
              </w:rPr>
              <w:t>Liabilities and Members' Equity:</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7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24"/>
                <w:szCs w:val="24"/>
                <w:color w:val="auto"/>
              </w:rPr>
            </w:pPr>
          </w:p>
        </w:tc>
        <w:tc>
          <w:tcPr>
            <w:tcW w:w="3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320" w:type="dxa"/>
            <w:vAlign w:val="bottom"/>
          </w:tcPr>
          <w:p>
            <w:pPr>
              <w:jc w:val="right"/>
              <w:ind w:right="155"/>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1,754</w:t>
            </w:r>
          </w:p>
        </w:tc>
        <w:tc>
          <w:tcPr>
            <w:tcW w:w="80" w:type="dxa"/>
            <w:vAlign w:val="bottom"/>
          </w:tcPr>
          <w:p>
            <w:pPr>
              <w:spacing w:after="0"/>
              <w:rPr>
                <w:sz w:val="24"/>
                <w:szCs w:val="24"/>
                <w:color w:val="auto"/>
              </w:rPr>
            </w:pP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700" w:type="dxa"/>
            <w:vAlign w:val="bottom"/>
          </w:tcPr>
          <w:p>
            <w:pPr>
              <w:jc w:val="center"/>
              <w:ind w:right="512"/>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7"/>
              </w:rPr>
              <w:t>Current Portion of Long-Term Debt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6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7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8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Contributed Capital</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412,572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412,572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Deficit Accumulated from Inception</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During the Development Stage</w:t>
            </w:r>
          </w:p>
        </w:tc>
        <w:tc>
          <w:tcPr>
            <w:tcW w:w="2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(19,016)</w:t>
            </w:r>
          </w:p>
        </w:tc>
        <w:tc>
          <w:tcPr>
            <w:tcW w:w="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(5,742)</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(614)</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(26,054)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393,556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(5,724)</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(614)</w:t>
            </w:r>
          </w:p>
        </w:tc>
        <w:tc>
          <w:tcPr>
            <w:tcW w:w="700" w:type="dxa"/>
            <w:vAlign w:val="bottom"/>
          </w:tcPr>
          <w:p>
            <w:pPr>
              <w:spacing w:after="0"/>
              <w:rPr>
                <w:sz w:val="24"/>
                <w:szCs w:val="24"/>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386,518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28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395,520</w:t>
            </w: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(3,539)</w:t>
            </w:r>
          </w:p>
        </w:tc>
        <w:tc>
          <w:tcPr>
            <w:tcW w:w="10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(578)</w:t>
            </w:r>
          </w:p>
        </w:tc>
        <w:tc>
          <w:tcPr>
            <w:tcW w:w="700" w:type="dxa"/>
            <w:vAlign w:val="bottom"/>
            <w:shd w:val="clear" w:color="auto" w:fill="CCEEFF"/>
          </w:tcPr>
          <w:p>
            <w:pPr>
              <w:jc w:val="center"/>
              <w:ind w:right="512"/>
              <w:spacing w:after="0"/>
              <w:rPr>
                <w:sz w:val="20"/>
                <w:szCs w:val="20"/>
                <w:color w:val="auto"/>
              </w:rPr>
            </w:pPr>
            <w:r>
              <w:rPr>
                <w:rFonts w:ascii="Arial" w:cs="Arial" w:eastAsia="Arial" w:hAnsi="Arial"/>
                <w:sz w:val="18"/>
                <w:szCs w:val="18"/>
                <w:color w:val="auto"/>
                <w:w w:val="99"/>
              </w:rPr>
              <w:t>$</w:t>
            </w:r>
          </w:p>
        </w:tc>
        <w:tc>
          <w:tcPr>
            <w:tcW w:w="5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390,788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color w:val="auto"/>
                <w:w w:val="91"/>
              </w:rPr>
              <w:t>F-22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gridSpan w:val="4"/>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4"/>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gridSpan w:val="4"/>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gridSpan w:val="15"/>
          </w:tcPr>
          <w:p>
            <w:pPr>
              <w:jc w:val="center"/>
              <w:ind w:right="22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gridSpan w:val="15"/>
          </w:tcPr>
          <w:p>
            <w:pPr>
              <w:jc w:val="center"/>
              <w:ind w:right="220"/>
              <w:spacing w:after="0"/>
              <w:rPr>
                <w:sz w:val="20"/>
                <w:szCs w:val="20"/>
                <w:color w:val="auto"/>
              </w:rPr>
            </w:pPr>
            <w:r>
              <w:rPr>
                <w:rFonts w:ascii="Arial" w:cs="Arial" w:eastAsia="Arial" w:hAnsi="Arial"/>
                <w:sz w:val="18"/>
                <w:szCs w:val="18"/>
                <w:b w:val="1"/>
                <w:bCs w:val="1"/>
                <w:color w:val="auto"/>
                <w:w w:val="97"/>
              </w:rPr>
              <w:t>CONSOLIDATING BALANCE SHEETS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20" w:type="dxa"/>
            <w:vAlign w:val="bottom"/>
            <w:gridSpan w:val="10"/>
          </w:tcPr>
          <w:p>
            <w:pPr>
              <w:jc w:val="center"/>
              <w:ind w:right="200"/>
              <w:spacing w:after="0"/>
              <w:rPr>
                <w:sz w:val="20"/>
                <w:szCs w:val="20"/>
                <w:color w:val="auto"/>
              </w:rPr>
            </w:pPr>
            <w:r>
              <w:rPr>
                <w:rFonts w:ascii="Arial" w:cs="Arial" w:eastAsia="Arial" w:hAnsi="Arial"/>
                <w:sz w:val="18"/>
                <w:szCs w:val="18"/>
                <w:b w:val="1"/>
                <w:bCs w:val="1"/>
                <w:color w:val="auto"/>
                <w:w w:val="93"/>
              </w:rPr>
              <w:t>AS OF DECEMBER 31, 2000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Valvino</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Eliminating</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Lamore, LLC</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Guarantors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20" w:type="dxa"/>
            <w:vAlign w:val="bottom"/>
          </w:tcPr>
          <w:p>
            <w:pPr>
              <w:spacing w:after="0"/>
              <w:rPr>
                <w:sz w:val="15"/>
                <w:szCs w:val="15"/>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Entries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440" w:type="dxa"/>
            <w:vAlign w:val="bottom"/>
            <w:tcBorders>
              <w:right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867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2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322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813</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gridSpan w:val="4"/>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66,556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66,561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282,731</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27,516</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313,022</w:t>
            </w:r>
          </w:p>
        </w:tc>
        <w:tc>
          <w:tcPr>
            <w:tcW w:w="12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Due from Related Parties and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Intercompany Balances, Net of</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38,320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8"/>
                <w:szCs w:val="18"/>
                <w:color w:val="auto"/>
              </w:rPr>
              <w:t>(27,912)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gridSpan w:val="4"/>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388,928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(411)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6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388,467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9"/>
              </w:rPr>
              <w:t>Liabilities and Members' Equity:</w:t>
            </w:r>
          </w:p>
        </w:tc>
        <w:tc>
          <w:tcPr>
            <w:tcW w:w="28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503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600" w:type="dxa"/>
            <w:vAlign w:val="bottom"/>
            <w:tcBorders>
              <w:right w:val="single" w:sz="8" w:color="CCEEFF"/>
            </w:tcBorders>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440" w:type="dxa"/>
            <w:vAlign w:val="bottom"/>
            <w:tcBorders>
              <w:right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4,057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Current Portion of Long-Term Debt</w:t>
            </w:r>
          </w:p>
        </w:tc>
        <w:tc>
          <w:tcPr>
            <w:tcW w:w="2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-9704705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-9704705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-9704705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-9704705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-9704705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-9704705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-9704705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-9704705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-9704705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-9704705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-9704705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-9704705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-8247380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-8247380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-8247380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-8247380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-8247380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-8247380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-8247380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-8247380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-8247380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-8247380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-8247380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-8247380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-6978015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-6978015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-6978015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-6978015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-6978015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-6978015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-6978015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-6978015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-6978015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-6978015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-6978015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-6978015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-6686550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-6686550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-6686550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-6686550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-6686550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-6686550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-6686550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-6686550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-6686550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-6686550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-6686550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-6686550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-5742940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-5742940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-4096385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-4096385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-4096385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-4096385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-4096385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-4096385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-4096385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-4096385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-4096385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-4096385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-2775585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-2775585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-2775585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-2775585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-2775585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-2775585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-2775585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-2775585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-2775585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-2775585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-1626235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-1626235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-1626235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-1626235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-1626235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-1626235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-1626235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-1626235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-1626235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-1626235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-14605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-14605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-14605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-14605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-14605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-14605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-14605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-14605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-14605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23"/>
        </w:trPr>
        <w:tc>
          <w:tcPr>
            <w:tcW w:w="30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4,592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0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040" w:type="dxa"/>
            <w:vAlign w:val="bottom"/>
          </w:tcPr>
          <w:p>
            <w:pPr>
              <w:ind w:left="220"/>
              <w:spacing w:after="0"/>
              <w:rPr>
                <w:sz w:val="20"/>
                <w:szCs w:val="20"/>
                <w:color w:val="auto"/>
              </w:rPr>
            </w:pPr>
            <w:r>
              <w:rPr>
                <w:rFonts w:ascii="Arial" w:cs="Arial" w:eastAsia="Arial" w:hAnsi="Arial"/>
                <w:sz w:val="18"/>
                <w:szCs w:val="18"/>
                <w:color w:val="auto"/>
              </w:rPr>
              <w:t>Members' Equity</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0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Contributed Capital</w:t>
            </w: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040" w:type="dxa"/>
            <w:vAlign w:val="bottom"/>
          </w:tcPr>
          <w:p>
            <w:pPr>
              <w:ind w:left="440"/>
              <w:spacing w:after="0"/>
              <w:rPr>
                <w:sz w:val="20"/>
                <w:szCs w:val="20"/>
                <w:color w:val="auto"/>
              </w:rPr>
            </w:pPr>
            <w:r>
              <w:rPr>
                <w:rFonts w:ascii="Arial" w:cs="Arial" w:eastAsia="Arial" w:hAnsi="Arial"/>
                <w:sz w:val="18"/>
                <w:szCs w:val="18"/>
                <w:color w:val="auto"/>
              </w:rPr>
              <w:t>Deficit Accumulated from</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Inception During the</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5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(8,562)</w:t>
            </w:r>
          </w:p>
        </w:tc>
        <w:tc>
          <w:tcPr>
            <w:tcW w:w="4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(536)</w:t>
            </w:r>
          </w:p>
        </w:tc>
        <w:tc>
          <w:tcPr>
            <w:tcW w:w="8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19"/>
                <w:szCs w:val="19"/>
                <w:color w:val="auto"/>
              </w:rPr>
            </w:pPr>
          </w:p>
        </w:tc>
        <w:tc>
          <w:tcPr>
            <w:tcW w:w="122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(9,155)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0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384,010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w:t>
            </w:r>
          </w:p>
        </w:tc>
        <w:tc>
          <w:tcPr>
            <w:tcW w:w="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5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383,417</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040" w:type="dxa"/>
            <w:vAlign w:val="bottom"/>
            <w:vMerge w:val="restart"/>
          </w:tcPr>
          <w:p>
            <w:pPr>
              <w:ind w:left="660"/>
              <w:spacing w:after="0"/>
              <w:rPr>
                <w:sz w:val="20"/>
                <w:szCs w:val="20"/>
                <w:color w:val="auto"/>
              </w:rPr>
            </w:pPr>
            <w:r>
              <w:rPr>
                <w:rFonts w:ascii="Arial" w:cs="Arial" w:eastAsia="Arial" w:hAnsi="Arial"/>
                <w:sz w:val="18"/>
                <w:szCs w:val="18"/>
                <w:color w:val="auto"/>
                <w:w w:val="98"/>
              </w:rPr>
              <w:t>Total Liabilities and Members'</w:t>
            </w: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30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40" w:type="dxa"/>
            <w:vAlign w:val="bottom"/>
          </w:tcPr>
          <w:p>
            <w:pPr>
              <w:ind w:left="660"/>
              <w:spacing w:after="0"/>
              <w:rPr>
                <w:sz w:val="20"/>
                <w:szCs w:val="20"/>
                <w:color w:val="auto"/>
              </w:rPr>
            </w:pPr>
            <w:r>
              <w:rPr>
                <w:rFonts w:ascii="Arial" w:cs="Arial" w:eastAsia="Arial" w:hAnsi="Arial"/>
                <w:sz w:val="18"/>
                <w:szCs w:val="18"/>
                <w:color w:val="auto"/>
              </w:rPr>
              <w:t>Equity</w:t>
            </w:r>
          </w:p>
        </w:tc>
        <w:tc>
          <w:tcPr>
            <w:tcW w:w="540" w:type="dxa"/>
            <w:vAlign w:val="bottom"/>
          </w:tcPr>
          <w:p>
            <w:pPr>
              <w:jc w:val="right"/>
              <w:ind w:right="38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(411)</w:t>
            </w: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580" w:type="dxa"/>
            <w:vAlign w:val="bottom"/>
          </w:tcPr>
          <w:p>
            <w:pPr>
              <w:jc w:val="right"/>
              <w:ind w:right="423"/>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388,467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4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F-23</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-1386205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-1386205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-1386205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-1386205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-1386205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-1386205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-1386205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-1386205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-1386205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-1386205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-1094740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-1094740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-1094740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-1094740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-1094740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-1094740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-1094740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-1094740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-1094740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-1094740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Wynn Las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Vegas, LLC</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Las Vegas</w:t>
            </w:r>
          </w:p>
        </w:tc>
        <w:tc>
          <w:tcPr>
            <w:tcW w:w="1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Capital Corp.</w:t>
            </w:r>
          </w:p>
        </w:tc>
        <w:tc>
          <w:tcPr>
            <w:tcW w:w="1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Affiliate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Selling, General &amp;</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Administrative</w:t>
            </w: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 (Gain) from Incidental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6,768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Income / (Expense)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Net Loss Accumulated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During the Development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Stage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(8,539)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(3,312)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(4,954)</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(14,693)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-5297170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-5297170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-5297170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-5297170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-5297170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-5297170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-5297170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-5297170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-5297170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-5297170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-5297170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-5297170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-4387850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-4387850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-4387850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-4387850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-4387850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-4387850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-4387850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-4387850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-4387850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-4387850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-4387850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-4387850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-2226945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-2226945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-2226945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-2226945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-2226945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-2226945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-2226945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-2226945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-2226945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-2226945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-2226945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-2226945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-1918335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-1918335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-1918335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-1918335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-1918335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-1918335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-1918335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-1918335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-1918335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-1918335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-1918335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-1918335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-906145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-906145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-906145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-906145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-906145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-906145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-906145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-906145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-906145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-906145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-906145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-906145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72" w:right="239" w:bottom="33" w:gutter="0" w:footer="0" w:header="0"/>
        </w:sectPr>
      </w:pPr>
    </w:p>
    <w:bookmarkStart w:id="111" w:name="page112"/>
    <w:bookmarkEnd w:id="11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1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Vegas, LLC</w:t>
            </w:r>
          </w:p>
        </w:tc>
        <w:tc>
          <w:tcPr>
            <w:tcW w:w="1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0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86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Selling, General &amp; Administrative</w:t>
            </w: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86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7,248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24"/>
                <w:szCs w:val="24"/>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(7,248)</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(1,950)</w:t>
            </w:r>
          </w:p>
        </w:tc>
        <w:tc>
          <w:tcPr>
            <w:tcW w:w="220" w:type="dxa"/>
            <w:vAlign w:val="bottom"/>
            <w:shd w:val="clear" w:color="auto" w:fill="CCEEFF"/>
          </w:tcPr>
          <w:p>
            <w:pPr>
              <w:spacing w:after="0"/>
              <w:rPr>
                <w:sz w:val="24"/>
                <w:szCs w:val="24"/>
                <w:color w:val="auto"/>
              </w:rPr>
            </w:pPr>
          </w:p>
        </w:tc>
        <w:tc>
          <w:tcPr>
            <w:tcW w:w="1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431"/>
        </w:trPr>
        <w:tc>
          <w:tcPr>
            <w:tcW w:w="288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Interest Expense, Net of Amounts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22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6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 During</w:t>
            </w: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tcPr>
          <w:p>
            <w:pPr>
              <w:ind w:left="440"/>
              <w:spacing w:after="0"/>
              <w:rPr>
                <w:sz w:val="20"/>
                <w:szCs w:val="20"/>
                <w:color w:val="auto"/>
              </w:rPr>
            </w:pPr>
            <w:r>
              <w:rPr>
                <w:rFonts w:ascii="Arial" w:cs="Arial" w:eastAsia="Arial" w:hAnsi="Arial"/>
                <w:sz w:val="18"/>
                <w:szCs w:val="18"/>
                <w:color w:val="auto"/>
              </w:rPr>
              <w:t>the Development Stage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(5,712)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(1,950)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F-25</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-4919345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-4919345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-4919345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-4919345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-4919345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-4919345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-4919345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-4919345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-4919345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-4919345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-4919345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-4919345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-4319270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-4319270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-4319270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-4319270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-4319270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-4319270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-4319270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-4319270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-4319270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-4319270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-4319270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-4319270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-2689860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-2689860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-2689860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-2689860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-2689860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-2689860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-2689860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-2689860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-2689860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-2689860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-2689860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-2689860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-1403350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-1403350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-1403350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-1403350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-1403350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-1403350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-1403350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-1094740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-1094740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-1094740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-1094740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-1094740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-1094740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-1094740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center"/>
              <w:ind w:left="332"/>
              <w:spacing w:after="0"/>
              <w:rPr>
                <w:sz w:val="20"/>
                <w:szCs w:val="20"/>
                <w:color w:val="auto"/>
              </w:rPr>
            </w:pPr>
            <w:r>
              <w:rPr>
                <w:rFonts w:ascii="Arial" w:cs="Arial" w:eastAsia="Arial" w:hAnsi="Arial"/>
                <w:sz w:val="14"/>
                <w:szCs w:val="14"/>
                <w:b w:val="1"/>
                <w:bCs w:val="1"/>
                <w:color w:val="auto"/>
                <w:w w:val="84"/>
              </w:rPr>
              <w:t>Valvino</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Wynn Las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All Other</w:t>
            </w: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Eliminating</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center"/>
              <w:ind w:left="312"/>
              <w:spacing w:after="0"/>
              <w:rPr>
                <w:sz w:val="20"/>
                <w:szCs w:val="20"/>
                <w:color w:val="auto"/>
              </w:rPr>
            </w:pPr>
            <w:r>
              <w:rPr>
                <w:rFonts w:ascii="Arial" w:cs="Arial" w:eastAsia="Arial" w:hAnsi="Arial"/>
                <w:sz w:val="14"/>
                <w:szCs w:val="14"/>
                <w:b w:val="1"/>
                <w:bCs w:val="1"/>
                <w:color w:val="auto"/>
                <w:w w:val="93"/>
              </w:rPr>
              <w:t>Lamore, LLC</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left="252"/>
              <w:spacing w:after="0"/>
              <w:rPr>
                <w:sz w:val="20"/>
                <w:szCs w:val="20"/>
                <w:color w:val="auto"/>
              </w:rPr>
            </w:pPr>
            <w:r>
              <w:rPr>
                <w:rFonts w:ascii="Arial" w:cs="Arial" w:eastAsia="Arial" w:hAnsi="Arial"/>
                <w:sz w:val="14"/>
                <w:szCs w:val="14"/>
                <w:b w:val="1"/>
                <w:bCs w:val="1"/>
                <w:color w:val="auto"/>
                <w:w w:val="86"/>
              </w:rPr>
              <w:t>Vegas, LLC</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7"/>
              </w:rPr>
              <w:t>Guarantors</w:t>
            </w: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Non-Guarantors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Entries</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98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1640" w:type="dxa"/>
            <w:vAlign w:val="bottom"/>
            <w:gridSpan w:val="2"/>
          </w:tcPr>
          <w:p>
            <w:pPr>
              <w:jc w:val="right"/>
              <w:ind w:right="10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ind w:left="220"/>
              <w:spacing w:after="0"/>
              <w:rPr>
                <w:sz w:val="20"/>
                <w:szCs w:val="20"/>
                <w:color w:val="auto"/>
              </w:rPr>
            </w:pPr>
            <w:r>
              <w:rPr>
                <w:rFonts w:ascii="Arial" w:cs="Arial" w:eastAsia="Arial" w:hAnsi="Arial"/>
                <w:sz w:val="18"/>
                <w:szCs w:val="18"/>
                <w:color w:val="auto"/>
              </w:rPr>
              <w:t>—  $</w:t>
            </w:r>
          </w:p>
        </w:tc>
        <w:tc>
          <w:tcPr>
            <w:tcW w:w="640" w:type="dxa"/>
            <w:vAlign w:val="bottom"/>
            <w:gridSpan w:val="3"/>
          </w:tcPr>
          <w:p>
            <w:pPr>
              <w:ind w:left="160"/>
              <w:spacing w:after="0"/>
              <w:rPr>
                <w:sz w:val="20"/>
                <w:szCs w:val="20"/>
                <w:color w:val="auto"/>
              </w:rPr>
            </w:pPr>
            <w:r>
              <w:rPr>
                <w:rFonts w:ascii="Arial" w:cs="Arial" w:eastAsia="Arial" w:hAnsi="Arial"/>
                <w:sz w:val="18"/>
                <w:szCs w:val="18"/>
                <w:color w:val="auto"/>
              </w:rPr>
              <w:t>— $</w:t>
            </w:r>
          </w:p>
        </w:tc>
        <w:tc>
          <w:tcPr>
            <w:tcW w:w="148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838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192"/>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980" w:type="dxa"/>
            <w:vAlign w:val="bottom"/>
          </w:tcPr>
          <w:p>
            <w:pPr>
              <w:ind w:left="220"/>
              <w:spacing w:after="0"/>
              <w:rPr>
                <w:sz w:val="20"/>
                <w:szCs w:val="20"/>
                <w:color w:val="auto"/>
              </w:rPr>
            </w:pPr>
            <w:r>
              <w:rPr>
                <w:rFonts w:ascii="Arial" w:cs="Arial" w:eastAsia="Arial" w:hAnsi="Arial"/>
                <w:sz w:val="18"/>
                <w:szCs w:val="18"/>
                <w:color w:val="auto"/>
              </w:rPr>
              <w:t>Retail</w:t>
            </w: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60" w:type="dxa"/>
            <w:vAlign w:val="bottom"/>
            <w:gridSpan w:val="3"/>
          </w:tcPr>
          <w:p>
            <w:pPr>
              <w:jc w:val="right"/>
              <w:ind w:right="1192"/>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4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192"/>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198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gridSpan w:val="3"/>
          </w:tcPr>
          <w:p>
            <w:pPr>
              <w:jc w:val="right"/>
              <w:ind w:right="1192"/>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838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98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5,241</w:t>
            </w:r>
          </w:p>
        </w:tc>
        <w:tc>
          <w:tcPr>
            <w:tcW w:w="11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5,025</w:t>
            </w:r>
          </w:p>
        </w:tc>
        <w:tc>
          <w:tcPr>
            <w:tcW w:w="22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6,780</w:t>
            </w:r>
          </w:p>
        </w:tc>
        <w:tc>
          <w:tcPr>
            <w:tcW w:w="11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1,080</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-1763395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-1763395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-1763395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-1763395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-1763395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-1763395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-1763395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-1763395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-1763395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-1763395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-1763395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-1763395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-854075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-854075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-854075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-854075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-854075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-854075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-854075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-854075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-854075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-854075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-854075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-854075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6"/>
        </w:trPr>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420" w:type="dxa"/>
            <w:vAlign w:val="bottom"/>
          </w:tcPr>
          <w:p>
            <w:pPr>
              <w:ind w:left="240"/>
              <w:spacing w:after="0"/>
              <w:rPr>
                <w:sz w:val="20"/>
                <w:szCs w:val="20"/>
                <w:color w:val="auto"/>
              </w:rPr>
            </w:pPr>
            <w:r>
              <w:rPr>
                <w:rFonts w:ascii="Arial" w:cs="Arial" w:eastAsia="Arial" w:hAnsi="Arial"/>
                <w:sz w:val="18"/>
                <w:szCs w:val="18"/>
                <w:color w:val="auto"/>
              </w:rPr>
              <w:t>Loss / (Gain) on Sale of</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42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r>
      <w:tr>
        <w:trPr>
          <w:trHeight w:val="209"/>
        </w:trPr>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&amp;</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Administrative</w:t>
            </w: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9"/>
                <w:szCs w:val="19"/>
                <w:color w:val="auto"/>
              </w:rPr>
            </w:pPr>
          </w:p>
        </w:tc>
      </w:tr>
      <w:tr>
        <w:trPr>
          <w:trHeight w:val="242"/>
        </w:trPr>
        <w:tc>
          <w:tcPr>
            <w:tcW w:w="2420" w:type="dxa"/>
            <w:vAlign w:val="bottom"/>
          </w:tcPr>
          <w:p>
            <w:pPr>
              <w:ind w:left="240"/>
              <w:spacing w:after="0"/>
              <w:rPr>
                <w:sz w:val="20"/>
                <w:szCs w:val="20"/>
                <w:color w:val="auto"/>
              </w:rPr>
            </w:pPr>
            <w:r>
              <w:rPr>
                <w:rFonts w:ascii="Arial" w:cs="Arial" w:eastAsia="Arial" w:hAnsi="Arial"/>
                <w:sz w:val="18"/>
                <w:szCs w:val="18"/>
                <w:color w:val="auto"/>
              </w:rPr>
              <w:t>Facility Closure</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r>
      <w:tr>
        <w:trPr>
          <w:trHeight w:val="244"/>
        </w:trPr>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Water</w:t>
            </w:r>
          </w:p>
        </w:tc>
        <w:tc>
          <w:tcPr>
            <w:tcW w:w="5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r>
      <w:tr>
        <w:trPr>
          <w:trHeight w:val="241"/>
        </w:trPr>
        <w:tc>
          <w:tcPr>
            <w:tcW w:w="2420" w:type="dxa"/>
            <w:vAlign w:val="bottom"/>
          </w:tcPr>
          <w:p>
            <w:pPr>
              <w:ind w:left="240"/>
              <w:spacing w:after="0"/>
              <w:rPr>
                <w:sz w:val="20"/>
                <w:szCs w:val="20"/>
                <w:color w:val="auto"/>
              </w:rPr>
            </w:pPr>
            <w:r>
              <w:rPr>
                <w:rFonts w:ascii="Arial" w:cs="Arial" w:eastAsia="Arial" w:hAnsi="Arial"/>
                <w:sz w:val="18"/>
                <w:szCs w:val="18"/>
                <w:color w:val="auto"/>
              </w:rPr>
              <w:t>Cost of Retail Sales</w:t>
            </w:r>
          </w:p>
        </w:tc>
        <w:tc>
          <w:tcPr>
            <w:tcW w:w="5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r>
      <w:tr>
        <w:trPr>
          <w:trHeight w:val="120"/>
        </w:trPr>
        <w:tc>
          <w:tcPr>
            <w:tcW w:w="24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Expenses</w:t>
            </w:r>
          </w:p>
        </w:tc>
        <w:tc>
          <w:tcPr>
            <w:tcW w:w="5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20" w:type="dxa"/>
            <w:vAlign w:val="bottom"/>
            <w:tcBorders>
              <w:right w:val="single" w:sz="8" w:color="CCEEFF"/>
            </w:tcBorders>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20,151</w:t>
            </w:r>
          </w:p>
        </w:tc>
        <w:tc>
          <w:tcPr>
            <w:tcW w:w="60" w:type="dxa"/>
            <w:vAlign w:val="bottom"/>
            <w:shd w:val="clear" w:color="auto" w:fill="CCEEFF"/>
          </w:tcPr>
          <w:p>
            <w:pPr>
              <w:spacing w:after="0"/>
              <w:rPr>
                <w:sz w:val="21"/>
                <w:szCs w:val="21"/>
                <w:color w:val="auto"/>
              </w:rPr>
            </w:pPr>
          </w:p>
        </w:tc>
      </w:tr>
      <w:tr>
        <w:trPr>
          <w:trHeight w:val="118"/>
        </w:trPr>
        <w:tc>
          <w:tcPr>
            <w:tcW w:w="24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6"/>
        </w:trPr>
        <w:tc>
          <w:tcPr>
            <w:tcW w:w="2420" w:type="dxa"/>
            <w:vAlign w:val="bottom"/>
          </w:tcPr>
          <w:p>
            <w:pPr>
              <w:spacing w:after="0"/>
              <w:rPr>
                <w:sz w:val="20"/>
                <w:szCs w:val="20"/>
                <w:color w:val="auto"/>
              </w:rPr>
            </w:pPr>
            <w:r>
              <w:rPr>
                <w:rFonts w:ascii="Arial" w:cs="Arial" w:eastAsia="Arial" w:hAnsi="Arial"/>
                <w:sz w:val="18"/>
                <w:szCs w:val="18"/>
                <w:color w:val="auto"/>
              </w:rPr>
              <w:t>Operating Loss</w:t>
            </w:r>
          </w:p>
        </w:tc>
        <w:tc>
          <w:tcPr>
            <w:tcW w:w="58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(12,788)</w:t>
            </w:r>
          </w:p>
        </w:tc>
        <w:tc>
          <w:tcPr>
            <w:tcW w:w="6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5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(5,206)</w:t>
            </w:r>
          </w:p>
        </w:tc>
        <w:tc>
          <w:tcPr>
            <w:tcW w:w="68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560" w:type="dxa"/>
            <w:vAlign w:val="bottom"/>
          </w:tcPr>
          <w:p>
            <w:pPr>
              <w:spacing w:after="0"/>
              <w:rPr>
                <w:sz w:val="24"/>
                <w:szCs w:val="24"/>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(19,233)</w:t>
            </w:r>
          </w:p>
        </w:tc>
      </w:tr>
      <w:tr>
        <w:trPr>
          <w:trHeight w:val="433"/>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08"/>
        </w:trPr>
        <w:tc>
          <w:tcPr>
            <w:tcW w:w="2420" w:type="dxa"/>
            <w:vAlign w:val="bottom"/>
          </w:tcPr>
          <w:p>
            <w:pPr>
              <w:ind w:left="240"/>
              <w:spacing w:after="0"/>
              <w:rPr>
                <w:sz w:val="20"/>
                <w:szCs w:val="20"/>
                <w:color w:val="auto"/>
              </w:rPr>
            </w:pPr>
            <w:r>
              <w:rPr>
                <w:rFonts w:ascii="Arial" w:cs="Arial" w:eastAsia="Arial" w:hAnsi="Arial"/>
                <w:sz w:val="18"/>
                <w:szCs w:val="18"/>
                <w:color w:val="auto"/>
              </w:rPr>
              <w:t>Interest Expense, Net of</w:t>
            </w: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420" w:type="dxa"/>
            <w:vAlign w:val="bottom"/>
          </w:tcPr>
          <w:p>
            <w:pPr>
              <w:ind w:left="240"/>
              <w:spacing w:after="0"/>
              <w:rPr>
                <w:sz w:val="20"/>
                <w:szCs w:val="20"/>
                <w:color w:val="auto"/>
              </w:rPr>
            </w:pPr>
            <w:r>
              <w:rPr>
                <w:rFonts w:ascii="Arial" w:cs="Arial" w:eastAsia="Arial" w:hAnsi="Arial"/>
                <w:sz w:val="18"/>
                <w:szCs w:val="18"/>
                <w:color w:val="auto"/>
              </w:rPr>
              <w:t>Amounts Capitalized</w:t>
            </w:r>
          </w:p>
        </w:tc>
        <w:tc>
          <w:tcPr>
            <w:tcW w:w="5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44"/>
        </w:trPr>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5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r>
      <w:tr>
        <w:trPr>
          <w:trHeight w:val="118"/>
        </w:trPr>
        <w:tc>
          <w:tcPr>
            <w:tcW w:w="24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2420" w:type="dxa"/>
            <w:vAlign w:val="bottom"/>
          </w:tcPr>
          <w:p>
            <w:pPr>
              <w:ind w:left="460"/>
              <w:spacing w:after="0"/>
              <w:rPr>
                <w:sz w:val="20"/>
                <w:szCs w:val="20"/>
                <w:color w:val="auto"/>
              </w:rPr>
            </w:pPr>
            <w:r>
              <w:rPr>
                <w:rFonts w:ascii="Arial" w:cs="Arial" w:eastAsia="Arial" w:hAnsi="Arial"/>
                <w:sz w:val="18"/>
                <w:szCs w:val="18"/>
                <w:color w:val="auto"/>
              </w:rPr>
              <w:t>Other Income, Net</w:t>
            </w: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r>
      <w:tr>
        <w:trPr>
          <w:trHeight w:val="120"/>
        </w:trPr>
        <w:tc>
          <w:tcPr>
            <w:tcW w:w="24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424"/>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 Accumulated</w:t>
            </w:r>
          </w:p>
        </w:tc>
        <w:tc>
          <w:tcPr>
            <w:tcW w:w="5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16"/>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During the Development</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Stage</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(10,454)</w:t>
            </w:r>
          </w:p>
        </w:tc>
        <w:tc>
          <w:tcPr>
            <w:tcW w:w="62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(5,206)</w:t>
            </w:r>
          </w:p>
        </w:tc>
        <w:tc>
          <w:tcPr>
            <w:tcW w:w="68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(16,899)</w:t>
            </w:r>
          </w:p>
        </w:tc>
      </w:tr>
      <w:tr>
        <w:trPr>
          <w:trHeight w:val="105"/>
        </w:trPr>
        <w:tc>
          <w:tcPr>
            <w:tcW w:w="2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4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535"/>
        </w:trPr>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gridSpan w:val="3"/>
          </w:tcPr>
          <w:p>
            <w:pPr>
              <w:jc w:val="right"/>
              <w:ind w:right="303"/>
              <w:spacing w:after="0"/>
              <w:rPr>
                <w:sz w:val="20"/>
                <w:szCs w:val="20"/>
                <w:color w:val="auto"/>
              </w:rPr>
            </w:pPr>
            <w:r>
              <w:rPr>
                <w:rFonts w:ascii="Arial" w:cs="Arial" w:eastAsia="Arial" w:hAnsi="Arial"/>
                <w:sz w:val="18"/>
                <w:szCs w:val="18"/>
                <w:color w:val="auto"/>
              </w:rPr>
              <w:t>F-26</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-2981325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-2981325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-2981325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-2981325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-2981325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-2981325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-2981325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-2981325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-2981325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-2981325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-2981325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-2981325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-2672715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-2672715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-2672715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-2672715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-2672715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-2672715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-2672715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-2672715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-2672715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-2672715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-2672715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-2672715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-1540510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-1540510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-1540510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-1540510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-1540510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-1540510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-1540510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-1540510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-1540510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-1540510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-1540510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-1540510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-1231900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-1231900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-1231900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-1231900</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-1231900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-1231900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-1231900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-1231900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-1231900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-1231900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-1231900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Pre-Opening Costs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 (Gain) from Incidental</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9,979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(9,979)</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CEEFF"/>
          </w:tcPr>
          <w:p>
            <w:pPr>
              <w:spacing w:after="0"/>
              <w:rPr>
                <w:sz w:val="24"/>
                <w:szCs w:val="24"/>
                <w:color w:val="auto"/>
              </w:rPr>
            </w:pPr>
          </w:p>
        </w:tc>
        <w:tc>
          <w:tcPr>
            <w:tcW w:w="1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0" w:type="dxa"/>
            <w:vAlign w:val="bottom"/>
          </w:tcPr>
          <w:p>
            <w:pPr>
              <w:spacing w:after="0"/>
              <w:rPr>
                <w:sz w:val="1"/>
                <w:szCs w:val="1"/>
                <w:color w:val="auto"/>
              </w:rPr>
            </w:pPr>
          </w:p>
        </w:tc>
      </w:tr>
      <w:tr>
        <w:trPr>
          <w:trHeight w:val="431"/>
        </w:trPr>
        <w:tc>
          <w:tcPr>
            <w:tcW w:w="334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 of Amounts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(8,562)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F-27</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-4027805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-4027805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-4027805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-4027805</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-4027805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-4027805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-4027805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-4027805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-4027805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-4027805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-2707005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-2707005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-2707005</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-2707005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-2707005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-2707005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-2707005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-2707005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-2707005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-2707005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-2398395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-2398395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-2398395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-2398395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-2398395</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-2398395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-2398395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-2398395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-2398395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-2398395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-1266190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-1266190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-1266190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-1266190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-1266190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-1266190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-1266190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-1266190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-1266190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-1266190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-957580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-957580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-957580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-957580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-957580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-957580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-957580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-957580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VALVINO LAMORE, LLC AND SUBSIDIARIES</w:t>
      </w:r>
    </w:p>
    <w:p>
      <w:pPr>
        <w:sectPr>
          <w:pgSz w:w="11900" w:h="16838" w:orient="portrait"/>
          <w:cols w:equalWidth="0" w:num="1">
            <w:col w:w="11420"/>
          </w:cols>
          <w:pgMar w:left="240" w:top="140" w:right="239" w:bottom="1" w:gutter="0" w:footer="0" w:header="0"/>
          <w:type w:val="continuous"/>
        </w:sectPr>
      </w:pPr>
    </w:p>
    <w:bookmarkStart w:id="113" w:name="page114"/>
    <w:bookmarkEnd w:id="113"/>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Wynn Las Vegas,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Valvino</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LLC and Wynn Las</w:t>
            </w:r>
          </w:p>
        </w:tc>
        <w:tc>
          <w:tcPr>
            <w:tcW w:w="2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Vegas Capital Corp.</w:t>
            </w:r>
          </w:p>
        </w:tc>
        <w:tc>
          <w:tcPr>
            <w:tcW w:w="22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Airplane Lease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Retail</w:t>
            </w: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Loss / Gain on Affiliate</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Transactions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(1,020)</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 (Gain) on Sale of</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Selling, General &amp;</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Administrative</w:t>
            </w:r>
          </w:p>
        </w:tc>
        <w:tc>
          <w:tcPr>
            <w:tcW w:w="2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95"/>
              </w:rPr>
              <w:t>Loss / (Gain) from Incidental</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(29,535)</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(1,388)</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(8,940)</w:t>
            </w:r>
          </w:p>
        </w:tc>
        <w:tc>
          <w:tcPr>
            <w:tcW w:w="2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(5,586)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26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Equity in Loss from Macau</w:t>
            </w:r>
          </w:p>
        </w:tc>
        <w:tc>
          <w:tcPr>
            <w:tcW w:w="26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2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During the Development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(9,054)</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(40,747)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right"/>
              <w:ind w:right="1080"/>
              <w:spacing w:after="0"/>
              <w:rPr>
                <w:sz w:val="20"/>
                <w:szCs w:val="20"/>
                <w:color w:val="auto"/>
              </w:rPr>
            </w:pPr>
            <w:r>
              <w:rPr>
                <w:rFonts w:ascii="Arial" w:cs="Arial" w:eastAsia="Arial" w:hAnsi="Arial"/>
                <w:sz w:val="18"/>
                <w:szCs w:val="18"/>
                <w:color w:val="auto"/>
                <w:w w:val="97"/>
              </w:rPr>
              <w:t>F-28</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-6068695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-6068695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-6068695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-6068695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-6068695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-6068695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-6068695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-6068695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-6068695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-6068695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-6068695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-6068695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-5160010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-5160010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-5160010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-5160010</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-5160010</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-5160010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-5160010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-5160010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-5160010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-5160010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-5160010</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-5160010</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-2724150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-2724150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-2724150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-2724150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-2724150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-2724150</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-2724150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-2724150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-2724150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-2724150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-2724150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-2724150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-1557655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-1557655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-1557655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-1557655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-1557655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-1557655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-1557655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-1557655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-1557655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-1557655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-1557655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-1094740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-1094740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-1094740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-1094740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-1094740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-1094740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-1094740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-1094740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-1094740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-1094740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-1094740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Wynn Las Vegas,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20" w:type="dxa"/>
            <w:vAlign w:val="bottom"/>
          </w:tcPr>
          <w:p>
            <w:pPr>
              <w:jc w:val="center"/>
              <w:ind w:left="318"/>
              <w:spacing w:after="0" w:line="149" w:lineRule="exact"/>
              <w:rPr>
                <w:sz w:val="20"/>
                <w:szCs w:val="20"/>
                <w:color w:val="auto"/>
              </w:rPr>
            </w:pPr>
            <w:r>
              <w:rPr>
                <w:rFonts w:ascii="Arial" w:cs="Arial" w:eastAsia="Arial" w:hAnsi="Arial"/>
                <w:sz w:val="14"/>
                <w:szCs w:val="14"/>
                <w:b w:val="1"/>
                <w:bCs w:val="1"/>
                <w:color w:val="auto"/>
                <w:w w:val="88"/>
              </w:rPr>
              <w:t>Valvino</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Eliminating</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20" w:type="dxa"/>
            <w:vAlign w:val="bottom"/>
          </w:tcPr>
          <w:p>
            <w:pPr>
              <w:jc w:val="center"/>
              <w:ind w:left="318"/>
              <w:spacing w:after="0"/>
              <w:rPr>
                <w:sz w:val="20"/>
                <w:szCs w:val="20"/>
                <w:color w:val="auto"/>
              </w:rPr>
            </w:pPr>
            <w:r>
              <w:rPr>
                <w:rFonts w:ascii="Arial" w:cs="Arial" w:eastAsia="Arial" w:hAnsi="Arial"/>
                <w:sz w:val="14"/>
                <w:szCs w:val="14"/>
                <w:b w:val="1"/>
                <w:bCs w:val="1"/>
                <w:color w:val="auto"/>
                <w:w w:val="93"/>
              </w:rPr>
              <w:t>Lamore, LLC</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Vegas Capital Corp.</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Entries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Cash Flows From Operating Activities</w:t>
            </w:r>
          </w:p>
        </w:tc>
        <w:tc>
          <w:tcPr>
            <w:tcW w:w="1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1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40" w:type="dxa"/>
            <w:vAlign w:val="bottom"/>
            <w:gridSpan w:val="2"/>
          </w:tcPr>
          <w:p>
            <w:pPr>
              <w:spacing w:after="0" w:line="159" w:lineRule="exact"/>
              <w:rPr>
                <w:sz w:val="20"/>
                <w:szCs w:val="20"/>
                <w:color w:val="auto"/>
              </w:rPr>
            </w:pPr>
            <w:r>
              <w:rPr>
                <w:rFonts w:ascii="Arial" w:cs="Arial" w:eastAsia="Arial" w:hAnsi="Arial"/>
                <w:sz w:val="14"/>
                <w:szCs w:val="14"/>
                <w:color w:val="auto"/>
              </w:rPr>
              <w:t>Development Stage</w:t>
            </w:r>
          </w:p>
        </w:tc>
        <w:tc>
          <w:tcPr>
            <w:tcW w:w="1220" w:type="dxa"/>
            <w:vAlign w:val="bottom"/>
          </w:tcPr>
          <w:p>
            <w:pPr>
              <w:jc w:val="right"/>
              <w:ind w:right="1098"/>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0"/>
              </w:rPr>
              <w:t>(8,539)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(703)</w:t>
            </w:r>
          </w:p>
        </w:tc>
        <w:tc>
          <w:tcPr>
            <w:tcW w:w="2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(3,312)</w:t>
            </w:r>
          </w:p>
        </w:tc>
        <w:tc>
          <w:tcPr>
            <w:tcW w:w="26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(4,954)</w:t>
            </w:r>
          </w:p>
        </w:tc>
        <w:tc>
          <w:tcPr>
            <w:tcW w:w="180" w:type="dxa"/>
            <w:vAlign w:val="bottom"/>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2,815</w:t>
            </w:r>
          </w:p>
        </w:tc>
        <w:tc>
          <w:tcPr>
            <w:tcW w:w="80" w:type="dxa"/>
            <w:vAlign w:val="bottom"/>
          </w:tcPr>
          <w:p>
            <w:pPr>
              <w:spacing w:after="0"/>
              <w:rPr>
                <w:sz w:val="13"/>
                <w:szCs w:val="13"/>
                <w:color w:val="auto"/>
              </w:rPr>
            </w:pPr>
          </w:p>
        </w:tc>
        <w:tc>
          <w:tcPr>
            <w:tcW w:w="2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(14,693)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w:t>
            </w:r>
          </w:p>
        </w:tc>
        <w:tc>
          <w:tcPr>
            <w:tcW w:w="1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During the Development</w:t>
            </w:r>
          </w:p>
        </w:tc>
        <w:tc>
          <w:tcPr>
            <w:tcW w:w="1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Stage to Net Cash Provided by/(Used in)</w:t>
            </w:r>
          </w:p>
        </w:tc>
        <w:tc>
          <w:tcPr>
            <w:tcW w:w="1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Operating Activities:</w:t>
            </w:r>
          </w:p>
        </w:tc>
        <w:tc>
          <w:tcPr>
            <w:tcW w:w="1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3,262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258</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3,966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520" w:type="dxa"/>
            <w:vAlign w:val="bottom"/>
            <w:shd w:val="clear" w:color="auto" w:fill="CCEEFF"/>
          </w:tcPr>
          <w:p>
            <w:pPr>
              <w:ind w:left="220"/>
              <w:spacing w:after="0" w:line="151" w:lineRule="exact"/>
              <w:rPr>
                <w:sz w:val="20"/>
                <w:szCs w:val="20"/>
                <w:color w:val="auto"/>
              </w:rPr>
            </w:pPr>
            <w:r>
              <w:rPr>
                <w:rFonts w:ascii="Arial" w:cs="Arial" w:eastAsia="Arial" w:hAnsi="Arial"/>
                <w:sz w:val="14"/>
                <w:szCs w:val="14"/>
                <w:color w:val="auto"/>
              </w:rPr>
              <w:t>Equity in Loss form Macau</w:t>
            </w:r>
          </w:p>
        </w:tc>
        <w:tc>
          <w:tcPr>
            <w:tcW w:w="12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line="151"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
              <w:spacing w:after="0" w:line="151" w:lineRule="exact"/>
              <w:rPr>
                <w:sz w:val="20"/>
                <w:szCs w:val="20"/>
                <w:color w:val="auto"/>
              </w:rPr>
            </w:pPr>
            <w:r>
              <w:rPr>
                <w:rFonts w:ascii="Arial" w:cs="Arial" w:eastAsia="Arial" w:hAnsi="Arial"/>
                <w:sz w:val="14"/>
                <w:szCs w:val="14"/>
                <w:color w:val="auto"/>
              </w:rPr>
              <w:t>(2,534)</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-991870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-991870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-991870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-991870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-991870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-991870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-991870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-991870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-991870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-991870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-991870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-991870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114" w:name="page115"/>
    <w:bookmarkEnd w:id="11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w w:val="97"/>
              </w:rPr>
              <w:t>Loss / (Gain) on Affiliate Transactions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1,535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1,577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(2,092)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4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1,971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w w:val="92"/>
              </w:rPr>
              <w:t>Increase (Decrease) in Cash from Changes</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in:</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(1,788)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Accounts Payable and Accrued</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Expenses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2,650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(32)</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1,081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2,619</w:t>
            </w: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6,318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w w:val="93"/>
              </w:rPr>
              <w:t>Net Cash Provided by / (Used in) Operating</w:t>
            </w: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5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560" w:type="dxa"/>
            <w:vAlign w:val="bottom"/>
            <w:gridSpan w:val="2"/>
          </w:tcPr>
          <w:p>
            <w:pPr>
              <w:spacing w:after="0"/>
              <w:rPr>
                <w:sz w:val="20"/>
                <w:szCs w:val="20"/>
                <w:color w:val="auto"/>
              </w:rPr>
            </w:pPr>
            <w:r>
              <w:rPr>
                <w:rFonts w:ascii="Arial" w:cs="Arial" w:eastAsia="Arial" w:hAnsi="Arial"/>
                <w:sz w:val="14"/>
                <w:szCs w:val="14"/>
                <w:color w:val="auto"/>
              </w:rPr>
              <w:t>Activities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3,596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(2,522)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(3,243)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(2,093)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(4,507)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(19,222)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(19,306)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Acquisition of Airplane</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(9,591)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(27,518)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(589)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(562)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23,805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(4,714)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Intercompany Balances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(27,051)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(7,684)</w:t>
            </w:r>
          </w:p>
        </w:tc>
        <w:tc>
          <w:tcPr>
            <w:tcW w:w="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Proceeds from Sale of Equipment</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8,000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8,008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Provided by / (Used in)</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Investing Activities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(54,561)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2,571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2,273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382</w:t>
            </w: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25,897</w:t>
            </w: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(23,438)</w:t>
            </w: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Cash Flows From Financing Activities</w:t>
            </w: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56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Contributions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173,494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23,804</w:t>
            </w:r>
          </w:p>
        </w:tc>
        <w:tc>
          <w:tcPr>
            <w:tcW w:w="4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(23,804)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Macau</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3,056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4"/>
              </w:rPr>
              <w:t>Principal Payments of Long-Term Debt</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vMerge w:val="restart"/>
          </w:tcPr>
          <w:p>
            <w:pPr>
              <w:ind w:left="440"/>
              <w:spacing w:after="0"/>
              <w:rPr>
                <w:sz w:val="20"/>
                <w:szCs w:val="20"/>
                <w:color w:val="auto"/>
              </w:rPr>
            </w:pPr>
            <w:r>
              <w:rPr>
                <w:rFonts w:ascii="Arial" w:cs="Arial" w:eastAsia="Arial" w:hAnsi="Arial"/>
                <w:sz w:val="14"/>
                <w:szCs w:val="14"/>
                <w:color w:val="auto"/>
              </w:rPr>
              <w:t>Net Cash Provided by Financing</w:t>
            </w: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440"/>
              <w:spacing w:after="0"/>
              <w:rPr>
                <w:sz w:val="20"/>
                <w:szCs w:val="20"/>
                <w:color w:val="auto"/>
              </w:rPr>
            </w:pPr>
            <w:r>
              <w:rPr>
                <w:rFonts w:ascii="Arial" w:cs="Arial" w:eastAsia="Arial" w:hAnsi="Arial"/>
                <w:sz w:val="14"/>
                <w:szCs w:val="14"/>
                <w:color w:val="auto"/>
              </w:rPr>
              <w:t>Activities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173,478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26,860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(23,804)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176,534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4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Increase/(Decrease) in Cash and Cash</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Equivalents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122,513</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(970)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26,997</w:t>
            </w: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148,589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39,590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(49)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(270)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39,271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End of Period</w:t>
            </w:r>
          </w:p>
        </w:tc>
        <w:tc>
          <w:tcPr>
            <w:tcW w:w="320" w:type="dxa"/>
            <w:vAlign w:val="bottom"/>
            <w:shd w:val="clear" w:color="auto" w:fill="CCEEFF"/>
          </w:tcPr>
          <w:p>
            <w:pPr>
              <w:jc w:val="right"/>
              <w:ind w:right="242"/>
              <w:spacing w:after="0"/>
              <w:rPr>
                <w:sz w:val="20"/>
                <w:szCs w:val="20"/>
                <w:color w:val="auto"/>
              </w:rPr>
            </w:pPr>
            <w:r>
              <w:rPr>
                <w:rFonts w:ascii="Arial" w:cs="Arial" w:eastAsia="Arial" w:hAnsi="Arial"/>
                <w:sz w:val="5"/>
                <w:szCs w:val="5"/>
                <w:color w:val="auto"/>
                <w:w w:val="70"/>
              </w:rPr>
              <w:t>$</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162,103</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5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560" w:type="dxa"/>
            <w:vAlign w:val="bottom"/>
            <w:tcBorders>
              <w:right w:val="single" w:sz="8" w:color="808080"/>
            </w:tcBorders>
            <w:gridSpan w:val="2"/>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560" w:type="dxa"/>
            <w:vAlign w:val="bottom"/>
            <w:gridSpan w:val="2"/>
          </w:tcPr>
          <w:p>
            <w:pPr>
              <w:spacing w:after="0"/>
              <w:rPr>
                <w:sz w:val="20"/>
                <w:szCs w:val="20"/>
                <w:color w:val="auto"/>
              </w:rPr>
            </w:pPr>
            <w:r>
              <w:rPr>
                <w:rFonts w:ascii="Arial" w:cs="Arial" w:eastAsia="Arial" w:hAnsi="Arial"/>
                <w:sz w:val="14"/>
                <w:szCs w:val="14"/>
                <w:color w:val="auto"/>
              </w:rPr>
              <w:t>Supplemental Cash Flow Disclosure:</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7"/>
              </w:rPr>
              <w:t>Interest Paid, Net of Amounts Capitalized</w:t>
            </w:r>
          </w:p>
        </w:tc>
        <w:tc>
          <w:tcPr>
            <w:tcW w:w="320" w:type="dxa"/>
            <w:vAlign w:val="bottom"/>
            <w:shd w:val="clear" w:color="auto" w:fill="CCEEFF"/>
          </w:tcPr>
          <w:p>
            <w:pPr>
              <w:jc w:val="right"/>
              <w:ind w:right="242"/>
              <w:spacing w:after="0"/>
              <w:rPr>
                <w:sz w:val="20"/>
                <w:szCs w:val="20"/>
                <w:color w:val="auto"/>
              </w:rPr>
            </w:pPr>
            <w:r>
              <w:rPr>
                <w:rFonts w:ascii="Arial" w:cs="Arial" w:eastAsia="Arial" w:hAnsi="Arial"/>
                <w:sz w:val="5"/>
                <w:szCs w:val="5"/>
                <w:color w:val="auto"/>
                <w:w w:val="70"/>
              </w:rPr>
              <w:t>$</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8"/>
                <w:szCs w:val="18"/>
                <w:color w:val="auto"/>
                <w:w w:val="91"/>
              </w:rPr>
              <w:t>F-29</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gridSpan w:val="4"/>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1380" w:type="dxa"/>
            <w:vAlign w:val="bottom"/>
            <w:tcBorders>
              <w:bottom w:val="single" w:sz="8" w:color="808080"/>
            </w:tcBorders>
            <w:gridSpan w:val="3"/>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gridSpan w:val="4"/>
          </w:tcPr>
          <w:p>
            <w:pPr>
              <w:spacing w:after="0"/>
              <w:rPr>
                <w:sz w:val="19"/>
                <w:szCs w:val="19"/>
                <w:color w:val="auto"/>
              </w:rPr>
            </w:pPr>
          </w:p>
        </w:tc>
        <w:tc>
          <w:tcPr>
            <w:tcW w:w="100" w:type="dxa"/>
            <w:vAlign w:val="bottom"/>
            <w:tcBorders>
              <w:bottom w:val="single" w:sz="8" w:color="808080"/>
            </w:tcBorders>
            <w:gridSpan w:val="2"/>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60" w:type="dxa"/>
            <w:vAlign w:val="bottom"/>
            <w:gridSpan w:val="17"/>
          </w:tcPr>
          <w:p>
            <w:pPr>
              <w:jc w:val="center"/>
              <w:ind w:left="591"/>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60" w:type="dxa"/>
            <w:vAlign w:val="bottom"/>
            <w:gridSpan w:val="19"/>
          </w:tcPr>
          <w:p>
            <w:pPr>
              <w:jc w:val="center"/>
              <w:ind w:right="640"/>
              <w:spacing w:after="0"/>
              <w:rPr>
                <w:sz w:val="20"/>
                <w:szCs w:val="20"/>
                <w:color w:val="auto"/>
              </w:rPr>
            </w:pPr>
            <w:r>
              <w:rPr>
                <w:rFonts w:ascii="Arial" w:cs="Arial" w:eastAsia="Arial" w:hAnsi="Arial"/>
                <w:sz w:val="18"/>
                <w:szCs w:val="18"/>
                <w:b w:val="1"/>
                <w:bCs w:val="1"/>
                <w:color w:val="auto"/>
                <w:w w:val="97"/>
              </w:rPr>
              <w:t>CONSOLIDATING STATEMENTS OF CASH FLOWS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8"/>
          </w:tcPr>
          <w:p>
            <w:pPr>
              <w:jc w:val="center"/>
              <w:ind w:right="140"/>
              <w:spacing w:after="0"/>
              <w:rPr>
                <w:sz w:val="20"/>
                <w:szCs w:val="20"/>
                <w:color w:val="auto"/>
              </w:rPr>
            </w:pPr>
            <w:r>
              <w:rPr>
                <w:rFonts w:ascii="Arial" w:cs="Arial" w:eastAsia="Arial" w:hAnsi="Arial"/>
                <w:sz w:val="18"/>
                <w:szCs w:val="18"/>
                <w:b w:val="1"/>
                <w:bCs w:val="1"/>
                <w:color w:val="auto"/>
                <w:w w:val="88"/>
              </w:rPr>
              <w:t>Six Months Ended June 30, 2001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89"/>
              </w:rPr>
              <w:t>(Unaudited)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Valvino</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Wynn Las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Eliminating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Lamore, LLC</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Vegas, LLC</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Guarantors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Non-Guarantors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Entries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Cash Flows From Operating Activities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3"/>
          </w:tcPr>
          <w:p>
            <w:pPr>
              <w:spacing w:after="0" w:line="138" w:lineRule="exact"/>
              <w:rPr>
                <w:sz w:val="20"/>
                <w:szCs w:val="20"/>
                <w:color w:val="auto"/>
              </w:rPr>
            </w:pPr>
            <w:r>
              <w:rPr>
                <w:rFonts w:ascii="Arial" w:cs="Arial" w:eastAsia="Arial" w:hAnsi="Arial"/>
                <w:sz w:val="14"/>
                <w:szCs w:val="14"/>
                <w:color w:val="auto"/>
              </w:rPr>
              <w:t>Net Loss Accumulated During the Development</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6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5"/>
          </w:tcPr>
          <w:p>
            <w:pPr>
              <w:jc w:val="right"/>
              <w:ind w:right="40"/>
              <w:spacing w:after="0" w:line="159" w:lineRule="exact"/>
              <w:rPr>
                <w:sz w:val="20"/>
                <w:szCs w:val="20"/>
                <w:color w:val="auto"/>
              </w:rPr>
            </w:pPr>
            <w:r>
              <w:rPr>
                <w:rFonts w:ascii="Arial" w:cs="Arial" w:eastAsia="Arial" w:hAnsi="Arial"/>
                <w:sz w:val="14"/>
                <w:szCs w:val="14"/>
                <w:color w:val="auto"/>
              </w:rPr>
              <w:t>(5,712)</w:t>
            </w:r>
          </w:p>
        </w:tc>
        <w:tc>
          <w:tcPr>
            <w:tcW w:w="1080" w:type="dxa"/>
            <w:vAlign w:val="bottom"/>
            <w:gridSpan w:val="2"/>
          </w:tcPr>
          <w:p>
            <w:pPr>
              <w:jc w:val="right"/>
              <w:ind w:right="91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(38) $</w:t>
            </w:r>
          </w:p>
        </w:tc>
        <w:tc>
          <w:tcPr>
            <w:tcW w:w="106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(1,950)</w:t>
            </w:r>
          </w:p>
        </w:tc>
        <w:tc>
          <w:tcPr>
            <w:tcW w:w="3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460" w:type="dxa"/>
            <w:vAlign w:val="bottom"/>
            <w:gridSpan w:val="4"/>
          </w:tcPr>
          <w:p>
            <w:pPr>
              <w:jc w:val="right"/>
              <w:ind w:right="40"/>
              <w:spacing w:after="0" w:line="159" w:lineRule="exact"/>
              <w:rPr>
                <w:sz w:val="20"/>
                <w:szCs w:val="20"/>
                <w:color w:val="auto"/>
              </w:rPr>
            </w:pPr>
            <w:r>
              <w:rPr>
                <w:rFonts w:ascii="Arial" w:cs="Arial" w:eastAsia="Arial" w:hAnsi="Arial"/>
                <w:sz w:val="14"/>
                <w:szCs w:val="14"/>
                <w:color w:val="auto"/>
              </w:rPr>
              <w:t>(235)</w:t>
            </w:r>
          </w:p>
        </w:tc>
        <w:tc>
          <w:tcPr>
            <w:tcW w:w="2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4"/>
          </w:tcPr>
          <w:p>
            <w:pPr>
              <w:ind w:left="940"/>
              <w:spacing w:after="0" w:line="159" w:lineRule="exact"/>
              <w:rPr>
                <w:sz w:val="20"/>
                <w:szCs w:val="20"/>
                <w:color w:val="auto"/>
              </w:rPr>
            </w:pPr>
            <w:r>
              <w:rPr>
                <w:rFonts w:ascii="Arial" w:cs="Arial" w:eastAsia="Arial" w:hAnsi="Arial"/>
                <w:sz w:val="14"/>
                <w:szCs w:val="14"/>
                <w:color w:val="auto"/>
              </w:rPr>
              <w:t>—  $</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(7,935)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2"/>
              </w:rPr>
              <w:t>During the Development Stage to Net Cash</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w w:val="92"/>
              </w:rPr>
              <w:t>Provided by / (Used in) Operating Activities: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5"/>
          </w:tcPr>
          <w:p>
            <w:pPr>
              <w:jc w:val="right"/>
              <w:ind w:right="80"/>
              <w:spacing w:after="0"/>
              <w:rPr>
                <w:sz w:val="20"/>
                <w:szCs w:val="20"/>
                <w:color w:val="auto"/>
              </w:rPr>
            </w:pPr>
            <w:r>
              <w:rPr>
                <w:rFonts w:ascii="Arial" w:cs="Arial" w:eastAsia="Arial" w:hAnsi="Arial"/>
                <w:sz w:val="14"/>
                <w:szCs w:val="14"/>
                <w:color w:val="auto"/>
              </w:rPr>
              <w:t>3,610</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359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ind w:left="9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4,021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8"/>
              </w:rPr>
              <w:t>Gain / (Loss) on Sale of Fixed Assets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178</w:t>
            </w: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5"/>
          </w:tcPr>
          <w:p>
            <w:pPr>
              <w:jc w:val="right"/>
              <w:ind w:right="80"/>
              <w:spacing w:after="0"/>
              <w:rPr>
                <w:sz w:val="20"/>
                <w:szCs w:val="20"/>
                <w:color w:val="auto"/>
              </w:rPr>
            </w:pPr>
            <w:r>
              <w:rPr>
                <w:rFonts w:ascii="Arial" w:cs="Arial" w:eastAsia="Arial" w:hAnsi="Arial"/>
                <w:sz w:val="14"/>
                <w:szCs w:val="14"/>
                <w:color w:val="auto"/>
              </w:rPr>
              <w:t>3,210</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ind w:left="9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3,210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86"/>
              </w:rPr>
              <w:t>Increase (Decrease) in Cash from Changes in:</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5"/>
          </w:tcPr>
          <w:p>
            <w:pPr>
              <w:jc w:val="right"/>
              <w:ind w:right="80"/>
              <w:spacing w:after="0"/>
              <w:rPr>
                <w:sz w:val="20"/>
                <w:szCs w:val="20"/>
                <w:color w:val="auto"/>
              </w:rPr>
            </w:pPr>
            <w:r>
              <w:rPr>
                <w:rFonts w:ascii="Arial" w:cs="Arial" w:eastAsia="Arial" w:hAnsi="Arial"/>
                <w:sz w:val="14"/>
                <w:szCs w:val="14"/>
                <w:color w:val="auto"/>
              </w:rPr>
              <w:t>588</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ind w:left="9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107</w:t>
            </w: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4"/>
                <w:szCs w:val="14"/>
                <w:color w:val="auto"/>
                <w:w w:val="89"/>
              </w:rPr>
              <w:t>48</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ind w:left="9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87"/>
              </w:rPr>
              <w:t>Accounts Payable and Accrued Expenses</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(1,273)</w:t>
            </w:r>
          </w:p>
        </w:tc>
        <w:tc>
          <w:tcPr>
            <w:tcW w:w="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4"/>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560" w:type="dxa"/>
            <w:vAlign w:val="bottom"/>
            <w:gridSpan w:val="2"/>
            <w:vMerge w:val="restart"/>
          </w:tcPr>
          <w:p>
            <w:pPr>
              <w:spacing w:after="0"/>
              <w:rPr>
                <w:sz w:val="20"/>
                <w:szCs w:val="20"/>
                <w:color w:val="auto"/>
              </w:rPr>
            </w:pPr>
            <w:r>
              <w:rPr>
                <w:rFonts w:ascii="Arial" w:cs="Arial" w:eastAsia="Arial" w:hAnsi="Arial"/>
                <w:sz w:val="14"/>
                <w:szCs w:val="14"/>
                <w:color w:val="auto"/>
                <w:w w:val="93"/>
              </w:rPr>
              <w:t>Net Cash Provided by / (Used in) Operating</w:t>
            </w:r>
          </w:p>
        </w:tc>
        <w:tc>
          <w:tcPr>
            <w:tcW w:w="3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56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560" w:type="dxa"/>
            <w:vAlign w:val="bottom"/>
            <w:gridSpan w:val="2"/>
          </w:tcPr>
          <w:p>
            <w:pPr>
              <w:spacing w:after="0"/>
              <w:rPr>
                <w:sz w:val="20"/>
                <w:szCs w:val="20"/>
                <w:color w:val="auto"/>
              </w:rPr>
            </w:pPr>
            <w:r>
              <w:rPr>
                <w:rFonts w:ascii="Arial" w:cs="Arial" w:eastAsia="Arial" w:hAnsi="Arial"/>
                <w:sz w:val="14"/>
                <w:szCs w:val="14"/>
                <w:color w:val="auto"/>
              </w:rPr>
              <w:t>Activities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5"/>
          </w:tcPr>
          <w:p>
            <w:pPr>
              <w:jc w:val="right"/>
              <w:ind w:right="80"/>
              <w:spacing w:after="0"/>
              <w:rPr>
                <w:sz w:val="20"/>
                <w:szCs w:val="20"/>
                <w:color w:val="auto"/>
              </w:rPr>
            </w:pPr>
            <w:r>
              <w:rPr>
                <w:rFonts w:ascii="Arial" w:cs="Arial" w:eastAsia="Arial" w:hAnsi="Arial"/>
                <w:sz w:val="14"/>
                <w:szCs w:val="14"/>
                <w:color w:val="auto"/>
              </w:rPr>
              <w:t>756</w:t>
            </w: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14"/>
                <w:szCs w:val="1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4"/>
                <w:szCs w:val="14"/>
                <w:color w:val="auto"/>
              </w:rPr>
              <w:t>(281)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ind w:left="9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5"/>
          </w:tcPr>
          <w:p>
            <w:pPr>
              <w:jc w:val="right"/>
              <w:ind w:right="40"/>
              <w:spacing w:after="0"/>
              <w:rPr>
                <w:sz w:val="20"/>
                <w:szCs w:val="20"/>
                <w:color w:val="auto"/>
              </w:rPr>
            </w:pPr>
            <w:r>
              <w:rPr>
                <w:rFonts w:ascii="Arial" w:cs="Arial" w:eastAsia="Arial" w:hAnsi="Arial"/>
                <w:sz w:val="14"/>
                <w:szCs w:val="14"/>
                <w:color w:val="auto"/>
              </w:rPr>
              <w:t>(7,525)</w:t>
            </w: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060" w:type="dxa"/>
            <w:vAlign w:val="bottom"/>
            <w:gridSpan w:val="4"/>
          </w:tcPr>
          <w:p>
            <w:pPr>
              <w:jc w:val="right"/>
              <w:ind w:right="40"/>
              <w:spacing w:after="0"/>
              <w:rPr>
                <w:sz w:val="20"/>
                <w:szCs w:val="20"/>
                <w:color w:val="auto"/>
              </w:rPr>
            </w:pPr>
            <w:r>
              <w:rPr>
                <w:rFonts w:ascii="Arial" w:cs="Arial" w:eastAsia="Arial" w:hAnsi="Arial"/>
                <w:sz w:val="14"/>
                <w:szCs w:val="14"/>
                <w:color w:val="auto"/>
              </w:rPr>
              <w:t>(7,434)</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4"/>
          </w:tcPr>
          <w:p>
            <w:pPr>
              <w:jc w:val="right"/>
              <w:ind w:right="4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4"/>
          </w:tcPr>
          <w:p>
            <w:pPr>
              <w:ind w:left="9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(14,961)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-8675370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-8675370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-8675370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-8675370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-8675370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-8675370</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-8675370</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-8675370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-8675370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-8675370</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-8675370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-8675370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-8332470</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-8332470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-8332470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-8332470</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-8332470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-8332470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-8332470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-8332470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-8332470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-8332470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-8332470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-8332470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-7312025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-7312025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-7312025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-7312025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-7312025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-7312025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-7312025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-7312025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-7312025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-7312025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-7312025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-7312025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-6969125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-6969125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-6969125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-6969125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-6969125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-6969125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-6969125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-6969125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-6969125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-6969125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-6969125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-6969125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-6257290</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-6257290</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-6257290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-6257290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-6257290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-6257290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-6257290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-6257290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-6257290</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-6257290</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-6257290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-6257290</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-5913755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-5913755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-5913755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-5913755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-5913755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-5913755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-5913755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-5913755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-5913755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-5913755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-5913755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-5913755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-5476875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-5476875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-5476875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-5476875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-5476875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-5476875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-5476875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-5476875</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-5476875</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-5476875</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-5476875</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-5476875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-4525010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-4525010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-2646680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-2646680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-2646680</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-2646680</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-2646680</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-2646680</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-2646680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-2646680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-2646680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-2646680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-2646680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-2646680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-751205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-751205</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-751205</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-751205</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-751205</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-751205</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-751205</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-751205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-751205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-751205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-751205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-751205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-408305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-408305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-408305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-408305</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-408305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-408305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-408305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-408305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-408305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-408305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-408305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-408305</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465" w:right="239" w:bottom="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Acquisition of Airplane</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(9,489)</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(9,489)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1,187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6"/>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auto"/>
              </w:rPr>
              <w:t>(7,573)</w:t>
            </w:r>
          </w:p>
        </w:tc>
        <w:tc>
          <w:tcPr>
            <w:tcW w:w="28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(7,386)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Intercompany Balances</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(19,489)</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15,025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9,340</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Proceeds from Sale of Equipment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343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4"/>
              </w:rPr>
              <w:t>Net Cash Provided by / (Used in) Investing</w:t>
            </w: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(25,484)</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tcBorders>
              <w:right w:val="single" w:sz="8" w:color="CCEEFF"/>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(25,573)</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76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Contributions</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Pr>
          <w:p>
            <w:pPr>
              <w:ind w:left="220"/>
              <w:spacing w:after="0"/>
              <w:rPr>
                <w:sz w:val="20"/>
                <w:szCs w:val="20"/>
                <w:color w:val="auto"/>
              </w:rPr>
            </w:pPr>
            <w:r>
              <w:rPr>
                <w:rFonts w:ascii="Arial" w:cs="Arial" w:eastAsia="Arial" w:hAnsi="Arial"/>
                <w:sz w:val="14"/>
                <w:szCs w:val="14"/>
                <w:color w:val="auto"/>
              </w:rPr>
              <w:t>Principal Payments of Long-Term Debt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Cash Used in Financing Activities</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19,985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19,985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760" w:type="dxa"/>
            <w:vAlign w:val="bottom"/>
            <w:gridSpan w:val="2"/>
          </w:tcPr>
          <w:p>
            <w:pPr>
              <w:spacing w:after="0"/>
              <w:rPr>
                <w:sz w:val="20"/>
                <w:szCs w:val="20"/>
                <w:color w:val="auto"/>
              </w:rPr>
            </w:pPr>
            <w:r>
              <w:rPr>
                <w:rFonts w:ascii="Arial" w:cs="Arial" w:eastAsia="Arial" w:hAnsi="Arial"/>
                <w:sz w:val="14"/>
                <w:szCs w:val="14"/>
                <w:color w:val="auto"/>
                <w:w w:val="86"/>
              </w:rPr>
              <w:t>Increase/(Decrease) in Cash and Cash Equivalents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4"/>
          </w:tcPr>
          <w:p>
            <w:pPr>
              <w:jc w:val="right"/>
              <w:ind w:right="80"/>
              <w:spacing w:after="0"/>
              <w:rPr>
                <w:sz w:val="20"/>
                <w:szCs w:val="20"/>
                <w:color w:val="auto"/>
              </w:rPr>
            </w:pPr>
            <w:r>
              <w:rPr>
                <w:rFonts w:ascii="Arial" w:cs="Arial" w:eastAsia="Arial" w:hAnsi="Arial"/>
                <w:sz w:val="14"/>
                <w:szCs w:val="14"/>
                <w:color w:val="auto"/>
              </w:rPr>
              <w:t>(4,743)</w:t>
            </w:r>
          </w:p>
        </w:tc>
        <w:tc>
          <w:tcPr>
            <w:tcW w:w="16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auto"/>
              </w:rPr>
              <w:t>(245)</w:t>
            </w:r>
          </w:p>
        </w:tc>
        <w:tc>
          <w:tcPr>
            <w:tcW w:w="28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64,474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28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64,469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7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59,731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jc w:val="right"/>
              <w:ind w:right="37"/>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auto"/>
              </w:rPr>
              <w:t>(270)</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3"/>
                <w:szCs w:val="2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59,460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2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ind w:right="37"/>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F-30</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gridSpan w:val="2"/>
          </w:tcPr>
          <w:p>
            <w:pPr>
              <w:spacing w:after="0"/>
              <w:rPr>
                <w:sz w:val="19"/>
                <w:szCs w:val="19"/>
                <w:color w:val="auto"/>
              </w:rPr>
            </w:pPr>
          </w:p>
        </w:tc>
        <w:tc>
          <w:tcPr>
            <w:tcW w:w="1360" w:type="dxa"/>
            <w:vAlign w:val="bottom"/>
            <w:tcBorders>
              <w:bottom w:val="single" w:sz="8" w:color="808080"/>
            </w:tcBorders>
            <w:gridSpan w:val="3"/>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gridSpan w:val="3"/>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340" w:type="dxa"/>
            <w:vAlign w:val="bottom"/>
            <w:tcBorders>
              <w:bottom w:val="single" w:sz="8" w:color="808080"/>
            </w:tcBorders>
            <w:gridSpan w:val="2"/>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gridSpan w:val="14"/>
          </w:tcPr>
          <w:p>
            <w:pPr>
              <w:jc w:val="center"/>
              <w:ind w:left="681"/>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40" w:type="dxa"/>
            <w:vAlign w:val="bottom"/>
            <w:gridSpan w:val="16"/>
          </w:tcPr>
          <w:p>
            <w:pPr>
              <w:jc w:val="center"/>
              <w:ind w:right="700"/>
              <w:spacing w:after="0"/>
              <w:rPr>
                <w:sz w:val="20"/>
                <w:szCs w:val="20"/>
                <w:color w:val="auto"/>
              </w:rPr>
            </w:pPr>
            <w:r>
              <w:rPr>
                <w:rFonts w:ascii="Arial" w:cs="Arial" w:eastAsia="Arial" w:hAnsi="Arial"/>
                <w:sz w:val="18"/>
                <w:szCs w:val="18"/>
                <w:b w:val="1"/>
                <w:bCs w:val="1"/>
                <w:color w:val="auto"/>
                <w:w w:val="97"/>
              </w:rPr>
              <w:t>CONSOLIDATING STATEMENTS OF CASH FLOWS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9"/>
          </w:tcPr>
          <w:p>
            <w:pPr>
              <w:jc w:val="center"/>
              <w:ind w:right="420"/>
              <w:spacing w:after="0"/>
              <w:rPr>
                <w:sz w:val="20"/>
                <w:szCs w:val="20"/>
                <w:color w:val="auto"/>
              </w:rPr>
            </w:pPr>
            <w:r>
              <w:rPr>
                <w:rFonts w:ascii="Arial" w:cs="Arial" w:eastAsia="Arial" w:hAnsi="Arial"/>
                <w:sz w:val="18"/>
                <w:szCs w:val="18"/>
                <w:b w:val="1"/>
                <w:bCs w:val="1"/>
                <w:color w:val="auto"/>
                <w:w w:val="87"/>
              </w:rPr>
              <w:t>Year Ended December 31, 2001</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8"/>
          </w:tcPr>
          <w:p>
            <w:pPr>
              <w:jc w:val="center"/>
              <w:ind w:right="58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Valvino</w:t>
            </w:r>
          </w:p>
        </w:tc>
        <w:tc>
          <w:tcPr>
            <w:tcW w:w="16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24"/>
                <w:szCs w:val="2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5"/>
              </w:rPr>
              <w:t>Eliminating</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Lamore, LLC</w:t>
            </w:r>
          </w:p>
        </w:tc>
        <w:tc>
          <w:tcPr>
            <w:tcW w:w="16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Vegas, LLC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5"/>
              </w:rPr>
              <w:t>Guarantors</w:t>
            </w:r>
          </w:p>
        </w:tc>
        <w:tc>
          <w:tcPr>
            <w:tcW w:w="28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Non-Guarantors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12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(10,454) $</w:t>
            </w:r>
          </w:p>
        </w:tc>
        <w:tc>
          <w:tcPr>
            <w:tcW w:w="1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500" w:type="dxa"/>
            <w:vAlign w:val="bottom"/>
            <w:gridSpan w:val="5"/>
          </w:tcPr>
          <w:p>
            <w:pPr>
              <w:jc w:val="right"/>
              <w:ind w:right="192"/>
              <w:spacing w:after="0"/>
              <w:rPr>
                <w:sz w:val="20"/>
                <w:szCs w:val="20"/>
                <w:color w:val="auto"/>
              </w:rPr>
            </w:pPr>
            <w:r>
              <w:rPr>
                <w:rFonts w:ascii="Arial" w:cs="Arial" w:eastAsia="Arial" w:hAnsi="Arial"/>
                <w:sz w:val="18"/>
                <w:szCs w:val="18"/>
                <w:color w:val="auto"/>
              </w:rPr>
              <w:t>(5,206) $</w:t>
            </w:r>
          </w:p>
        </w:tc>
        <w:tc>
          <w:tcPr>
            <w:tcW w:w="1420" w:type="dxa"/>
            <w:vAlign w:val="bottom"/>
          </w:tcPr>
          <w:p>
            <w:pPr>
              <w:jc w:val="right"/>
              <w:spacing w:after="0"/>
              <w:rPr>
                <w:sz w:val="20"/>
                <w:szCs w:val="20"/>
                <w:color w:val="auto"/>
              </w:rPr>
            </w:pPr>
            <w:r>
              <w:rPr>
                <w:rFonts w:ascii="Arial" w:cs="Arial" w:eastAsia="Arial" w:hAnsi="Arial"/>
                <w:sz w:val="18"/>
                <w:szCs w:val="18"/>
                <w:color w:val="auto"/>
              </w:rPr>
              <w:t>557</w:t>
            </w:r>
          </w:p>
        </w:tc>
        <w:tc>
          <w:tcPr>
            <w:tcW w:w="40" w:type="dxa"/>
            <w:vAlign w:val="bottom"/>
          </w:tcPr>
          <w:p>
            <w:pPr>
              <w:spacing w:after="0"/>
              <w:rPr>
                <w:sz w:val="19"/>
                <w:szCs w:val="19"/>
                <w:color w:val="auto"/>
              </w:rPr>
            </w:pPr>
          </w:p>
        </w:tc>
        <w:tc>
          <w:tcPr>
            <w:tcW w:w="18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3,611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(19,387)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(9,489)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(37,266)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24,576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8,940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(44,994)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(40,979)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Equity Contributions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-9771380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-9771380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-9771380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-9771380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-9771380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-9771380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-9771380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-9771380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-9771380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-9771380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-9771380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-9771380</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-9428480</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-9428480</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-9428480</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-9428480</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-9428480</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-9428480</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-9428480</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-9428480</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-9428480</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-9428480</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-9428480</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-9428480</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-8870950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-8870950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-8870950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-8870950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-8870950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-8870950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-8870950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-8870950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-8870950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-8870950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-8870950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-8870950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-8562340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-8562340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-8562340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-8562340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-8562340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-8562340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-8562340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-8562340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-8562340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-8562340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-8562340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-8562340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-8219440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-8219440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-8219440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-8219440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-8219440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-8219440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-8219440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-8219440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-8219440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-8219440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-8219440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-8219440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-7267575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-7267575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-5621020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-5621020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-5621020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-5621020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-5621020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-5621020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-5621020</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-5621020</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-5621020</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-5621020</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-5621020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-5621020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-2602230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-2602230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-2602230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-2602230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-2602230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-2602230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-2602230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-2602230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-2602230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-2602230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-2602230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-2602230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-2173605</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-2173605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-2173605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-2173605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-2173605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-2173605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-2173605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-2173605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-2173605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-2173605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-2173605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-2173605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-1058545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-1058545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-1058545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-1058545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-1058545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-1058545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-1058545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-1058545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-1058545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-1058545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-1058545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-1058545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-629920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-629920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-629920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-629920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-629920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-629920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-629920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-629920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-629920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-629920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-629920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-629920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16" w:name="page117"/>
    <w:bookmarkEnd w:id="1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Principal Payments of Long-Term</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18"/>
                <w:szCs w:val="18"/>
                <w:color w:val="auto"/>
              </w:rPr>
            </w:pPr>
          </w:p>
        </w:tc>
        <w:tc>
          <w:tcPr>
            <w:tcW w:w="14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54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Debt</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Financing Activities</w:t>
            </w:r>
          </w:p>
        </w:tc>
        <w:tc>
          <w:tcPr>
            <w:tcW w:w="5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(24,884)</w:t>
            </w:r>
          </w:p>
        </w:tc>
        <w:tc>
          <w:tcPr>
            <w:tcW w:w="6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7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w w:val="99"/>
              </w:rPr>
              <w:t>(20)</w:t>
            </w:r>
          </w:p>
        </w:tc>
        <w:tc>
          <w:tcPr>
            <w:tcW w:w="500" w:type="dxa"/>
            <w:vAlign w:val="bottom"/>
          </w:tcPr>
          <w:p>
            <w:pPr>
              <w:spacing w:after="0"/>
              <w:rPr>
                <w:sz w:val="19"/>
                <w:szCs w:val="19"/>
                <w:color w:val="auto"/>
              </w:rPr>
            </w:pPr>
          </w:p>
        </w:tc>
        <w:tc>
          <w:tcPr>
            <w:tcW w:w="10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(25,198)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79"/>
              </w:rPr>
              <w:t>20</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4"/>
                <w:szCs w:val="24"/>
                <w:color w:val="auto"/>
              </w:rPr>
            </w:pP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780" w:type="dxa"/>
            <w:vAlign w:val="bottom"/>
          </w:tcPr>
          <w:p>
            <w:pPr>
              <w:jc w:val="right"/>
              <w:ind w:right="623"/>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ind w:left="740"/>
              <w:spacing w:after="0"/>
              <w:rPr>
                <w:sz w:val="20"/>
                <w:szCs w:val="20"/>
                <w:color w:val="auto"/>
              </w:rPr>
            </w:pPr>
            <w:r>
              <w:rPr>
                <w:rFonts w:ascii="Arial" w:cs="Arial" w:eastAsia="Arial" w:hAnsi="Arial"/>
                <w:sz w:val="18"/>
                <w:szCs w:val="18"/>
                <w:color w:val="auto"/>
              </w:rPr>
              <w:t>— $</w:t>
            </w:r>
          </w:p>
        </w:tc>
        <w:tc>
          <w:tcPr>
            <w:tcW w:w="100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39,271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w w:val="96"/>
              </w:rPr>
              <w:t>Interest Paid, Net of Amounts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rPr>
              <w:t>Capitalized</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600" w:type="dxa"/>
            <w:vAlign w:val="bottom"/>
          </w:tcPr>
          <w:p>
            <w:pPr>
              <w:jc w:val="right"/>
              <w:ind w:right="443"/>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23"/>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ind w:left="740"/>
              <w:spacing w:after="0"/>
              <w:rPr>
                <w:sz w:val="20"/>
                <w:szCs w:val="20"/>
                <w:color w:val="auto"/>
              </w:rPr>
            </w:pPr>
            <w:r>
              <w:rPr>
                <w:rFonts w:ascii="Arial" w:cs="Arial" w:eastAsia="Arial" w:hAnsi="Arial"/>
                <w:sz w:val="18"/>
                <w:szCs w:val="18"/>
                <w:color w:val="auto"/>
              </w:rPr>
              <w:t>— $</w:t>
            </w:r>
          </w:p>
        </w:tc>
        <w:tc>
          <w:tcPr>
            <w:tcW w:w="100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gridSpan w:val="3"/>
          </w:tcPr>
          <w:p>
            <w:pPr>
              <w:ind w:left="560"/>
              <w:spacing w:after="0"/>
              <w:rPr>
                <w:sz w:val="20"/>
                <w:szCs w:val="20"/>
                <w:color w:val="auto"/>
              </w:rPr>
            </w:pPr>
            <w:r>
              <w:rPr>
                <w:rFonts w:ascii="Arial" w:cs="Arial" w:eastAsia="Arial" w:hAnsi="Arial"/>
                <w:sz w:val="18"/>
                <w:szCs w:val="18"/>
                <w:color w:val="auto"/>
              </w:rPr>
              <w:t>F-31</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-2226945</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-2226945</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-2226945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-2226945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-2226945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-2226945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-2226945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-2226945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-2226945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-2226945</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-2226945</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-2226945</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-1798320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-1798320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-1798320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-1798320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-1798320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-1798320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-1798320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-1798320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-1798320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-1798320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-1798320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-1798320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-1231900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-1231900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-1231900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-1231900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-1231900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-1231900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-1231900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-1231900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-1231900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-1231900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-1231900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-1231900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Valvino</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4"/>
                <w:szCs w:val="14"/>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560" w:type="dxa"/>
            <w:vAlign w:val="bottom"/>
            <w:gridSpan w:val="3"/>
          </w:tcPr>
          <w:p>
            <w:pPr>
              <w:ind w:left="100"/>
              <w:spacing w:after="0"/>
              <w:rPr>
                <w:sz w:val="20"/>
                <w:szCs w:val="20"/>
                <w:color w:val="auto"/>
              </w:rPr>
            </w:pPr>
            <w:r>
              <w:rPr>
                <w:rFonts w:ascii="Arial" w:cs="Arial" w:eastAsia="Arial" w:hAnsi="Arial"/>
                <w:sz w:val="14"/>
                <w:szCs w:val="14"/>
                <w:b w:val="1"/>
                <w:bCs w:val="1"/>
                <w:color w:val="auto"/>
              </w:rPr>
              <w:t>Eliminating</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560" w:type="dxa"/>
            <w:vAlign w:val="bottom"/>
            <w:gridSpan w:val="3"/>
          </w:tcPr>
          <w:p>
            <w:pPr>
              <w:ind w:left="220"/>
              <w:spacing w:after="0"/>
              <w:rPr>
                <w:sz w:val="20"/>
                <w:szCs w:val="20"/>
                <w:color w:val="auto"/>
              </w:rPr>
            </w:pPr>
            <w:r>
              <w:rPr>
                <w:rFonts w:ascii="Arial" w:cs="Arial" w:eastAsia="Arial" w:hAnsi="Arial"/>
                <w:sz w:val="14"/>
                <w:szCs w:val="14"/>
                <w:b w:val="1"/>
                <w:bCs w:val="1"/>
                <w:color w:val="auto"/>
              </w:rPr>
              <w:t>Entries</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(8,562)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During the Development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8"/>
              </w:rPr>
              <w:t>Stage to Net Cash Provided by / (Used in)</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5"/>
              </w:rPr>
              <w:t>Increase (Decrease) in Cash from Changes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21"/>
                <w:szCs w:val="21"/>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220"/>
              <w:spacing w:after="0"/>
              <w:rPr>
                <w:sz w:val="20"/>
                <w:szCs w:val="20"/>
                <w:color w:val="auto"/>
              </w:rPr>
            </w:pPr>
            <w:r>
              <w:rPr>
                <w:rFonts w:ascii="Arial" w:cs="Arial" w:eastAsia="Arial" w:hAnsi="Arial"/>
                <w:sz w:val="18"/>
                <w:szCs w:val="18"/>
                <w:color w:val="auto"/>
              </w:rPr>
              <w:t>Net Cash Provided by / (Used in)</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(4,377)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Acquisition of Desert Inn Resort and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Casino, Net of Cash Acquired</w:t>
            </w:r>
          </w:p>
        </w:tc>
        <w:tc>
          <w:tcPr>
            <w:tcW w:w="24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(270,718)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(1,276)</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(1,299)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Proceeds from Sale of Equipment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7"/>
              </w:rPr>
              <w:t>Net Cash Provided by / (Used in) Investing</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(319,897)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(319,472)</w:t>
            </w: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Equity Contributions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 Distributions</w:t>
            </w:r>
          </w:p>
        </w:tc>
        <w:tc>
          <w:tcPr>
            <w:tcW w:w="2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(110,482)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4"/>
              </w:rPr>
              <w:t>Proceeds from Issuance of Long-Term Debt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of Long-Term Debt</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 Origination Fees</w:t>
            </w:r>
          </w:p>
        </w:tc>
        <w:tc>
          <w:tcPr>
            <w:tcW w:w="2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Related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Party Loan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w w:val="99"/>
              </w:rPr>
              <w:t>Principal Payments of Related Party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Loan</w:t>
            </w:r>
          </w:p>
        </w:tc>
        <w:tc>
          <w:tcPr>
            <w:tcW w:w="24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(70,000)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136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16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146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9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-6308725</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-6308725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-6308725</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-6308725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-6308725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-6308725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-6308725</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-6308725</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-6308725</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-6308725</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-3718560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-3718560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-3718560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-3718560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-3718560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-3718560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-3718560</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-3718560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-3718560</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-3718560</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-3289935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-3289935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-3289935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-3289935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-3289935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-3289935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-3289935</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-3289935</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-3289935</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-3289935</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-2174875</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-2174875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-2174875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-2174875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-2174875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-2174875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-2174875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-2174875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-2174875</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-2174875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-1746250</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-1746250</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-1746250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-1746250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-1746250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-1746250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-1746250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-1746250</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-1746250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-1746250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-82550</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-82550</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-82550</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-82550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-82550</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-82550</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-82550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-82550</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17" w:name="page118"/>
    <w:bookmarkEnd w:id="11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Activities</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Increase/(Decrease) in Cash and Cash</w:t>
            </w:r>
          </w:p>
        </w:tc>
        <w:tc>
          <w:tcPr>
            <w:tcW w:w="5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800" w:type="dxa"/>
            <w:vAlign w:val="bottom"/>
          </w:tcPr>
          <w:p>
            <w:pPr>
              <w:spacing w:after="0"/>
              <w:rPr>
                <w:sz w:val="19"/>
                <w:szCs w:val="19"/>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79"/>
              </w:rPr>
              <w:t>20</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3340" w:type="dxa"/>
            <w:vAlign w:val="bottom"/>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64,474</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79"/>
              </w:rPr>
              <w:t>20</w:t>
            </w:r>
          </w:p>
        </w:tc>
        <w:tc>
          <w:tcPr>
            <w:tcW w:w="220" w:type="dxa"/>
            <w:vAlign w:val="bottom"/>
          </w:tcPr>
          <w:p>
            <w:pPr>
              <w:spacing w:after="0"/>
              <w:rPr>
                <w:sz w:val="24"/>
                <w:szCs w:val="24"/>
                <w:color w:val="auto"/>
              </w:rPr>
            </w:pP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64,469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Cash Flow Disclosure:</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Interest Paid, Net of Amounts</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Capitalized</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F-32</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-1798320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-1798320</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-1798320</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-1798320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-1798320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-1798320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-1798320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-1798320</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-1798320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-1798320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-1231900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-1231900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-1231900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-1231900</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-1231900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-1231900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-1231900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-1231900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-1231900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Wynn Las Vegas,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20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Vegas Capital Corp.</w:t>
            </w:r>
          </w:p>
        </w:tc>
        <w:tc>
          <w:tcPr>
            <w:tcW w:w="2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14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w w:val="91"/>
              </w:rPr>
              <w:t>Net Loss Accumulated During the Development Stage</w:t>
            </w:r>
          </w:p>
        </w:tc>
        <w:tc>
          <w:tcPr>
            <w:tcW w:w="180" w:type="dxa"/>
            <w:vAlign w:val="bottom"/>
          </w:tcPr>
          <w:p>
            <w:pPr>
              <w:jc w:val="right"/>
              <w:ind w:right="117"/>
              <w:spacing w:after="0"/>
              <w:rPr>
                <w:sz w:val="20"/>
                <w:szCs w:val="20"/>
                <w:color w:val="auto"/>
              </w:rPr>
            </w:pPr>
            <w:r>
              <w:rPr>
                <w:rFonts w:ascii="Arial" w:cs="Arial" w:eastAsia="Arial" w:hAnsi="Arial"/>
                <w:sz w:val="5"/>
                <w:szCs w:val="5"/>
                <w:color w:val="auto"/>
                <w:w w:val="70"/>
              </w:rPr>
              <w:t>$</w:t>
            </w: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(27,555)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(1,385)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(9,054)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(5,568)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2,815</w:t>
            </w: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(40,747)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3"/>
              </w:rPr>
              <w:t>During the Development Stage to Net Cash Provided</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13,682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15,626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(2,534)</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Loss/Gain on Affiliate Transactions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(1,020)</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(2,092)</w:t>
            </w:r>
          </w:p>
        </w:tc>
        <w:tc>
          <w:tcPr>
            <w:tcW w:w="14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Amortization of Loan Origination Fees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Gain/(Loss) on Sale of Fixed Assets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Incidental Operations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(2,288)</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(926)</w:t>
            </w: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(282)</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(8,100)</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Provided by / (Used in) Operating</w:t>
            </w: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(3,619)</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(7,406)</w:t>
            </w: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256</w:t>
            </w:r>
          </w:p>
        </w:tc>
        <w:tc>
          <w:tcPr>
            <w:tcW w:w="1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(2,093)</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13,501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w w:val="96"/>
              </w:rPr>
              <w:t>Acquisition of Desert Inn Resort and Casino, Net of</w:t>
            </w:r>
          </w:p>
        </w:tc>
        <w:tc>
          <w:tcPr>
            <w:tcW w:w="1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Cash Acquired</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58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(55,459)</w:t>
            </w:r>
          </w:p>
        </w:tc>
        <w:tc>
          <w:tcPr>
            <w:tcW w:w="1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(39,885)</w:t>
            </w:r>
          </w:p>
        </w:tc>
        <w:tc>
          <w:tcPr>
            <w:tcW w:w="220" w:type="dxa"/>
            <w:vAlign w:val="bottom"/>
          </w:tcPr>
          <w:p>
            <w:pPr>
              <w:spacing w:after="0"/>
              <w:rPr>
                <w:sz w:val="12"/>
                <w:szCs w:val="12"/>
                <w:color w:val="auto"/>
              </w:rPr>
            </w:pP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(107)</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Acquisition of Airplane</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(9,591)</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(9,489)</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(27,653)</w:t>
            </w:r>
          </w:p>
        </w:tc>
        <w:tc>
          <w:tcPr>
            <w:tcW w:w="1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(1,840)</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(2,214)</w:t>
            </w: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23,823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(67,181)</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57,856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Proceeds from Sale of Equipment</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Net Cash Provided by/(Used in) Investing Activities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(419,452)</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6,166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(383,889)</w:t>
            </w: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Equity Contributions</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23,804</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(23,804)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Equity Distributions</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(110,482)</w:t>
            </w: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Third Party Fee</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8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3,056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(125,066)</w:t>
            </w: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Loan Origination Fees</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(1,465)</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18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Related Party Loan</w:t>
            </w: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(70,000)</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rPr>
              <w:t>Net Cash Provided by Financing Activities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582,194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28,860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(23,804)</w:t>
            </w: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585,250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Increase/(Decrease) in Cash and Cash Equivalents</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18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End of Period</w:t>
            </w:r>
          </w:p>
        </w:tc>
        <w:tc>
          <w:tcPr>
            <w:tcW w:w="180" w:type="dxa"/>
            <w:vAlign w:val="bottom"/>
            <w:shd w:val="clear" w:color="auto" w:fill="CCEEFF"/>
          </w:tcPr>
          <w:p>
            <w:pPr>
              <w:jc w:val="right"/>
              <w:ind w:right="117"/>
              <w:spacing w:after="0"/>
              <w:rPr>
                <w:sz w:val="20"/>
                <w:szCs w:val="20"/>
                <w:color w:val="auto"/>
              </w:rPr>
            </w:pPr>
            <w:r>
              <w:rPr>
                <w:rFonts w:ascii="Arial" w:cs="Arial" w:eastAsia="Arial" w:hAnsi="Arial"/>
                <w:sz w:val="5"/>
                <w:szCs w:val="5"/>
                <w:color w:val="auto"/>
                <w:w w:val="70"/>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w:t>
            </w:r>
          </w:p>
        </w:tc>
        <w:tc>
          <w:tcPr>
            <w:tcW w:w="1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Supplemental Cash Flow Disclosure:</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180" w:type="dxa"/>
            <w:vAlign w:val="bottom"/>
            <w:shd w:val="clear" w:color="auto" w:fill="CCEEFF"/>
          </w:tcPr>
          <w:p>
            <w:pPr>
              <w:jc w:val="right"/>
              <w:ind w:right="117"/>
              <w:spacing w:after="0"/>
              <w:rPr>
                <w:sz w:val="20"/>
                <w:szCs w:val="20"/>
                <w:color w:val="auto"/>
              </w:rPr>
            </w:pPr>
            <w:r>
              <w:rPr>
                <w:rFonts w:ascii="Arial" w:cs="Arial" w:eastAsia="Arial" w:hAnsi="Arial"/>
                <w:sz w:val="5"/>
                <w:szCs w:val="5"/>
                <w:color w:val="auto"/>
                <w:w w:val="70"/>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-6368415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-6368415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-6368415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-6368415</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-6368415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-6368415</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-6368415</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-6368415</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-6368415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-6368415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-6368415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-6368415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-3796030</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-3796030</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-3796030</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-3796030</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-3796030</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-3796030</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-3796030</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-3796030</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-3796030</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-3796030</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-3796030</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-3796030</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-3452495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-3452495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-3452495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-3452495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-3452495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-3452495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-3452495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-3452495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-3452495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-3452495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-3452495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-3452495</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-2543810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-2543810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-2543810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-2543810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-2543810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-2543810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-2543810</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-2543810</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-2543810</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-2543810</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-2543810</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-2543810</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-2294890</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-2294890</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-2294890</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-2294890</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-2294890</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-2294890</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-2294890</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-2294890</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-2294890</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-2294890</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-2294890</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-2294890</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-1197610</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-1197610</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-1197610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-1197610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-1197610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-1197610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-1197610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-1197610</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-1197610</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-1197610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-1197610</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-1197610</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-948690</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-948690</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-948690</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-948690</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-948690</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-948690</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-948690</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-948690</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-948690</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-948690</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-948690</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-948690</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-605790</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-605790</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-605790</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-605790</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-605790</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-605790</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-605790</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-605790</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-605790</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-605790</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-605790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-605790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118" w:name="page119"/>
    <w:bookmarkEnd w:id="118"/>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Capitalization</w:t>
            </w: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Principal Stockholders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Financial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Construction Contracts for Le Rêve</w:t>
            </w:r>
          </w:p>
        </w:tc>
        <w:tc>
          <w:tcPr>
            <w:tcW w:w="4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Concession Agreement with the Government of Macau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Regulation and Licensing</w:t>
            </w:r>
          </w:p>
        </w:tc>
        <w:tc>
          <w:tcPr>
            <w:tcW w:w="42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Certain Relationships and Related Party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4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Certain Indebtedness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42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Considerations for</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Non-U.S. Holders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Underwriting</w:t>
            </w:r>
          </w:p>
        </w:tc>
        <w:tc>
          <w:tcPr>
            <w:tcW w:w="4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Experts</w:t>
            </w: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Independent Accountants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Index to Consolidated Financial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-3923030</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-3923030</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Until ,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Resorts, Limited</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24"/>
          <w:szCs w:val="24"/>
          <w:b w:val="1"/>
          <w:bCs w:val="1"/>
          <w:color w:val="auto"/>
        </w:rPr>
        <w:t>Shares</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Deutsche Bank Securities</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JPMorgan</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Dresdner Kleinwort Wasserstein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NOT REQUIRED IN PROSPECTUS</w:t>
      </w:r>
    </w:p>
    <w:p>
      <w:pPr>
        <w:sectPr>
          <w:pgSz w:w="11900" w:h="16838" w:orient="portrait"/>
          <w:cols w:equalWidth="0" w:num="1">
            <w:col w:w="11280"/>
          </w:cols>
          <w:pgMar w:left="240" w:top="590" w:right="379" w:bottom="0" w:gutter="0" w:footer="0" w:header="0"/>
        </w:sectPr>
      </w:pPr>
    </w:p>
    <w:bookmarkStart w:id="119" w:name="page120"/>
    <w:bookmarkEnd w:id="119"/>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common stock being registered. All amounts shown are estimates except for the Securities and Exchange Commission registration fee, the National Securities Dealers, Inc. filing fee and The Nasdaq National Market quotation fee.</w:t>
      </w:r>
    </w:p>
    <w:p>
      <w:pPr>
        <w:spacing w:after="0" w:line="190"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fee—Securities and Exchange Commission</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Filing fee—National Association of Securities Dealers, Inc.</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Quotation fee—The Nasdaq National Market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-1574800</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-1574800</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33" w:lineRule="exact"/>
        <w:rPr>
          <w:sz w:val="20"/>
          <w:szCs w:val="20"/>
          <w:color w:val="auto"/>
        </w:rPr>
      </w:pPr>
    </w:p>
    <w:p>
      <w:pPr>
        <w:ind w:left="540" w:hanging="532"/>
        <w:spacing w:after="0"/>
        <w:tabs>
          <w:tab w:leader="none" w:pos="540" w:val="left"/>
        </w:tabs>
        <w:numPr>
          <w:ilvl w:val="0"/>
          <w:numId w:val="164"/>
        </w:numPr>
        <w:rPr>
          <w:rFonts w:ascii="Arial" w:cs="Arial" w:eastAsia="Arial" w:hAnsi="Arial"/>
          <w:sz w:val="27"/>
          <w:szCs w:val="27"/>
          <w:color w:val="auto"/>
          <w:vertAlign w:val="subscript"/>
        </w:rPr>
      </w:pPr>
      <w:r>
        <w:rPr>
          <w:rFonts w:ascii="Arial" w:cs="Arial" w:eastAsia="Arial" w:hAnsi="Arial"/>
          <w:sz w:val="14"/>
          <w:szCs w:val="14"/>
          <w:color w:val="auto"/>
        </w:rPr>
        <w:t>To be filed by amendment.</w:t>
      </w:r>
    </w:p>
    <w:p>
      <w:pPr>
        <w:spacing w:after="0" w:line="18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Wynn Resorts' bylaws, will provide that it will indemnify its directors and officers to the maximum extent permitted by Nevada law, including in circumstances in which indemnification is otherwise discretionary under Nevada law. In addition, Wynn Resorts intends to enter into separate indemnification agreements, attached as Exhibit hereto, with its directors and officers which would require Wynn Resorts, among other things, to indemnify them against certain liabilities which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7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 during the past three years involving sales of the Registrant's securities that were not registered under the Securities Act:</w:t>
      </w:r>
    </w:p>
    <w:p>
      <w:pPr>
        <w:spacing w:after="0" w:line="186" w:lineRule="exact"/>
        <w:rPr>
          <w:sz w:val="20"/>
          <w:szCs w:val="20"/>
          <w:color w:val="auto"/>
        </w:rPr>
      </w:pPr>
    </w:p>
    <w:p>
      <w:pPr>
        <w:ind w:left="540" w:right="200" w:firstLine="359"/>
        <w:spacing w:after="0" w:line="259" w:lineRule="auto"/>
        <w:tabs>
          <w:tab w:leader="none" w:pos="117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94" w:lineRule="exact"/>
        <w:rPr>
          <w:rFonts w:ascii="Arial" w:cs="Arial" w:eastAsia="Arial" w:hAnsi="Arial"/>
          <w:sz w:val="18"/>
          <w:szCs w:val="18"/>
          <w:color w:val="auto"/>
        </w:rPr>
      </w:pPr>
    </w:p>
    <w:p>
      <w:pPr>
        <w:jc w:val="both"/>
        <w:ind w:left="540" w:right="140" w:firstLine="359"/>
        <w:spacing w:after="0" w:line="256" w:lineRule="auto"/>
        <w:tabs>
          <w:tab w:leader="none" w:pos="118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 shares, representing a 50% interest in Valvino's profits and losses, to Mr. Wynn to evidence his ownership interest in the limited liability company.</w:t>
      </w:r>
    </w:p>
    <w:p>
      <w:pPr>
        <w:spacing w:after="0" w:line="197" w:lineRule="exact"/>
        <w:rPr>
          <w:rFonts w:ascii="Arial" w:cs="Arial" w:eastAsia="Arial" w:hAnsi="Arial"/>
          <w:sz w:val="18"/>
          <w:szCs w:val="18"/>
          <w:color w:val="auto"/>
        </w:rPr>
      </w:pPr>
    </w:p>
    <w:p>
      <w:pPr>
        <w:ind w:left="540" w:right="80" w:firstLine="359"/>
        <w:spacing w:after="0" w:line="332" w:lineRule="auto"/>
        <w:tabs>
          <w:tab w:leader="none" w:pos="117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280" w:firstLine="359"/>
        <w:spacing w:after="0" w:line="306" w:lineRule="auto"/>
        <w:tabs>
          <w:tab w:leader="none" w:pos="118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w:t>
      </w:r>
    </w:p>
    <w:p>
      <w:pPr>
        <w:sectPr>
          <w:pgSz w:w="11900" w:h="16838" w:orient="portrait"/>
          <w:cols w:equalWidth="0" w:num="1">
            <w:col w:w="11420"/>
          </w:cols>
          <w:pgMar w:left="240" w:top="125" w:right="239" w:bottom="0" w:gutter="0" w:footer="0" w:header="0"/>
        </w:sectPr>
      </w:pPr>
    </w:p>
    <w:bookmarkStart w:id="120" w:name="page121"/>
    <w:bookmarkEnd w:id="120"/>
    <w:p>
      <w:pPr>
        <w:ind w:left="540" w:right="80"/>
        <w:spacing w:after="0" w:line="259" w:lineRule="auto"/>
        <w:rPr>
          <w:sz w:val="20"/>
          <w:szCs w:val="20"/>
          <w:color w:val="auto"/>
        </w:rPr>
      </w:pPr>
      <w:r>
        <w:rPr>
          <w:rFonts w:ascii="Arial" w:cs="Arial" w:eastAsia="Arial" w:hAnsi="Arial"/>
          <w:sz w:val="18"/>
          <w:szCs w:val="18"/>
          <w:color w:val="auto"/>
        </w:rPr>
        <w:t>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capital contributions, each of Mr. Wynn and Aruze USA held a 47.5% interest in Valvino's profits and losses.</w:t>
      </w:r>
    </w:p>
    <w:p>
      <w:pPr>
        <w:spacing w:after="0" w:line="225" w:lineRule="exact"/>
        <w:rPr>
          <w:sz w:val="20"/>
          <w:szCs w:val="20"/>
          <w:color w:val="auto"/>
        </w:rPr>
      </w:pPr>
    </w:p>
    <w:p>
      <w:pPr>
        <w:ind w:left="540" w:right="400" w:firstLine="359"/>
        <w:spacing w:after="0" w:line="332" w:lineRule="auto"/>
        <w:tabs>
          <w:tab w:leader="none" w:pos="117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June 2002, the Kenneth R. Wynn Family Trust contributed $1.2 million in cash to Valvino in exchange for 307.38 common shares, which represented approximately a 0.146%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firstLine="359"/>
        <w:spacing w:after="0" w:line="332" w:lineRule="auto"/>
        <w:tabs>
          <w:tab w:leader="none" w:pos="124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exchange for the contribution of all of their respective membership interests in Valvino, immediately prior to this offering becoming effective, the Registrant plans to issue shares of its common stock to each of Mr. Wynn, Aruze USA, Baron Asset Fund and the Kenneth R. Wynn Family Trust.</w:t>
      </w:r>
    </w:p>
    <w:p>
      <w:pPr>
        <w:spacing w:after="0" w:line="139"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27" w:lineRule="exact"/>
        <w:rPr>
          <w:sz w:val="20"/>
          <w:szCs w:val="20"/>
          <w:color w:val="auto"/>
        </w:rPr>
      </w:pPr>
    </w:p>
    <w:p>
      <w:pPr>
        <w:ind w:left="80"/>
        <w:spacing w:after="0"/>
        <w:tabs>
          <w:tab w:leader="none" w:pos="4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1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2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Incorporation of the Registrant.(1)</w:t>
      </w:r>
    </w:p>
    <w:p>
      <w:pPr>
        <w:spacing w:after="0" w:line="22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Articles of Registrant (to be adopted prior to the completion of this offering).</w:t>
      </w:r>
    </w:p>
    <w:p>
      <w:pPr>
        <w:spacing w:after="0" w:line="22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Bylaws of the Registrant.(1)</w:t>
      </w:r>
    </w:p>
    <w:p>
      <w:pPr>
        <w:spacing w:after="0" w:line="22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Amended and Restated Bylaws of the Registrant (to be adopted prior to the completion of this offering).</w:t>
      </w:r>
    </w:p>
    <w:p>
      <w:pPr>
        <w:spacing w:after="0" w:line="22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w:t>
      </w:r>
    </w:p>
    <w:p>
      <w:pPr>
        <w:spacing w:after="0" w:line="22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 Godfrey</w:t>
      </w:r>
    </w:p>
    <w:p>
      <w:pPr>
        <w:spacing w:after="0" w:line="225" w:lineRule="exact"/>
        <w:rPr>
          <w:sz w:val="20"/>
          <w:szCs w:val="20"/>
          <w:color w:val="auto"/>
        </w:rPr>
      </w:pPr>
    </w:p>
    <w:p>
      <w:pPr>
        <w:ind w:left="1080" w:right="2680" w:hanging="563"/>
        <w:spacing w:after="0" w:line="259" w:lineRule="auto"/>
        <w:tabs>
          <w:tab w:leader="none" w:pos="106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94" w:lineRule="exact"/>
        <w:rPr>
          <w:sz w:val="20"/>
          <w:szCs w:val="20"/>
          <w:color w:val="auto"/>
        </w:rPr>
      </w:pPr>
    </w:p>
    <w:p>
      <w:pPr>
        <w:ind w:left="1080" w:right="2620" w:hanging="563"/>
        <w:spacing w:after="0" w:line="259" w:lineRule="auto"/>
        <w:tabs>
          <w:tab w:leader="none" w:pos="106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94" w:lineRule="exact"/>
        <w:rPr>
          <w:sz w:val="20"/>
          <w:szCs w:val="20"/>
          <w:color w:val="auto"/>
        </w:rPr>
      </w:pPr>
    </w:p>
    <w:p>
      <w:pPr>
        <w:ind w:left="1080" w:right="2560" w:hanging="563"/>
        <w:spacing w:after="0" w:line="284"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80" w:right="2560" w:hanging="563"/>
        <w:spacing w:after="0" w:line="335"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42" w:lineRule="exact"/>
        <w:rPr>
          <w:sz w:val="20"/>
          <w:szCs w:val="20"/>
          <w:color w:val="auto"/>
        </w:rPr>
      </w:pPr>
    </w:p>
    <w:p>
      <w:pPr>
        <w:ind w:left="1080" w:right="2560" w:hanging="563"/>
        <w:spacing w:after="0" w:line="284"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219" w:lineRule="exact"/>
        <w:rPr>
          <w:sz w:val="20"/>
          <w:szCs w:val="20"/>
          <w:color w:val="auto"/>
        </w:rPr>
      </w:pPr>
    </w:p>
    <w:p>
      <w:pPr>
        <w:ind w:left="1080" w:right="2560" w:hanging="563"/>
        <w:spacing w:after="0" w:line="284"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219" w:lineRule="exact"/>
        <w:rPr>
          <w:sz w:val="20"/>
          <w:szCs w:val="20"/>
          <w:color w:val="auto"/>
        </w:rPr>
      </w:pPr>
    </w:p>
    <w:p>
      <w:pPr>
        <w:ind w:left="1080" w:right="2800" w:hanging="651"/>
        <w:spacing w:after="0" w:line="268" w:lineRule="auto"/>
        <w:tabs>
          <w:tab w:leader="none" w:pos="106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w:t>
      </w:r>
    </w:p>
    <w:p>
      <w:pPr>
        <w:sectPr>
          <w:pgSz w:w="11900" w:h="16838" w:orient="portrait"/>
          <w:cols w:equalWidth="0" w:num="1">
            <w:col w:w="11420"/>
          </w:cols>
          <w:pgMar w:left="240" w:top="131" w:right="239" w:bottom="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Lease Agreement, dated November 1, 2001, by and between Valvino Lamore, LLC and Wynn Resorts</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Holdings, LLC.(1)</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Art Rental and Licensing Agreement, dated November 1, 2001, by and between Stephen A. Wynn and Wynn</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Resorts Holdings, LLC.(1)</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10.10</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Stockholders Agreement, dated as of April 11, 2002, by and among Stephen A. Wynn, Baron Asset Fund and</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Aruze USA, Inc.(1)</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10.11</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Agreement for Guaranteed Maximum Price Construction Services between Wynn Las Vegas, LLC and Marnell</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Corrao Associates, Inc. for Le Rêve.(1)</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10.12</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Continuing Guaranty, dated June 4, 2002, by Austi, Inc. in favor of Wynn Las Vegas, LLC.(1)</w:t>
            </w: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10.13</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Design/Build Agreement, dated June 6, 2002, by and between Wynn Las Vegas, LLC and Bomel Construction</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Company, Inc.(1)</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*10.14</w:t>
            </w:r>
          </w:p>
        </w:tc>
        <w:tc>
          <w:tcPr>
            <w:tcW w:w="2280" w:type="dxa"/>
            <w:vAlign w:val="bottom"/>
          </w:tcPr>
          <w:p>
            <w:pPr>
              <w:ind w:left="140"/>
              <w:spacing w:after="0"/>
              <w:rPr>
                <w:sz w:val="20"/>
                <w:szCs w:val="20"/>
                <w:color w:val="auto"/>
              </w:rPr>
            </w:pPr>
            <w:r>
              <w:rPr>
                <w:rFonts w:ascii="Arial" w:cs="Arial" w:eastAsia="Arial" w:hAnsi="Arial"/>
                <w:sz w:val="18"/>
                <w:szCs w:val="18"/>
                <w:color w:val="auto"/>
              </w:rPr>
              <w:t>2002 Stock Incentive Plan</w:t>
            </w: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*10.15</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Director and Officer Indemnification Agreement</w:t>
            </w: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10.16</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Employment Agreement, dated April 1, 2002, by and between Wynn Resorts Holdings, LLC and Ronald J.</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Kramer.(2)</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10.17</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Contribution Agreement, dated as of June 11, 2002 by and among Stephen A. Wynn, Aruze USA, Inc., Baron</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Asset Fund, the Kenneth R. Wynn Family Trust dated February 1985 and Wynn Resorts, Limited.(2)</w:t>
            </w: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10.18</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Amended and Restated Business Loan Agreement, dated as of May 30, 2002, between Bank of America, N.A.</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and World Travel, LLC.(2)</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10.19</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Continuing Guaranty, dated May 30, 2002, by Valvino Lamore, LLC in favor of Bank of America, N.A.(2)</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Agreement, dated as of June 2002, by and between Stephen A. Wynn and Wynn Resorts, Limited.(2)</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10.21</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Purchase Agreement, dated May 30, 2002, between Stephen A. Wynn and Valvino Lamore, LLC.(2)</w:t>
            </w:r>
          </w:p>
        </w:tc>
        <w:tc>
          <w:tcPr>
            <w:tcW w:w="0" w:type="dxa"/>
            <w:vAlign w:val="bottom"/>
          </w:tcPr>
          <w:p>
            <w:pPr>
              <w:spacing w:after="0"/>
              <w:rPr>
                <w:sz w:val="1"/>
                <w:szCs w:val="1"/>
                <w:color w:val="auto"/>
              </w:rPr>
            </w:pPr>
          </w:p>
        </w:tc>
      </w:tr>
      <w:tr>
        <w:trPr>
          <w:trHeight w:val="891"/>
        </w:trPr>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200" w:type="dxa"/>
            <w:vAlign w:val="bottom"/>
          </w:tcPr>
          <w:p>
            <w:pPr>
              <w:ind w:left="236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r>
        <w:trPr>
          <w:trHeight w:val="228"/>
        </w:trPr>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8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29"/>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*10.22</w:t>
            </w:r>
          </w:p>
        </w:tc>
        <w:tc>
          <w:tcPr>
            <w:tcW w:w="2280" w:type="dxa"/>
            <w:vAlign w:val="bottom"/>
          </w:tcPr>
          <w:p>
            <w:pPr>
              <w:ind w:left="140"/>
              <w:spacing w:after="0"/>
              <w:rPr>
                <w:sz w:val="20"/>
                <w:szCs w:val="20"/>
                <w:color w:val="auto"/>
              </w:rPr>
            </w:pPr>
            <w:r>
              <w:rPr>
                <w:rFonts w:ascii="Arial" w:cs="Arial" w:eastAsia="Arial" w:hAnsi="Arial"/>
                <w:sz w:val="18"/>
                <w:szCs w:val="18"/>
                <w:color w:val="auto"/>
              </w:rPr>
              <w:t>Agreement, dated as of</w:t>
            </w:r>
          </w:p>
        </w:tc>
        <w:tc>
          <w:tcPr>
            <w:tcW w:w="8200" w:type="dxa"/>
            <w:vAlign w:val="bottom"/>
          </w:tcPr>
          <w:p>
            <w:pPr>
              <w:ind w:left="20"/>
              <w:spacing w:after="0"/>
              <w:rPr>
                <w:sz w:val="20"/>
                <w:szCs w:val="20"/>
                <w:color w:val="auto"/>
              </w:rPr>
            </w:pPr>
            <w:r>
              <w:rPr>
                <w:rFonts w:ascii="Arial" w:cs="Arial" w:eastAsia="Arial" w:hAnsi="Arial"/>
                <w:sz w:val="18"/>
                <w:szCs w:val="18"/>
                <w:color w:val="auto"/>
              </w:rPr>
              <w:t>, between Wynn Design and Development, LLC and Butler/Ashworth</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Architects, Inc.</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10.23</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Employment Agreement, dated as of May 31, 2002, by and between Valvino Lamore, LLC and Matt Maddox.</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(2)</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10.24</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Concession Contract for the Operation of Games of Chance or Other Games in Casinos in the Macau Special</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Administrative Region, dated June 24, 2002, between the Macau Special Administrative Region and Wynn</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Resorts (Macau), S.A. (English translation of Portuguese version of Concession Agreement).(2)</w:t>
            </w: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10.25</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Amended and Restated Commitment Letter Agreement, dated June 14, 2002, among Deutsche Bank Trust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Company Americas, Deutsche Bank Securities Inc., Bank of America, N.A., Banc of America Securities LLC,</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Bear Stearns Corporate Lending, Inc., Bear Stearns &amp; Co. Inc., Wynn Resorts Holdings, LLC and Wynn Las</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ind w:left="140"/>
              <w:spacing w:after="0"/>
              <w:rPr>
                <w:sz w:val="20"/>
                <w:szCs w:val="20"/>
                <w:color w:val="auto"/>
              </w:rPr>
            </w:pPr>
            <w:r>
              <w:rPr>
                <w:rFonts w:ascii="Arial" w:cs="Arial" w:eastAsia="Arial" w:hAnsi="Arial"/>
                <w:sz w:val="18"/>
                <w:szCs w:val="18"/>
                <w:color w:val="auto"/>
              </w:rPr>
              <w:t>Vegas, LLC.</w:t>
            </w:r>
          </w:p>
        </w:tc>
        <w:tc>
          <w:tcPr>
            <w:tcW w:w="8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10.26</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Agreement for Guarantee Maximum Price Construction Services Change Order, dated as of August 12, 2002,</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between Marnell Corrao Associates, Inc. and Wynn Las Vegas, LLC.(2)</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2280" w:type="dxa"/>
            <w:vAlign w:val="bottom"/>
          </w:tcPr>
          <w:p>
            <w:pPr>
              <w:ind w:left="140"/>
              <w:spacing w:after="0"/>
              <w:rPr>
                <w:sz w:val="20"/>
                <w:szCs w:val="20"/>
                <w:color w:val="auto"/>
              </w:rPr>
            </w:pPr>
            <w:r>
              <w:rPr>
                <w:rFonts w:ascii="Arial" w:cs="Arial" w:eastAsia="Arial" w:hAnsi="Arial"/>
                <w:sz w:val="18"/>
                <w:szCs w:val="18"/>
                <w:color w:val="auto"/>
                <w:w w:val="88"/>
              </w:rPr>
              <w:t>Subsidiaries of the Registrant.</w:t>
            </w: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Consent of Schreck Brignone Godfrey (included in Exhibit 5.1).</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Consent of Deloitte &amp; Touche LLP.(2)</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Consents of Persons Named to Become Directors.(2)</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2280" w:type="dxa"/>
            <w:vAlign w:val="bottom"/>
          </w:tcPr>
          <w:p>
            <w:pPr>
              <w:ind w:left="140"/>
              <w:spacing w:after="0"/>
              <w:rPr>
                <w:sz w:val="20"/>
                <w:szCs w:val="20"/>
                <w:color w:val="auto"/>
              </w:rPr>
            </w:pPr>
            <w:r>
              <w:rPr>
                <w:rFonts w:ascii="Arial" w:cs="Arial" w:eastAsia="Arial" w:hAnsi="Arial"/>
                <w:sz w:val="18"/>
                <w:szCs w:val="18"/>
                <w:color w:val="auto"/>
              </w:rPr>
              <w:t>Power of Attorney.(1)</w:t>
            </w: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540" w:type="dxa"/>
            <w:vAlign w:val="bottom"/>
            <w:gridSpan w:val="2"/>
          </w:tcPr>
          <w:p>
            <w:pPr>
              <w:spacing w:after="0"/>
              <w:rPr>
                <w:sz w:val="10"/>
                <w:szCs w:val="10"/>
                <w:color w:val="auto"/>
              </w:rPr>
            </w:pPr>
          </w:p>
        </w:tc>
        <w:tc>
          <w:tcPr>
            <w:tcW w:w="8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260" w:type="dxa"/>
            <w:vAlign w:val="bottom"/>
            <w:vMerge w:val="restart"/>
          </w:tcPr>
          <w:p>
            <w:pPr>
              <w:spacing w:after="0"/>
              <w:rPr>
                <w:sz w:val="20"/>
                <w:szCs w:val="20"/>
                <w:color w:val="auto"/>
              </w:rPr>
            </w:pPr>
            <w:r>
              <w:rPr>
                <w:rFonts w:ascii="Arial" w:cs="Arial" w:eastAsia="Arial" w:hAnsi="Arial"/>
                <w:sz w:val="14"/>
                <w:szCs w:val="14"/>
                <w:color w:val="auto"/>
              </w:rPr>
              <w:t>*</w:t>
            </w:r>
          </w:p>
        </w:tc>
        <w:tc>
          <w:tcPr>
            <w:tcW w:w="2960" w:type="dxa"/>
            <w:vAlign w:val="bottom"/>
            <w:gridSpan w:val="3"/>
          </w:tcPr>
          <w:p>
            <w:pPr>
              <w:ind w:left="280"/>
              <w:spacing w:after="0"/>
              <w:rPr>
                <w:sz w:val="20"/>
                <w:szCs w:val="20"/>
                <w:color w:val="auto"/>
              </w:rPr>
            </w:pPr>
            <w:r>
              <w:rPr>
                <w:rFonts w:ascii="Arial" w:cs="Arial" w:eastAsia="Arial" w:hAnsi="Arial"/>
                <w:sz w:val="14"/>
                <w:szCs w:val="14"/>
                <w:color w:val="auto"/>
              </w:rPr>
              <w:t>To be filed by amendment.</w:t>
            </w: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60" w:type="dxa"/>
            <w:vAlign w:val="bottom"/>
            <w:vMerge w:val="continue"/>
          </w:tcPr>
          <w:p>
            <w:pPr>
              <w:spacing w:after="0"/>
              <w:rPr>
                <w:sz w:val="4"/>
                <w:szCs w:val="4"/>
                <w:color w:val="auto"/>
              </w:rPr>
            </w:pPr>
          </w:p>
        </w:tc>
        <w:tc>
          <w:tcPr>
            <w:tcW w:w="2960" w:type="dxa"/>
            <w:vAlign w:val="bottom"/>
            <w:gridSpan w:val="3"/>
            <w:vMerge w:val="restart"/>
          </w:tcPr>
          <w:p>
            <w:pPr>
              <w:ind w:left="280"/>
              <w:spacing w:after="0" w:line="108" w:lineRule="exact"/>
              <w:rPr>
                <w:sz w:val="20"/>
                <w:szCs w:val="20"/>
                <w:color w:val="auto"/>
              </w:rPr>
            </w:pPr>
            <w:r>
              <w:rPr>
                <w:rFonts w:ascii="Arial" w:cs="Arial" w:eastAsia="Arial" w:hAnsi="Arial"/>
                <w:sz w:val="12"/>
                <w:szCs w:val="12"/>
                <w:color w:val="auto"/>
              </w:rPr>
              <w:t>Previously filed.</w:t>
            </w:r>
          </w:p>
        </w:tc>
        <w:tc>
          <w:tcPr>
            <w:tcW w:w="8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60" w:type="dxa"/>
            <w:vAlign w:val="bottom"/>
          </w:tcPr>
          <w:p>
            <w:pPr>
              <w:spacing w:after="0" w:line="54" w:lineRule="exact"/>
              <w:rPr>
                <w:sz w:val="20"/>
                <w:szCs w:val="20"/>
                <w:color w:val="auto"/>
              </w:rPr>
            </w:pPr>
            <w:r>
              <w:rPr>
                <w:rFonts w:ascii="Arial" w:cs="Arial" w:eastAsia="Arial" w:hAnsi="Arial"/>
                <w:sz w:val="6"/>
                <w:szCs w:val="6"/>
                <w:color w:val="auto"/>
              </w:rPr>
              <w:t>(1)</w:t>
            </w:r>
          </w:p>
        </w:tc>
        <w:tc>
          <w:tcPr>
            <w:tcW w:w="2960" w:type="dxa"/>
            <w:vAlign w:val="bottom"/>
            <w:gridSpan w:val="3"/>
            <w:vMerge w:val="continue"/>
          </w:tcPr>
          <w:p>
            <w:pPr>
              <w:spacing w:after="0"/>
              <w:rPr>
                <w:sz w:val="4"/>
                <w:szCs w:val="4"/>
                <w:color w:val="auto"/>
              </w:rPr>
            </w:pPr>
          </w:p>
        </w:tc>
        <w:tc>
          <w:tcPr>
            <w:tcW w:w="8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60" w:type="dxa"/>
            <w:vAlign w:val="bottom"/>
            <w:vMerge w:val="restart"/>
          </w:tcPr>
          <w:p>
            <w:pPr>
              <w:spacing w:after="0"/>
              <w:rPr>
                <w:sz w:val="20"/>
                <w:szCs w:val="20"/>
                <w:color w:val="auto"/>
              </w:rPr>
            </w:pPr>
            <w:r>
              <w:rPr>
                <w:rFonts w:ascii="Arial" w:cs="Arial" w:eastAsia="Arial" w:hAnsi="Arial"/>
                <w:sz w:val="14"/>
                <w:szCs w:val="14"/>
                <w:color w:val="auto"/>
              </w:rPr>
              <w:t>(2)</w:t>
            </w:r>
          </w:p>
        </w:tc>
        <w:tc>
          <w:tcPr>
            <w:tcW w:w="296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Filed herewith.</w:t>
            </w:r>
          </w:p>
        </w:tc>
        <w:tc>
          <w:tcPr>
            <w:tcW w:w="8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8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-4377055</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-4377055</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-380365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-380365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ectPr>
          <w:pgSz w:w="11900" w:h="16838" w:orient="portrait"/>
          <w:cols w:equalWidth="0" w:num="1">
            <w:col w:w="11420"/>
          </w:cols>
          <w:pgMar w:left="240" w:top="347" w:right="239" w:bottom="0" w:gutter="0" w:footer="0" w:header="0"/>
        </w:sectPr>
      </w:pPr>
    </w:p>
    <w:p>
      <w:pPr>
        <w:spacing w:after="0" w:line="227" w:lineRule="exact"/>
        <w:rPr>
          <w:sz w:val="20"/>
          <w:szCs w:val="20"/>
          <w:color w:val="auto"/>
        </w:rPr>
      </w:pPr>
    </w:p>
    <w:p>
      <w:pPr>
        <w:ind w:left="8440"/>
        <w:spacing w:after="0"/>
        <w:rPr>
          <w:sz w:val="20"/>
          <w:szCs w:val="20"/>
          <w:color w:val="auto"/>
        </w:rPr>
      </w:pPr>
      <w:r>
        <w:rPr>
          <w:rFonts w:ascii="Arial" w:cs="Arial" w:eastAsia="Arial" w:hAnsi="Arial"/>
          <w:sz w:val="10"/>
          <w:szCs w:val="10"/>
          <w:b w:val="1"/>
          <w:bCs w:val="1"/>
          <w:color w:val="auto"/>
        </w:rPr>
        <w:t>Page</w:t>
      </w:r>
    </w:p>
    <w:p>
      <w:pPr>
        <w:sectPr>
          <w:pgSz w:w="11900" w:h="16838" w:orient="portrait"/>
          <w:cols w:equalWidth="0" w:num="1">
            <w:col w:w="11420"/>
          </w:cols>
          <w:pgMar w:left="240" w:top="347" w:right="239" w:bottom="0" w:gutter="0" w:footer="0" w:header="0"/>
          <w:type w:val="continuous"/>
        </w:sectPr>
      </w:pPr>
    </w:p>
    <w:bookmarkStart w:id="122" w:name="page123"/>
    <w:bookmarkEnd w:id="122"/>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5455285</wp:posOffset>
            </wp:positionH>
            <wp:positionV relativeFrom="page">
              <wp:posOffset>88900</wp:posOffset>
            </wp:positionV>
            <wp:extent cx="278765" cy="1905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278765"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Schedule II—Valuation and Qualifying Accounts</w:t>
            </w:r>
          </w:p>
        </w:tc>
        <w:tc>
          <w:tcPr>
            <w:tcW w:w="2780" w:type="dxa"/>
            <w:vAlign w:val="bottom"/>
            <w:shd w:val="clear" w:color="auto" w:fill="CCEEFF"/>
          </w:tcPr>
          <w:p>
            <w:pPr>
              <w:ind w:left="2540"/>
              <w:spacing w:after="0"/>
              <w:rPr>
                <w:sz w:val="20"/>
                <w:szCs w:val="20"/>
                <w:color w:val="auto"/>
              </w:rPr>
            </w:pPr>
            <w:r>
              <w:rPr>
                <w:rFonts w:ascii="Arial" w:cs="Arial" w:eastAsia="Arial" w:hAnsi="Arial"/>
                <w:sz w:val="18"/>
                <w:szCs w:val="18"/>
                <w:color w:val="auto"/>
                <w:w w:val="78"/>
              </w:rPr>
              <w:t>S-1</w:t>
            </w:r>
          </w:p>
        </w:tc>
      </w:tr>
    </w:tbl>
    <w:p>
      <w:pPr>
        <w:spacing w:after="0" w:line="20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20" w:firstLine="359"/>
        <w:spacing w:after="0" w:line="306" w:lineRule="auto"/>
        <w:tabs>
          <w:tab w:leader="none" w:pos="118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20" w:firstLine="359"/>
        <w:spacing w:after="0" w:line="259" w:lineRule="auto"/>
        <w:tabs>
          <w:tab w:leader="none" w:pos="118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351"/>
        <w:spacing w:after="0" w:line="28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Las Vegas, Nevada, on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2002.</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WYNN RESORTS, LIMITED</w:t>
      </w:r>
    </w:p>
    <w:p>
      <w:pPr>
        <w:spacing w:after="0" w:line="200" w:lineRule="exact"/>
        <w:rPr>
          <w:sz w:val="20"/>
          <w:szCs w:val="20"/>
          <w:color w:val="auto"/>
        </w:rPr>
      </w:pPr>
    </w:p>
    <w:p>
      <w:pPr>
        <w:spacing w:after="0" w:line="241" w:lineRule="exact"/>
        <w:rPr>
          <w:sz w:val="20"/>
          <w:szCs w:val="20"/>
          <w:color w:val="auto"/>
        </w:rPr>
      </w:pPr>
    </w:p>
    <w:tbl>
      <w:tblPr>
        <w:tblLayout w:type="fixed"/>
        <w:tblInd w:w="5740" w:type="dxa"/>
        <w:tblCellMar>
          <w:top w:w="0" w:type="dxa"/>
          <w:left w:w="0" w:type="dxa"/>
          <w:bottom w:w="0" w:type="dxa"/>
          <w:right w:w="0" w:type="dxa"/>
        </w:tblCellMar>
      </w:tblP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900"/>
              <w:spacing w:after="0"/>
              <w:rPr>
                <w:sz w:val="20"/>
                <w:szCs w:val="20"/>
                <w:color w:val="auto"/>
              </w:rPr>
            </w:pPr>
            <w:r>
              <w:rPr>
                <w:rFonts w:ascii="Arial" w:cs="Arial" w:eastAsia="Arial" w:hAnsi="Arial"/>
                <w:sz w:val="18"/>
                <w:szCs w:val="18"/>
                <w:color w:val="auto"/>
              </w:rPr>
              <w:t>/s/ STEPHEN A. WYNN</w:t>
            </w:r>
          </w:p>
        </w:tc>
      </w:tr>
      <w:tr>
        <w:trPr>
          <w:trHeight w:val="120"/>
        </w:trPr>
        <w:tc>
          <w:tcPr>
            <w:tcW w:w="44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ind w:left="220"/>
              <w:spacing w:after="0"/>
              <w:rPr>
                <w:sz w:val="20"/>
                <w:szCs w:val="20"/>
                <w:color w:val="auto"/>
              </w:rPr>
            </w:pPr>
            <w:r>
              <w:rPr>
                <w:rFonts w:ascii="Arial" w:cs="Arial" w:eastAsia="Arial" w:hAnsi="Arial"/>
                <w:sz w:val="18"/>
                <w:szCs w:val="18"/>
                <w:color w:val="auto"/>
              </w:rPr>
              <w:t>Stephen A. Wynn</w:t>
            </w:r>
          </w:p>
        </w:tc>
      </w:tr>
      <w:tr>
        <w:trPr>
          <w:trHeight w:val="216"/>
        </w:trPr>
        <w:tc>
          <w:tcPr>
            <w:tcW w:w="4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20"/>
              <w:spacing w:after="0"/>
              <w:rPr>
                <w:sz w:val="20"/>
                <w:szCs w:val="20"/>
                <w:color w:val="auto"/>
              </w:rPr>
            </w:pPr>
            <w:r>
              <w:rPr>
                <w:rFonts w:ascii="Arial" w:cs="Arial" w:eastAsia="Arial" w:hAnsi="Arial"/>
                <w:sz w:val="18"/>
                <w:szCs w:val="18"/>
                <w:color w:val="auto"/>
              </w:rPr>
              <w:t>Chairman of the Board of Directors &amp; Chief Executive</w:t>
            </w:r>
          </w:p>
        </w:tc>
      </w:tr>
      <w:tr>
        <w:trPr>
          <w:trHeight w:val="222"/>
        </w:trPr>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Officer (Principal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-491490</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40"/>
        <w:spacing w:after="0"/>
        <w:tabs>
          <w:tab w:leader="none" w:pos="6240" w:val="left"/>
          <w:tab w:leader="none" w:pos="100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jc w:val="center"/>
              <w:ind w:right="172"/>
              <w:spacing w:after="0"/>
              <w:rPr>
                <w:sz w:val="20"/>
                <w:szCs w:val="20"/>
                <w:color w:val="auto"/>
              </w:rPr>
            </w:pPr>
            <w:r>
              <w:rPr>
                <w:rFonts w:ascii="Arial" w:cs="Arial" w:eastAsia="Arial" w:hAnsi="Arial"/>
                <w:sz w:val="18"/>
                <w:szCs w:val="18"/>
                <w:color w:val="auto"/>
                <w:w w:val="96"/>
              </w:rPr>
              <w:t>/s/ STEPHEN A. WYNN</w:t>
            </w:r>
          </w:p>
        </w:tc>
        <w:tc>
          <w:tcPr>
            <w:tcW w:w="5280" w:type="dxa"/>
            <w:vAlign w:val="bottom"/>
          </w:tcPr>
          <w:p>
            <w:pPr>
              <w:ind w:left="220"/>
              <w:spacing w:after="0"/>
              <w:rPr>
                <w:sz w:val="20"/>
                <w:szCs w:val="20"/>
                <w:color w:val="auto"/>
              </w:rPr>
            </w:pPr>
            <w:r>
              <w:rPr>
                <w:rFonts w:ascii="Arial" w:cs="Arial" w:eastAsia="Arial" w:hAnsi="Arial"/>
                <w:sz w:val="18"/>
                <w:szCs w:val="18"/>
                <w:color w:val="auto"/>
              </w:rPr>
              <w:t>Chairman of the Board of Directors and Chief Executive Officer</w:t>
            </w:r>
          </w:p>
        </w:tc>
        <w:tc>
          <w:tcPr>
            <w:tcW w:w="2320" w:type="dxa"/>
            <w:vAlign w:val="bottom"/>
          </w:tcPr>
          <w:p>
            <w:pPr>
              <w:ind w:left="52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0"/>
        </w:trPr>
        <w:tc>
          <w:tcPr>
            <w:tcW w:w="3820" w:type="dxa"/>
            <w:vAlign w:val="bottom"/>
            <w:tcBorders>
              <w:bottom w:val="single" w:sz="8" w:color="808080"/>
            </w:tcBorders>
          </w:tcPr>
          <w:p>
            <w:pPr>
              <w:spacing w:after="0"/>
              <w:rPr>
                <w:sz w:val="10"/>
                <w:szCs w:val="10"/>
                <w:color w:val="auto"/>
              </w:rPr>
            </w:pPr>
          </w:p>
        </w:tc>
        <w:tc>
          <w:tcPr>
            <w:tcW w:w="52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2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5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820" w:type="dxa"/>
            <w:vAlign w:val="bottom"/>
          </w:tcPr>
          <w:p>
            <w:pPr>
              <w:jc w:val="center"/>
              <w:ind w:right="172"/>
              <w:spacing w:after="0"/>
              <w:rPr>
                <w:sz w:val="20"/>
                <w:szCs w:val="20"/>
                <w:color w:val="auto"/>
              </w:rPr>
            </w:pPr>
            <w:r>
              <w:rPr>
                <w:rFonts w:ascii="Arial" w:cs="Arial" w:eastAsia="Arial" w:hAnsi="Arial"/>
                <w:sz w:val="18"/>
                <w:szCs w:val="18"/>
                <w:color w:val="auto"/>
                <w:w w:val="92"/>
              </w:rPr>
              <w:t>/s/ JOHN STRZEMP</w:t>
            </w:r>
          </w:p>
        </w:tc>
        <w:tc>
          <w:tcPr>
            <w:tcW w:w="528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 (Principal</w:t>
            </w:r>
          </w:p>
        </w:tc>
        <w:tc>
          <w:tcPr>
            <w:tcW w:w="2320" w:type="dxa"/>
            <w:vAlign w:val="bottom"/>
          </w:tcPr>
          <w:p>
            <w:pPr>
              <w:ind w:left="520"/>
              <w:spacing w:after="0"/>
              <w:rPr>
                <w:sz w:val="20"/>
                <w:szCs w:val="20"/>
                <w:color w:val="auto"/>
              </w:rPr>
            </w:pPr>
            <w:r>
              <w:rPr>
                <w:rFonts w:ascii="Arial" w:cs="Arial" w:eastAsia="Arial" w:hAnsi="Arial"/>
                <w:sz w:val="18"/>
                <w:szCs w:val="18"/>
                <w:color w:val="auto"/>
              </w:rPr>
              <w:t>August 19, 2002</w:t>
            </w:r>
          </w:p>
        </w:tc>
        <w:tc>
          <w:tcPr>
            <w:tcW w:w="0" w:type="dxa"/>
            <w:vAlign w:val="bottom"/>
          </w:tcPr>
          <w:p>
            <w:pPr>
              <w:spacing w:after="0"/>
              <w:rPr>
                <w:sz w:val="1"/>
                <w:szCs w:val="1"/>
                <w:color w:val="auto"/>
              </w:rPr>
            </w:pPr>
          </w:p>
        </w:tc>
      </w:tr>
      <w:tr>
        <w:trPr>
          <w:trHeight w:val="127"/>
        </w:trPr>
        <w:tc>
          <w:tcPr>
            <w:tcW w:w="3820" w:type="dxa"/>
            <w:vAlign w:val="bottom"/>
            <w:tcBorders>
              <w:bottom w:val="single" w:sz="8" w:color="808080"/>
            </w:tcBorders>
          </w:tcPr>
          <w:p>
            <w:pPr>
              <w:spacing w:after="0"/>
              <w:rPr>
                <w:sz w:val="11"/>
                <w:szCs w:val="11"/>
                <w:color w:val="auto"/>
              </w:rPr>
            </w:pPr>
          </w:p>
        </w:tc>
        <w:tc>
          <w:tcPr>
            <w:tcW w:w="5280" w:type="dxa"/>
            <w:vAlign w:val="bottom"/>
            <w:vMerge w:val="restart"/>
          </w:tcPr>
          <w:p>
            <w:pPr>
              <w:ind w:left="220"/>
              <w:spacing w:after="0"/>
              <w:rPr>
                <w:sz w:val="20"/>
                <w:szCs w:val="20"/>
                <w:color w:val="auto"/>
              </w:rPr>
            </w:pPr>
            <w:r>
              <w:rPr>
                <w:rFonts w:ascii="Arial" w:cs="Arial" w:eastAsia="Arial" w:hAnsi="Arial"/>
                <w:sz w:val="18"/>
                <w:szCs w:val="18"/>
                <w:color w:val="auto"/>
              </w:rPr>
              <w:t>Financial Officer and Principal Accounting Officer)</w:t>
            </w:r>
          </w:p>
        </w:tc>
        <w:tc>
          <w:tcPr>
            <w:tcW w:w="2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820" w:type="dxa"/>
            <w:vAlign w:val="bottom"/>
            <w:vMerge w:val="restart"/>
          </w:tcPr>
          <w:p>
            <w:pPr>
              <w:jc w:val="center"/>
              <w:spacing w:after="0"/>
              <w:rPr>
                <w:sz w:val="20"/>
                <w:szCs w:val="20"/>
                <w:color w:val="auto"/>
              </w:rPr>
            </w:pPr>
            <w:r>
              <w:rPr>
                <w:rFonts w:ascii="Arial" w:cs="Arial" w:eastAsia="Arial" w:hAnsi="Arial"/>
                <w:sz w:val="18"/>
                <w:szCs w:val="18"/>
                <w:color w:val="auto"/>
                <w:w w:val="86"/>
              </w:rPr>
              <w:t>John Strzemp</w:t>
            </w:r>
          </w:p>
        </w:tc>
        <w:tc>
          <w:tcPr>
            <w:tcW w:w="5280" w:type="dxa"/>
            <w:vAlign w:val="bottom"/>
            <w:vMerge w:val="continue"/>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820" w:type="dxa"/>
            <w:vAlign w:val="bottom"/>
            <w:vMerge w:val="continue"/>
          </w:tcPr>
          <w:p>
            <w:pPr>
              <w:spacing w:after="0"/>
              <w:rPr>
                <w:sz w:val="21"/>
                <w:szCs w:val="21"/>
                <w:color w:val="auto"/>
              </w:rPr>
            </w:pPr>
          </w:p>
        </w:tc>
        <w:tc>
          <w:tcPr>
            <w:tcW w:w="5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5280" w:type="dxa"/>
            <w:vAlign w:val="bottom"/>
          </w:tcPr>
          <w:p>
            <w:pPr>
              <w:jc w:val="center"/>
              <w:ind w:right="1412"/>
              <w:spacing w:after="0"/>
              <w:rPr>
                <w:sz w:val="20"/>
                <w:szCs w:val="20"/>
                <w:color w:val="auto"/>
              </w:rPr>
            </w:pPr>
            <w:r>
              <w:rPr>
                <w:rFonts w:ascii="Arial" w:cs="Arial" w:eastAsia="Arial" w:hAnsi="Arial"/>
                <w:sz w:val="18"/>
                <w:szCs w:val="18"/>
                <w:color w:val="auto"/>
                <w:w w:val="99"/>
              </w:rPr>
              <w:t>II-7</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2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3820" w:type="dxa"/>
            <w:vAlign w:val="bottom"/>
          </w:tcPr>
          <w:p>
            <w:pPr>
              <w:spacing w:after="0"/>
              <w:rPr>
                <w:sz w:val="24"/>
                <w:szCs w:val="24"/>
                <w:color w:val="auto"/>
              </w:rPr>
            </w:pPr>
          </w:p>
        </w:tc>
        <w:tc>
          <w:tcPr>
            <w:tcW w:w="5280" w:type="dxa"/>
            <w:vAlign w:val="bottom"/>
          </w:tcPr>
          <w:p>
            <w:pPr>
              <w:jc w:val="center"/>
              <w:ind w:right="1452"/>
              <w:spacing w:after="0"/>
              <w:rPr>
                <w:sz w:val="20"/>
                <w:szCs w:val="20"/>
                <w:color w:val="auto"/>
              </w:rPr>
            </w:pPr>
            <w:r>
              <w:rPr>
                <w:rFonts w:ascii="Arial" w:cs="Arial" w:eastAsia="Arial" w:hAnsi="Arial"/>
                <w:sz w:val="18"/>
                <w:szCs w:val="18"/>
                <w:b w:val="1"/>
                <w:bCs w:val="1"/>
                <w:color w:val="auto"/>
                <w:w w:val="97"/>
              </w:rPr>
              <w:t>INDEPENDENT AUDITORS' REPORT</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-1623060</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-1623060</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-1057275</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-1057275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-422275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-422275</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2" w:orient="portrait"/>
          <w:cols w:equalWidth="0" w:num="1">
            <w:col w:w="11420"/>
          </w:cols>
          <w:pgMar w:left="240" w:top="356" w:right="239" w:bottom="0" w:gutter="0" w:footer="0" w:header="0"/>
        </w:sectPr>
      </w:pPr>
    </w:p>
    <w:bookmarkStart w:id="123" w:name="page124"/>
    <w:bookmarkEnd w:id="123"/>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have audited the consolidated financial statements of Valvino Lamore and subsidiaries (a development stage company) (the "Company") as of December 31, 2001 and 2000, and the related consolidated statements of operations, members' equity, and cash flows for the year ended December 31, 2001 and for the period from inception (April 21, 2000) to December 31, 2000, and have issued our report thereon dated June 6, 2002; such consolidated financial statements and report are included in the Registration Statement of Wynn Resorts, Inc. on Form S-1. Our audits also included the financial statement schedule of the Company, listed in Item 16(b). This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80" w:type="dxa"/>
            <w:vAlign w:val="bottom"/>
            <w:gridSpan w:val="3"/>
          </w:tcPr>
          <w:p>
            <w:pPr>
              <w:jc w:val="center"/>
              <w:ind w:left="394"/>
              <w:spacing w:after="0"/>
              <w:rPr>
                <w:sz w:val="20"/>
                <w:szCs w:val="20"/>
                <w:color w:val="auto"/>
              </w:rPr>
            </w:pPr>
            <w:r>
              <w:rPr>
                <w:rFonts w:ascii="Arial" w:cs="Arial" w:eastAsia="Arial" w:hAnsi="Arial"/>
                <w:sz w:val="18"/>
                <w:szCs w:val="18"/>
                <w:color w:val="auto"/>
                <w:w w:val="85"/>
              </w:rPr>
              <w:t>S-1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98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74"/>
              <w:spacing w:after="0"/>
              <w:rPr>
                <w:sz w:val="20"/>
                <w:szCs w:val="20"/>
                <w:color w:val="auto"/>
              </w:rPr>
            </w:pPr>
            <w:r>
              <w:rPr>
                <w:rFonts w:ascii="Arial" w:cs="Arial" w:eastAsia="Arial" w:hAnsi="Arial"/>
                <w:sz w:val="18"/>
                <w:szCs w:val="18"/>
                <w:b w:val="1"/>
                <w:bCs w:val="1"/>
                <w:color w:val="auto"/>
                <w:w w:val="89"/>
              </w:rPr>
              <w:t>Valvino Lamore, LLC and Subsidiaries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7"/>
              </w:rPr>
              <w:t>(A Development Stage Company)</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90"/>
              </w:rPr>
              <w:t>Schedule II</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7"/>
              </w:rPr>
              <w:t>Valuation and Qualifying Accounts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3"/>
          </w:tcPr>
          <w:p>
            <w:pPr>
              <w:jc w:val="center"/>
              <w:ind w:right="256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gridSpan w:val="3"/>
          </w:tcPr>
          <w:p>
            <w:pPr>
              <w:jc w:val="center"/>
              <w:ind w:right="2580"/>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74"/>
        </w:trPr>
        <w:tc>
          <w:tcPr>
            <w:tcW w:w="374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2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Beginning of Period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gridSpan w:val="3"/>
          </w:tcPr>
          <w:p>
            <w:pPr>
              <w:jc w:val="center"/>
              <w:ind w:right="258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Year ended December 31, 2001</w:t>
            </w:r>
          </w:p>
        </w:tc>
        <w:tc>
          <w:tcPr>
            <w:tcW w:w="3480" w:type="dxa"/>
            <w:vAlign w:val="bottom"/>
            <w:gridSpan w:val="3"/>
          </w:tcPr>
          <w:p>
            <w:pPr>
              <w:ind w:left="27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1,295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Period ended December 31, 2000</w:t>
            </w:r>
          </w:p>
        </w:tc>
        <w:tc>
          <w:tcPr>
            <w:tcW w:w="348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94"/>
              <w:spacing w:after="0"/>
              <w:rPr>
                <w:sz w:val="20"/>
                <w:szCs w:val="20"/>
                <w:color w:val="auto"/>
              </w:rPr>
            </w:pPr>
            <w:r>
              <w:rPr>
                <w:rFonts w:ascii="Arial" w:cs="Arial" w:eastAsia="Arial" w:hAnsi="Arial"/>
                <w:sz w:val="18"/>
                <w:szCs w:val="18"/>
                <w:color w:val="auto"/>
                <w:w w:val="85"/>
              </w:rPr>
              <w:t>S-2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gridSpan w:val="3"/>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54"/>
              <w:spacing w:after="0"/>
              <w:rPr>
                <w:sz w:val="20"/>
                <w:szCs w:val="20"/>
                <w:color w:val="auto"/>
              </w:rPr>
            </w:pPr>
            <w:r>
              <w:rPr>
                <w:rFonts w:ascii="Arial" w:cs="Arial" w:eastAsia="Arial" w:hAnsi="Arial"/>
                <w:sz w:val="18"/>
                <w:szCs w:val="18"/>
                <w:b w:val="1"/>
                <w:bCs w:val="1"/>
                <w:color w:val="auto"/>
              </w:rPr>
              <w:t>EXHIBIT INDEX</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720" w:type="dxa"/>
            <w:vAlign w:val="bottom"/>
            <w:gridSpan w:val="3"/>
          </w:tcPr>
          <w:p>
            <w:pPr>
              <w:jc w:val="center"/>
              <w:ind w:right="2940"/>
              <w:spacing w:after="0"/>
              <w:rPr>
                <w:sz w:val="20"/>
                <w:szCs w:val="20"/>
                <w:color w:val="auto"/>
              </w:rPr>
            </w:pPr>
            <w:r>
              <w:rPr>
                <w:rFonts w:ascii="Arial" w:cs="Arial" w:eastAsia="Arial" w:hAnsi="Arial"/>
                <w:sz w:val="14"/>
                <w:szCs w:val="14"/>
                <w:b w:val="1"/>
                <w:bCs w:val="1"/>
                <w:color w:val="auto"/>
                <w:w w:val="89"/>
              </w:rPr>
              <w:t>Exhibit</w:t>
            </w: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gridSpan w:val="3"/>
          </w:tcPr>
          <w:p>
            <w:pPr>
              <w:jc w:val="center"/>
              <w:ind w:right="2920"/>
              <w:spacing w:after="0"/>
              <w:rPr>
                <w:sz w:val="20"/>
                <w:szCs w:val="20"/>
                <w:color w:val="auto"/>
              </w:rPr>
            </w:pPr>
            <w:r>
              <w:rPr>
                <w:rFonts w:ascii="Arial" w:cs="Arial" w:eastAsia="Arial" w:hAnsi="Arial"/>
                <w:sz w:val="14"/>
                <w:szCs w:val="14"/>
                <w:b w:val="1"/>
                <w:bCs w:val="1"/>
                <w:color w:val="auto"/>
                <w:w w:val="88"/>
              </w:rPr>
              <w:t>No.</w:t>
            </w:r>
          </w:p>
        </w:tc>
        <w:tc>
          <w:tcPr>
            <w:tcW w:w="3480" w:type="dxa"/>
            <w:vAlign w:val="bottom"/>
            <w:gridSpan w:val="3"/>
          </w:tcPr>
          <w:p>
            <w:pPr>
              <w:ind w:left="920"/>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-3847465</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-3847465</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-1746885</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-1746885</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-1746885</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-1746885</wp:posOffset>
            </wp:positionV>
            <wp:extent cx="1270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-1746885</wp:posOffset>
            </wp:positionV>
            <wp:extent cx="1270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-14605</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-14605</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Incorporation of the Registrant.(1)</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Articles of Registrant (to be adopted prior to the completion of this offering).</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Bylaws of the Registrant.(1)</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Amended and Restated Bylaws of the Registrant (to be adopted prior to the completion of this offering).</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 Godfrey</w:t>
      </w:r>
    </w:p>
    <w:p>
      <w:pPr>
        <w:spacing w:after="0" w:line="9" w:lineRule="exact"/>
        <w:rPr>
          <w:sz w:val="20"/>
          <w:szCs w:val="20"/>
          <w:color w:val="auto"/>
        </w:rPr>
      </w:pPr>
    </w:p>
    <w:p>
      <w:pPr>
        <w:ind w:left="1080" w:right="2680" w:hanging="563"/>
        <w:spacing w:after="0" w:line="250" w:lineRule="auto"/>
        <w:tabs>
          <w:tab w:leader="none" w:pos="106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620" w:hanging="563"/>
        <w:spacing w:after="0" w:line="250" w:lineRule="auto"/>
        <w:tabs>
          <w:tab w:leader="none" w:pos="106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60" w:hanging="563"/>
        <w:spacing w:after="0" w:line="300"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800" w:hanging="651"/>
        <w:spacing w:after="0" w:line="250" w:lineRule="auto"/>
        <w:tabs>
          <w:tab w:leader="none" w:pos="106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w:t>
      </w:r>
    </w:p>
    <w:p>
      <w:pPr>
        <w:spacing w:after="0" w:line="1"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Lease Agreement, dated November 1, 2001, by and between Valvino Lamore, LLC and Wynn Resorts</w:t>
      </w:r>
    </w:p>
    <w:p>
      <w:pPr>
        <w:sectPr>
          <w:pgSz w:w="11900" w:h="16873" w:orient="portrait"/>
          <w:cols w:equalWidth="0" w:num="1">
            <w:col w:w="11420"/>
          </w:cols>
          <w:pgMar w:left="240" w:top="131" w:right="239" w:bottom="0" w:gutter="0" w:footer="0" w:header="0"/>
        </w:sectPr>
      </w:pPr>
    </w:p>
    <w:bookmarkStart w:id="124" w:name="page125"/>
    <w:bookmarkEnd w:id="124"/>
    <w:p>
      <w:pPr>
        <w:ind w:left="1080"/>
        <w:spacing w:after="0"/>
        <w:rPr>
          <w:sz w:val="20"/>
          <w:szCs w:val="20"/>
          <w:color w:val="auto"/>
        </w:rPr>
      </w:pPr>
      <w:r>
        <w:rPr>
          <w:rFonts w:ascii="Arial" w:cs="Arial" w:eastAsia="Arial" w:hAnsi="Arial"/>
          <w:sz w:val="18"/>
          <w:szCs w:val="18"/>
          <w:color w:val="auto"/>
        </w:rPr>
        <w:t>Holdings, LLC.(1)</w:t>
      </w:r>
    </w:p>
    <w:p>
      <w:pPr>
        <w:spacing w:after="0" w:line="15" w:lineRule="exact"/>
        <w:rPr>
          <w:sz w:val="20"/>
          <w:szCs w:val="20"/>
          <w:color w:val="auto"/>
        </w:rPr>
      </w:pPr>
    </w:p>
    <w:p>
      <w:pPr>
        <w:ind w:left="1080" w:right="1499" w:hanging="563"/>
        <w:spacing w:after="0" w:line="250" w:lineRule="auto"/>
        <w:tabs>
          <w:tab w:leader="none" w:pos="1060" w:val="left"/>
        </w:tabs>
        <w:rPr>
          <w:sz w:val="20"/>
          <w:szCs w:val="20"/>
          <w:color w:val="auto"/>
        </w:rPr>
      </w:pPr>
      <w:r>
        <w:rPr>
          <w:rFonts w:ascii="Arial" w:cs="Arial" w:eastAsia="Arial" w:hAnsi="Arial"/>
          <w:sz w:val="18"/>
          <w:szCs w:val="18"/>
          <w:color w:val="auto"/>
        </w:rPr>
        <w:t>10.9</w:t>
        <w:tab/>
        <w:t>Art Rental and Licensing Agreement, dated November 1, 2001, by and between Stephen A. Wynn and Wynn Resorts Holdings, LLC.(1)</w:t>
      </w:r>
    </w:p>
    <w:p>
      <w:pPr>
        <w:spacing w:after="0" w:line="1" w:lineRule="exact"/>
        <w:rPr>
          <w:sz w:val="20"/>
          <w:szCs w:val="20"/>
          <w:color w:val="auto"/>
        </w:rPr>
      </w:pPr>
    </w:p>
    <w:p>
      <w:pPr>
        <w:ind w:left="1080" w:right="1479" w:hanging="651"/>
        <w:spacing w:after="0" w:line="250" w:lineRule="auto"/>
        <w:tabs>
          <w:tab w:leader="none" w:pos="1060" w:val="left"/>
        </w:tabs>
        <w:rPr>
          <w:sz w:val="20"/>
          <w:szCs w:val="20"/>
          <w:color w:val="auto"/>
        </w:rPr>
      </w:pPr>
      <w:r>
        <w:rPr>
          <w:rFonts w:ascii="Arial" w:cs="Arial" w:eastAsia="Arial" w:hAnsi="Arial"/>
          <w:sz w:val="18"/>
          <w:szCs w:val="18"/>
          <w:color w:val="auto"/>
        </w:rPr>
        <w:t>10.10</w:t>
        <w:tab/>
        <w:t>Stockholders Agreement, dated as of April 11, 2002, by and among Stephen A. Wynn, Baron Asset Fund and Aruze USA, Inc.(1)</w:t>
      </w:r>
    </w:p>
    <w:p>
      <w:pPr>
        <w:spacing w:after="0" w:line="1" w:lineRule="exact"/>
        <w:rPr>
          <w:sz w:val="20"/>
          <w:szCs w:val="20"/>
          <w:color w:val="auto"/>
        </w:rPr>
      </w:pPr>
    </w:p>
    <w:p>
      <w:pPr>
        <w:ind w:left="1080" w:right="1319" w:hanging="644"/>
        <w:spacing w:after="0" w:line="250" w:lineRule="auto"/>
        <w:tabs>
          <w:tab w:leader="none" w:pos="1060" w:val="left"/>
        </w:tabs>
        <w:rPr>
          <w:sz w:val="20"/>
          <w:szCs w:val="20"/>
          <w:color w:val="auto"/>
        </w:rPr>
      </w:pPr>
      <w:r>
        <w:rPr>
          <w:rFonts w:ascii="Arial" w:cs="Arial" w:eastAsia="Arial" w:hAnsi="Arial"/>
          <w:sz w:val="18"/>
          <w:szCs w:val="18"/>
          <w:color w:val="auto"/>
        </w:rPr>
        <w:t>10.11</w:t>
        <w:tab/>
        <w:t>Agreement for Guaranteed Maximum Price Construction Services between Wynn Las Vegas, LLC and Marnell Corrao Associates, Inc. for Le Rêve.(1)</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1080" w:right="1379" w:hanging="651"/>
        <w:spacing w:after="0" w:line="250" w:lineRule="auto"/>
        <w:tabs>
          <w:tab w:leader="none" w:pos="1060" w:val="left"/>
        </w:tabs>
        <w:rPr>
          <w:sz w:val="20"/>
          <w:szCs w:val="20"/>
          <w:color w:val="auto"/>
        </w:rPr>
      </w:pPr>
      <w:r>
        <w:rPr>
          <w:rFonts w:ascii="Arial" w:cs="Arial" w:eastAsia="Arial" w:hAnsi="Arial"/>
          <w:sz w:val="18"/>
          <w:szCs w:val="18"/>
          <w:color w:val="auto"/>
        </w:rPr>
        <w:t>10.13</w:t>
        <w:tab/>
        <w:t>Design/Build Agreement, dated June 6, 2002, by and between Wynn Las Vegas, LLC and Bomel Construction Company, Inc.(1)</w:t>
      </w:r>
    </w:p>
    <w:p>
      <w:pPr>
        <w:spacing w:after="0" w:line="1"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2002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6"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Director and Officer Indemnification Agreement</w:t>
      </w:r>
    </w:p>
    <w:p>
      <w:pPr>
        <w:spacing w:after="0" w:line="15" w:lineRule="exact"/>
        <w:rPr>
          <w:sz w:val="20"/>
          <w:szCs w:val="20"/>
          <w:color w:val="auto"/>
        </w:rPr>
      </w:pPr>
    </w:p>
    <w:p>
      <w:pPr>
        <w:ind w:left="1080" w:right="1619" w:hanging="651"/>
        <w:spacing w:after="0" w:line="250" w:lineRule="auto"/>
        <w:tabs>
          <w:tab w:leader="none" w:pos="1060" w:val="left"/>
        </w:tabs>
        <w:rPr>
          <w:sz w:val="20"/>
          <w:szCs w:val="20"/>
          <w:color w:val="auto"/>
        </w:rPr>
      </w:pPr>
      <w:r>
        <w:rPr>
          <w:rFonts w:ascii="Arial" w:cs="Arial" w:eastAsia="Arial" w:hAnsi="Arial"/>
          <w:sz w:val="18"/>
          <w:szCs w:val="18"/>
          <w:color w:val="auto"/>
        </w:rPr>
        <w:t>10.16</w:t>
        <w:tab/>
        <w:t>Employment Agreement, dated April 1, 2002, by and between Wynn Resorts Holdings, LLC and Ronald J. Kramer.(2)</w:t>
      </w:r>
    </w:p>
    <w:p>
      <w:pPr>
        <w:spacing w:after="0" w:line="1" w:lineRule="exact"/>
        <w:rPr>
          <w:sz w:val="20"/>
          <w:szCs w:val="20"/>
          <w:color w:val="auto"/>
        </w:rPr>
      </w:pPr>
    </w:p>
    <w:p>
      <w:pPr>
        <w:jc w:val="center"/>
        <w:ind w:left="520" w:right="140"/>
        <w:spacing w:after="0" w:line="281"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spacing w:after="0" w:line="1" w:lineRule="exact"/>
        <w:rPr>
          <w:sz w:val="20"/>
          <w:szCs w:val="20"/>
          <w:color w:val="auto"/>
        </w:rPr>
      </w:pPr>
    </w:p>
    <w:p>
      <w:pPr>
        <w:ind w:left="1080" w:right="1399" w:hanging="651"/>
        <w:spacing w:after="0" w:line="250" w:lineRule="auto"/>
        <w:tabs>
          <w:tab w:leader="none" w:pos="1060" w:val="left"/>
        </w:tabs>
        <w:rPr>
          <w:sz w:val="20"/>
          <w:szCs w:val="20"/>
          <w:color w:val="auto"/>
        </w:rPr>
      </w:pPr>
      <w:r>
        <w:rPr>
          <w:rFonts w:ascii="Arial" w:cs="Arial" w:eastAsia="Arial" w:hAnsi="Arial"/>
          <w:sz w:val="18"/>
          <w:szCs w:val="18"/>
          <w:color w:val="auto"/>
        </w:rPr>
        <w:t>10.18</w:t>
        <w:tab/>
        <w:t>Amended and Restated Business Loan Agreement, dated as of May 30, 2002, between Bank of America, N.A. and World Travel, LLC.(2)</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2002, by and between Stephen A. Wynn and Wynn Resorts, Limited.(2)</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1080" w:right="2079" w:hanging="738"/>
        <w:spacing w:after="0" w:line="250" w:lineRule="auto"/>
        <w:tabs>
          <w:tab w:leader="none" w:pos="1060" w:val="left"/>
        </w:tabs>
        <w:rPr>
          <w:sz w:val="20"/>
          <w:szCs w:val="20"/>
          <w:color w:val="auto"/>
        </w:rPr>
      </w:pPr>
      <w:r>
        <w:rPr>
          <w:rFonts w:ascii="Arial" w:cs="Arial" w:eastAsia="Arial" w:hAnsi="Arial"/>
          <w:sz w:val="18"/>
          <w:szCs w:val="18"/>
          <w:color w:val="auto"/>
        </w:rPr>
        <w:t>*10.22</w:t>
        <w:tab/>
        <w:t>Agreement, dated as of , between Wynn Design and Development, LLC and Butler/Ashworth Architects, Inc.</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1080" w:right="1479" w:hanging="651"/>
        <w:spacing w:after="0" w:line="281" w:lineRule="auto"/>
        <w:tabs>
          <w:tab w:leader="none" w:pos="10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1080" w:right="1379" w:hanging="651"/>
        <w:spacing w:after="0" w:line="250" w:lineRule="auto"/>
        <w:tabs>
          <w:tab w:leader="none" w:pos="1060" w:val="left"/>
        </w:tabs>
        <w:rPr>
          <w:sz w:val="20"/>
          <w:szCs w:val="20"/>
          <w:color w:val="auto"/>
        </w:rPr>
      </w:pPr>
      <w:r>
        <w:rPr>
          <w:rFonts w:ascii="Arial" w:cs="Arial" w:eastAsia="Arial" w:hAnsi="Arial"/>
          <w:sz w:val="18"/>
          <w:szCs w:val="18"/>
          <w:color w:val="auto"/>
        </w:rPr>
        <w:t>10.25</w:t>
        <w:tab/>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1080" w:right="1459" w:hanging="651"/>
        <w:spacing w:after="0" w:line="250" w:lineRule="auto"/>
        <w:tabs>
          <w:tab w:leader="none" w:pos="1060" w:val="left"/>
        </w:tabs>
        <w:rPr>
          <w:sz w:val="20"/>
          <w:szCs w:val="20"/>
          <w:color w:val="auto"/>
        </w:rPr>
      </w:pPr>
      <w:r>
        <w:rPr>
          <w:rFonts w:ascii="Arial" w:cs="Arial" w:eastAsia="Arial" w:hAnsi="Arial"/>
          <w:sz w:val="18"/>
          <w:szCs w:val="18"/>
          <w:color w:val="auto"/>
        </w:rPr>
        <w:t>10.26</w:t>
        <w:tab/>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w:t>
      </w:r>
    </w:p>
    <w:p>
      <w:pPr>
        <w:spacing w:after="0" w:line="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Schreck Brignone Godfrey (included in Exhibit 5.1).</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LLP.(2)</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Consents of Persons Named to Become Directors.(2)</w:t>
      </w:r>
    </w:p>
    <w:p>
      <w:pPr>
        <w:spacing w:after="0" w:line="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72" w:lineRule="exact"/>
        <w:rPr>
          <w:sz w:val="20"/>
          <w:szCs w:val="20"/>
          <w:color w:val="auto"/>
        </w:rPr>
      </w:pPr>
    </w:p>
    <w:p>
      <w:pPr>
        <w:ind w:left="460" w:hanging="101"/>
        <w:spacing w:after="0"/>
        <w:tabs>
          <w:tab w:leader="none" w:pos="460" w:val="left"/>
        </w:tabs>
        <w:numPr>
          <w:ilvl w:val="1"/>
          <w:numId w:val="168"/>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168"/>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68"/>
        </w:numPr>
        <w:rPr>
          <w:rFonts w:ascii="Arial" w:cs="Arial" w:eastAsia="Arial" w:hAnsi="Arial"/>
          <w:sz w:val="23"/>
          <w:szCs w:val="23"/>
          <w:color w:val="auto"/>
          <w:vertAlign w:val="subscript"/>
        </w:rPr>
      </w:pPr>
      <w:r>
        <w:rPr>
          <w:rFonts w:ascii="Arial" w:cs="Arial" w:eastAsia="Arial" w:hAnsi="Arial"/>
          <w:sz w:val="12"/>
          <w:szCs w:val="12"/>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DESCRIPTION OF ARTWORK</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Company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Le Rêve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Other Financing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Corporate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Issuer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Risks Associated with Our Construction of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General Risks Associated with Our 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Risks Related to 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DIVIDEND POLICY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DILUTION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PRINCIPAL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SELECTED CONSOLIDATED FINANCIAL DATA</w:t>
        </w:r>
      </w:hyperlink>
    </w:p>
    <w:p>
      <w:pPr>
        <w:spacing w:after="0" w:line="9" w:lineRule="exact"/>
        <w:rPr>
          <w:sz w:val="20"/>
          <w:szCs w:val="20"/>
          <w:color w:val="auto"/>
        </w:rPr>
      </w:pPr>
    </w:p>
    <w:p>
      <w:pPr>
        <w:ind w:right="1539"/>
        <w:spacing w:after="0" w:line="250" w:lineRule="auto"/>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BUSINESS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Historical Data for Las Vegas Gaming Industry(1)</w:t>
        </w:r>
      </w:hyperlink>
    </w:p>
    <w:p>
      <w:pPr>
        <w:sectPr>
          <w:pgSz w:w="11900" w:h="16838" w:orient="portrait"/>
          <w:cols w:equalWidth="0" w:num="1">
            <w:col w:w="10219"/>
          </w:cols>
          <w:pgMar w:left="240" w:top="131" w:right="1440" w:bottom="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CONSTRUCTION CONTRACTS FOR LE RÊVE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CONCESSION AGREEMENT WITH THE GOVERNMENT OF MACAU</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REGULATION AND LICENSING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CERTAIN RELATIONSHIPS AND RELATED PARTY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OWNERSHIP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DESCRIPTION OF CERTAIN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SHARES ELIGIBLE FOR FUTURE SALE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U.S. FEDERAL TAX CONSIDERATIONS FOR NON-U.S. 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ind w:right="500"/>
        <w:spacing w:after="0" w:line="250" w:lineRule="auto"/>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VALVINO LAMORE, LLC AND SUBSIDIARIES (A DEVELOPMENT STAGE COMPANY) CONSOLIDATED BALANCE SHEETS (In thousands)</w:t>
        </w:r>
      </w:hyperlink>
      <w:r>
        <w:rPr>
          <w:rFonts w:ascii="Arial" w:cs="Arial" w:eastAsia="Arial" w:hAnsi="Arial"/>
          <w:sz w:val="18"/>
          <w:szCs w:val="18"/>
          <w:u w:val="single" w:color="auto"/>
          <w:color w:val="0000EE"/>
        </w:rPr>
        <w:t xml:space="preserve"> </w:t>
      </w:r>
      <w:hyperlink w:anchor="page99">
        <w:r>
          <w:rPr>
            <w:rFonts w:ascii="Arial" w:cs="Arial" w:eastAsia="Arial" w:hAnsi="Arial"/>
            <w:sz w:val="18"/>
            <w:szCs w:val="18"/>
            <w:u w:val="single" w:color="auto"/>
            <w:color w:val="0000EE"/>
          </w:rPr>
          <w:t>VALVINO LAMORE, LLC AND SUBSIDIARIES (A DEVELOPMENT STAGE COMPANY) CONSOLIDATED STATEMENTS OF OPERATIONS (In</w:t>
        </w:r>
      </w:hyperlink>
      <w:r>
        <w:rPr>
          <w:rFonts w:ascii="Arial" w:cs="Arial" w:eastAsia="Arial" w:hAnsi="Arial"/>
          <w:sz w:val="18"/>
          <w:szCs w:val="18"/>
          <w:u w:val="single" w:color="auto"/>
          <w:color w:val="0000EE"/>
        </w:rPr>
        <w:t xml:space="preserve"> </w:t>
      </w:r>
      <w:hyperlink w:anchor="page99">
        <w:r>
          <w:rPr>
            <w:rFonts w:ascii="Arial" w:cs="Arial" w:eastAsia="Arial" w:hAnsi="Arial"/>
            <w:sz w:val="18"/>
            <w:szCs w:val="18"/>
            <w:u w:val="single" w:color="auto"/>
            <w:color w:val="0000EE"/>
          </w:rPr>
          <w:t>thousands, except share data)</w:t>
        </w:r>
      </w:hyperlink>
    </w:p>
    <w:p>
      <w:pPr>
        <w:spacing w:after="0" w:line="1" w:lineRule="exact"/>
        <w:rPr>
          <w:rFonts w:ascii="Arial" w:cs="Arial" w:eastAsia="Arial" w:hAnsi="Arial"/>
          <w:sz w:val="18"/>
          <w:szCs w:val="18"/>
          <w:u w:val="single" w:color="auto"/>
          <w:color w:val="0000EE"/>
        </w:rPr>
      </w:pPr>
    </w:p>
    <w:p>
      <w:pPr>
        <w:ind w:right="220"/>
        <w:spacing w:after="0" w:line="250" w:lineRule="auto"/>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VALVINO LAMORE, LLC AND SUBSIDIARIES (A DEVELOPMENT STAGE COMPANY) CONSOLIDATED STATEMENTS OF MEMBERS' EQUITY</w:t>
        </w:r>
      </w:hyperlink>
      <w:r>
        <w:rPr>
          <w:rFonts w:ascii="Arial" w:cs="Arial" w:eastAsia="Arial" w:hAnsi="Arial"/>
          <w:sz w:val="18"/>
          <w:szCs w:val="18"/>
          <w:u w:val="single" w:color="auto"/>
          <w:color w:val="0000EE"/>
        </w:rPr>
        <w:t xml:space="preserve"> </w:t>
      </w:r>
      <w:hyperlink w:anchor="page99">
        <w:r>
          <w:rPr>
            <w:rFonts w:ascii="Arial" w:cs="Arial" w:eastAsia="Arial" w:hAnsi="Arial"/>
            <w:sz w:val="18"/>
            <w:szCs w:val="18"/>
            <w:u w:val="single" w:color="auto"/>
            <w:color w:val="0000EE"/>
          </w:rPr>
          <w:t>(In thousands, except share data)</w:t>
        </w:r>
      </w:hyperlink>
    </w:p>
    <w:p>
      <w:pPr>
        <w:spacing w:after="0" w:line="1" w:lineRule="exact"/>
        <w:rPr>
          <w:sz w:val="20"/>
          <w:szCs w:val="20"/>
          <w:color w:val="auto"/>
        </w:rPr>
      </w:pPr>
    </w:p>
    <w:p>
      <w:pPr>
        <w:ind w:right="460"/>
        <w:spacing w:after="0" w:line="250" w:lineRule="auto"/>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VALVINO LAMORE, LLC AND SUBSIDIARIES (A DEVELOPMENT STAGE COMPANY) CONSOLIDATED STATEMENTS OF CASH FLOWS (In</w:t>
        </w:r>
      </w:hyperlink>
      <w:r>
        <w:rPr>
          <w:rFonts w:ascii="Arial" w:cs="Arial" w:eastAsia="Arial" w:hAnsi="Arial"/>
          <w:sz w:val="18"/>
          <w:szCs w:val="18"/>
          <w:u w:val="single" w:color="auto"/>
          <w:color w:val="0000EE"/>
        </w:rPr>
        <w:t xml:space="preserve"> </w:t>
      </w:r>
      <w:hyperlink w:anchor="page100">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60"/>
        <w:spacing w:after="0" w:line="281" w:lineRule="auto"/>
        <w:rPr>
          <w:rFonts w:ascii="Arial" w:cs="Arial" w:eastAsia="Arial" w:hAnsi="Arial"/>
          <w:sz w:val="16"/>
          <w:szCs w:val="16"/>
          <w:u w:val="single" w:color="auto"/>
          <w:color w:val="0000EE"/>
        </w:rPr>
      </w:pPr>
      <w:hyperlink w:anchor="page101">
        <w:r>
          <w:rPr>
            <w:rFonts w:ascii="Arial" w:cs="Arial" w:eastAsia="Arial" w:hAnsi="Arial"/>
            <w:sz w:val="16"/>
            <w:szCs w:val="16"/>
            <w:u w:val="single" w:color="auto"/>
            <w:color w:val="0000EE"/>
          </w:rPr>
          <w:t>VALVINO LAMORE, LLC AND SUBSIDIARIES (A DEVELOPMENT STAGE COMPANY) NOTES TO CONSOLIDATED FINANCIAL STATEMENTS</w:t>
        </w:r>
      </w:hyperlink>
      <w:r>
        <w:rPr>
          <w:rFonts w:ascii="Arial" w:cs="Arial" w:eastAsia="Arial" w:hAnsi="Arial"/>
          <w:sz w:val="16"/>
          <w:szCs w:val="16"/>
          <w:u w:val="single" w:color="auto"/>
          <w:color w:val="0000EE"/>
        </w:rPr>
        <w:t xml:space="preserve"> </w:t>
      </w:r>
      <w:hyperlink w:anchor="page108">
        <w:r>
          <w:rPr>
            <w:rFonts w:ascii="Arial" w:cs="Arial" w:eastAsia="Arial" w:hAnsi="Arial"/>
            <w:sz w:val="16"/>
            <w:szCs w:val="16"/>
            <w:u w:val="single" w:color="auto"/>
            <w:color w:val="0000EE"/>
          </w:rPr>
          <w:t>VALVINO LAMORE, LLC AND SUBSIDIARIES CONSOLIDATING BALANCE SHEETS As of June 30, 2002 (In thousands) (Unaudited)</w:t>
        </w:r>
      </w:hyperlink>
    </w:p>
    <w:p>
      <w:pPr>
        <w:spacing w:after="0" w:line="1" w:lineRule="exact"/>
        <w:rPr>
          <w:sz w:val="20"/>
          <w:szCs w:val="20"/>
          <w:color w:val="auto"/>
        </w:rPr>
      </w:pPr>
    </w:p>
    <w:p>
      <w:pPr>
        <w:ind w:right="660"/>
        <w:spacing w:after="0" w:line="250" w:lineRule="auto"/>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VALVINO LAMORE, LLC AND SUBSIDIARIES CONSOLIDATING BALANCE SHEETS As of December 31, 2001 (In thousands)</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VALVINO LAMORE, LLC AND SUBSIDIARIES CONSOLIDATING BALANCE SHEETS AS OF DECEMBER 31, 2000 (In Thousands)</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VALVINO LAMORE, LLC AND SUBSIDIARIES CONSOLIDATING STATEMENTS OF OPERATIONS SIX MONTHS ENDED JUNE 30, 2002 (In</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Thousands) (Unaudited)</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VALVINO LAMORE, LLC AND SUBSIDIARIES CONSOLIDATING STATEMENTS OF OPERATIONS Six Months Ended June 30, 2001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VALVINO LAMORE, LLC AND SUBSIDIARIES CONSOLIDATING STATEMENTS OF OPERATIONS Year Ended December 31, 2001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3">
        <w:r>
          <w:rPr>
            <w:rFonts w:ascii="Arial" w:cs="Arial" w:eastAsia="Arial" w:hAnsi="Arial"/>
            <w:sz w:val="16"/>
            <w:szCs w:val="16"/>
            <w:u w:val="single" w:color="auto"/>
            <w:color w:val="0000EE"/>
          </w:rPr>
          <w:t>VALVINO LAMORE, LLC AND SUBSIDIARIES CONSOLIDATING STATEMENTS OF OPERATIONS From Inception to December 31, 2000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3">
        <w:r>
          <w:rPr>
            <w:rFonts w:ascii="Arial" w:cs="Arial" w:eastAsia="Arial" w:hAnsi="Arial"/>
            <w:sz w:val="16"/>
            <w:szCs w:val="16"/>
            <w:u w:val="single" w:color="auto"/>
            <w:color w:val="0000EE"/>
          </w:rPr>
          <w:t>VALVINO LAMORE, LLC AND SUBSIDIARIES CONSOLIDATING STATEMENTS OF OPERATIONS From Inception to June 30, 2002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4">
        <w:r>
          <w:rPr>
            <w:rFonts w:ascii="Arial" w:cs="Arial" w:eastAsia="Arial" w:hAnsi="Arial"/>
            <w:sz w:val="16"/>
            <w:szCs w:val="16"/>
            <w:u w:val="single" w:color="auto"/>
            <w:color w:val="0000EE"/>
          </w:rPr>
          <w:t>VALVINO LAMORE, LLC AND SUBSIDIARIES CONSOLIDATING STATEMENTS OF CASH FLOWS Six Months Ended June 30, 2002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5">
        <w:r>
          <w:rPr>
            <w:rFonts w:ascii="Arial" w:cs="Arial" w:eastAsia="Arial" w:hAnsi="Arial"/>
            <w:sz w:val="16"/>
            <w:szCs w:val="16"/>
            <w:u w:val="single" w:color="auto"/>
            <w:color w:val="0000EE"/>
          </w:rPr>
          <w:t>VALVINO LAMORE, LLC AND SUBSIDIARIES CONSOLIDATING STATEMENTS OF CASH FLOWS Six Months Ended June 30, 2001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6">
        <w:r>
          <w:rPr>
            <w:rFonts w:ascii="Arial" w:cs="Arial" w:eastAsia="Arial" w:hAnsi="Arial"/>
            <w:sz w:val="16"/>
            <w:szCs w:val="16"/>
            <w:u w:val="single" w:color="auto"/>
            <w:color w:val="0000EE"/>
          </w:rPr>
          <w:t>VALVINO LAMORE, LLC AND SUBSIDIARIES CONSOLIDATING STATEMENTS OF CASH FLOWS Year Ended December 31, 2001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7">
        <w:r>
          <w:rPr>
            <w:rFonts w:ascii="Arial" w:cs="Arial" w:eastAsia="Arial" w:hAnsi="Arial"/>
            <w:sz w:val="16"/>
            <w:szCs w:val="16"/>
            <w:u w:val="single" w:color="auto"/>
            <w:color w:val="0000EE"/>
          </w:rPr>
          <w:t>VALVINO LAMORE, LLC AND SUBSIDIARIES CONSOLIDATING STATEMENTS OF CASH FLOWS Inception to December 31, 2000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118">
        <w:r>
          <w:rPr>
            <w:rFonts w:ascii="Arial" w:cs="Arial" w:eastAsia="Arial" w:hAnsi="Arial"/>
            <w:sz w:val="16"/>
            <w:szCs w:val="16"/>
            <w:u w:val="single" w:color="auto"/>
            <w:color w:val="0000EE"/>
          </w:rPr>
          <w:t>VALVINO LAMORE, LLC AND SUBSIDIARIES CONSOLIDATING STATEMENTS OF CASH FLOWS From Inception to June 30, 2002 (In Thousands)</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(Unaudited)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PART II INFORMATION NOT REQUIRED IN PROSPECTUS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SIGNATURES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INDEPENDENT AUDITORS' REPORT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Valvino Lamore, LLC and Subsidiaries (A Development Stage Company) Schedule II Valuation and Qualifying Accounts (In Thousands)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22"/>
          <w:szCs w:val="22"/>
          <w:color w:val="0000EE"/>
        </w:rPr>
      </w:pPr>
      <w:hyperlink w:anchor="page13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10.16</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EMPLOYMENT AGREEMENT</w:t>
      </w:r>
    </w:p>
    <w:p>
      <w:pPr>
        <w:spacing w:after="0" w:line="23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AGREEMENT, dated April 1, 2002, by and between Wynn Resorts, LLC, a Nevada limited liability company (the "Company"), and Ronald J. Kramer (the "Executive").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CONSIDERATION of the premises and the mutual covenants set forth below, the parties hereby agree as follows:</w:t>
      </w:r>
    </w:p>
    <w:p>
      <w:pPr>
        <w:spacing w:after="0" w:line="225" w:lineRule="exact"/>
        <w:rPr>
          <w:sz w:val="20"/>
          <w:szCs w:val="20"/>
          <w:color w:val="auto"/>
        </w:rPr>
      </w:pPr>
    </w:p>
    <w:p>
      <w:pPr>
        <w:ind w:left="660" w:hanging="301"/>
        <w:spacing w:after="0"/>
        <w:tabs>
          <w:tab w:leader="none" w:pos="660"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Employment</w:t>
      </w:r>
      <w:r>
        <w:rPr>
          <w:rFonts w:ascii="Arial" w:cs="Arial" w:eastAsia="Arial" w:hAnsi="Arial"/>
          <w:sz w:val="16"/>
          <w:szCs w:val="16"/>
          <w:color w:val="auto"/>
        </w:rPr>
        <w:t>.  The Company shall employ the Executive, and the Executive hereby accepts such employment, on the terms and conditions hereinafter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set forth.</w:t>
      </w:r>
    </w:p>
    <w:p>
      <w:pPr>
        <w:spacing w:after="0" w:line="218" w:lineRule="exact"/>
        <w:rPr>
          <w:rFonts w:ascii="Arial" w:cs="Arial" w:eastAsia="Arial" w:hAnsi="Arial"/>
          <w:sz w:val="16"/>
          <w:szCs w:val="16"/>
          <w:color w:val="auto"/>
        </w:rPr>
      </w:pPr>
    </w:p>
    <w:p>
      <w:pPr>
        <w:ind w:right="20" w:firstLine="359"/>
        <w:spacing w:after="0" w:line="259" w:lineRule="auto"/>
        <w:tabs>
          <w:tab w:leader="none" w:pos="658"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period of employment of the Executive by the Company under this Agreement (the "Employment Period") shall commence on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(the "Commencement Date") and shall continue through March 31, 2003. The Employment Period may be sooner terminated by either party in accordance with Section 6 of this Agreement.</w:t>
      </w:r>
    </w:p>
    <w:p>
      <w:pPr>
        <w:spacing w:after="0" w:line="194" w:lineRule="exact"/>
        <w:rPr>
          <w:rFonts w:ascii="Arial" w:cs="Arial" w:eastAsia="Arial" w:hAnsi="Arial"/>
          <w:sz w:val="18"/>
          <w:szCs w:val="18"/>
          <w:color w:val="auto"/>
        </w:rPr>
      </w:pPr>
    </w:p>
    <w:p>
      <w:pPr>
        <w:ind w:right="160" w:firstLine="359"/>
        <w:spacing w:after="0" w:line="289" w:lineRule="auto"/>
        <w:tabs>
          <w:tab w:leader="none" w:pos="658"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Position and Duties</w:t>
      </w:r>
      <w:r>
        <w:rPr>
          <w:rFonts w:ascii="Arial" w:cs="Arial" w:eastAsia="Arial" w:hAnsi="Arial"/>
          <w:sz w:val="16"/>
          <w:szCs w:val="16"/>
          <w:color w:val="auto"/>
        </w:rPr>
        <w:t>. During the Employment Period, the Executive shall serve as President of the Company, and shall report solely and directly to</w:t>
      </w:r>
      <w:r>
        <w:rPr>
          <w:rFonts w:ascii="Arial" w:cs="Arial" w:eastAsia="Arial" w:hAnsi="Arial"/>
          <w:sz w:val="16"/>
          <w:szCs w:val="16"/>
          <w:i w:val="1"/>
          <w:iCs w:val="1"/>
          <w:color w:val="auto"/>
        </w:rPr>
        <w:t xml:space="preserve"> </w:t>
      </w:r>
      <w:r>
        <w:rPr>
          <w:rFonts w:ascii="Arial" w:cs="Arial" w:eastAsia="Arial" w:hAnsi="Arial"/>
          <w:sz w:val="16"/>
          <w:szCs w:val="16"/>
          <w:color w:val="auto"/>
        </w:rPr>
        <w:t>Stephen A. Wynn ("Wynn"). The Executive's powers and duties primarily shall be advising Wynn, the Company or any Affiliate (as defined hereinafter) respecting acquisitions, mergers, strategic planning, financial strategies and the placement of debt and/or equity, and such other powers and duties as may be,agreed to between Wynn and the Executive. The Executive shall devote the whole of the Executive's normal and customary working time and best efforts solely to the performance of the Executive's duties under this Agreement. Notwithstanding the above, the Executive shall be !permitted, to the extent such activities do not materially interfere with the performance by the Executive of his duties and responsibilities hereunder, to (i) manage the Executive's personal, financial and legal affairs, (ii) serve on civic and charitable boards or committees, (iii) serve on the board or committees of the entities identified on Exhibit "A" and (iv) perform consulting services, directly or through an affiliate, for the entities identified on Exhibit "B".</w:t>
      </w:r>
    </w:p>
    <w:p>
      <w:pPr>
        <w:spacing w:after="0" w:line="172" w:lineRule="exact"/>
        <w:rPr>
          <w:rFonts w:ascii="Arial" w:cs="Arial" w:eastAsia="Arial" w:hAnsi="Arial"/>
          <w:sz w:val="16"/>
          <w:szCs w:val="16"/>
          <w:color w:val="auto"/>
        </w:rPr>
      </w:pPr>
    </w:p>
    <w:p>
      <w:pPr>
        <w:ind w:right="280" w:firstLine="359"/>
        <w:spacing w:after="0" w:line="259" w:lineRule="auto"/>
        <w:tabs>
          <w:tab w:leader="none" w:pos="658"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Place of Performance</w:t>
      </w:r>
      <w:r>
        <w:rPr>
          <w:rFonts w:ascii="Arial" w:cs="Arial" w:eastAsia="Arial" w:hAnsi="Arial"/>
          <w:sz w:val="18"/>
          <w:szCs w:val="18"/>
          <w:color w:val="auto"/>
        </w:rPr>
        <w:t>. The principal place of employment of the Executive shall be at the Company's principal executive offices in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Nevada; provided, however, that the Executive shall not be required to reside in Las Vegas, Nevada, and specifically shall be permitted to reside in New York, New York.</w:t>
      </w:r>
    </w:p>
    <w:p>
      <w:pPr>
        <w:spacing w:after="0" w:line="194" w:lineRule="exact"/>
        <w:rPr>
          <w:rFonts w:ascii="Arial" w:cs="Arial" w:eastAsia="Arial" w:hAnsi="Arial"/>
          <w:sz w:val="18"/>
          <w:szCs w:val="18"/>
          <w:color w:val="auto"/>
        </w:rPr>
      </w:pPr>
    </w:p>
    <w:p>
      <w:pPr>
        <w:ind w:left="660" w:hanging="301"/>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Compensation and Related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right="160" w:firstLine="359"/>
        <w:spacing w:after="0" w:line="332" w:lineRule="auto"/>
        <w:tabs>
          <w:tab w:leader="none" w:pos="1174" w:val="left"/>
        </w:tabs>
        <w:numPr>
          <w:ilvl w:val="1"/>
          <w:numId w:val="169"/>
        </w:numPr>
        <w:rPr>
          <w:rFonts w:ascii="Arial" w:cs="Arial" w:eastAsia="Arial" w:hAnsi="Arial"/>
          <w:sz w:val="16"/>
          <w:szCs w:val="16"/>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During the Employment Period, the Company shall pay the Executive a base salary at the rate of $1,000,000 per year (the "Base</w:t>
      </w:r>
      <w:r>
        <w:rPr>
          <w:rFonts w:ascii="Arial" w:cs="Arial" w:eastAsia="Arial" w:hAnsi="Arial"/>
          <w:sz w:val="16"/>
          <w:szCs w:val="16"/>
          <w:i w:val="1"/>
          <w:iCs w:val="1"/>
          <w:color w:val="auto"/>
        </w:rPr>
        <w:t xml:space="preserve"> </w:t>
      </w:r>
      <w:r>
        <w:rPr>
          <w:rFonts w:ascii="Arial" w:cs="Arial" w:eastAsia="Arial" w:hAnsi="Arial"/>
          <w:sz w:val="16"/>
          <w:szCs w:val="16"/>
          <w:color w:val="auto"/>
        </w:rPr>
        <w:t>Salary"). The Executive's Base Salary shall be paid in approximately equal installments in accordance with the Company's customary payroll practices.</w:t>
      </w:r>
    </w:p>
    <w:p>
      <w:pPr>
        <w:spacing w:after="0" w:line="139" w:lineRule="exact"/>
        <w:rPr>
          <w:rFonts w:ascii="Arial" w:cs="Arial" w:eastAsia="Arial" w:hAnsi="Arial"/>
          <w:sz w:val="16"/>
          <w:szCs w:val="16"/>
          <w:color w:val="auto"/>
        </w:rPr>
      </w:pPr>
    </w:p>
    <w:p>
      <w:pPr>
        <w:ind w:left="1200" w:hanging="301"/>
        <w:spacing w:after="0"/>
        <w:tabs>
          <w:tab w:leader="none" w:pos="1200" w:val="left"/>
        </w:tabs>
        <w:numPr>
          <w:ilvl w:val="1"/>
          <w:numId w:val="169"/>
        </w:numPr>
        <w:rPr>
          <w:rFonts w:ascii="Arial" w:cs="Arial" w:eastAsia="Arial" w:hAnsi="Arial"/>
          <w:sz w:val="18"/>
          <w:szCs w:val="18"/>
          <w:color w:val="auto"/>
        </w:rPr>
      </w:pPr>
      <w:r>
        <w:rPr>
          <w:rFonts w:ascii="Arial" w:cs="Arial" w:eastAsia="Arial" w:hAnsi="Arial"/>
          <w:sz w:val="18"/>
          <w:szCs w:val="18"/>
          <w:i w:val="1"/>
          <w:iCs w:val="1"/>
          <w:color w:val="auto"/>
        </w:rPr>
        <w:t>Bonus</w:t>
      </w:r>
      <w:r>
        <w:rPr>
          <w:rFonts w:ascii="Arial" w:cs="Arial" w:eastAsia="Arial" w:hAnsi="Arial"/>
          <w:sz w:val="18"/>
          <w:szCs w:val="18"/>
          <w:color w:val="auto"/>
        </w:rPr>
        <w:t>.  In addition to the Base Salary, the Executive shall be paid a bonus or bonuses as follows:</w:t>
      </w:r>
    </w:p>
    <w:p>
      <w:pPr>
        <w:spacing w:after="0" w:line="225" w:lineRule="exact"/>
        <w:rPr>
          <w:rFonts w:ascii="Arial" w:cs="Arial" w:eastAsia="Arial" w:hAnsi="Arial"/>
          <w:sz w:val="18"/>
          <w:szCs w:val="18"/>
          <w:color w:val="auto"/>
        </w:rPr>
      </w:pPr>
    </w:p>
    <w:p>
      <w:pPr>
        <w:ind w:left="1080" w:right="360" w:firstLine="360"/>
        <w:spacing w:after="0" w:line="370" w:lineRule="auto"/>
        <w:tabs>
          <w:tab w:leader="none" w:pos="1772" w:val="left"/>
        </w:tabs>
        <w:numPr>
          <w:ilvl w:val="2"/>
          <w:numId w:val="169"/>
        </w:numPr>
        <w:rPr>
          <w:rFonts w:ascii="Arial" w:cs="Arial" w:eastAsia="Arial" w:hAnsi="Arial"/>
          <w:sz w:val="15"/>
          <w:szCs w:val="15"/>
          <w:color w:val="auto"/>
        </w:rPr>
      </w:pPr>
      <w:r>
        <w:rPr>
          <w:rFonts w:ascii="Arial" w:cs="Arial" w:eastAsia="Arial" w:hAnsi="Arial"/>
          <w:sz w:val="15"/>
          <w:szCs w:val="15"/>
          <w:color w:val="auto"/>
        </w:rPr>
        <w:t>not less than $1,250,000 earned upon the completion of the commitment for the financing for the Le Reve Las Vegas project if such financing is committed for during the Employment Period, and payable from the first proceeds received therefrom whenever received; and</w:t>
      </w:r>
    </w:p>
    <w:p>
      <w:pPr>
        <w:spacing w:after="0" w:line="116" w:lineRule="exact"/>
        <w:rPr>
          <w:rFonts w:ascii="Arial" w:cs="Arial" w:eastAsia="Arial" w:hAnsi="Arial"/>
          <w:sz w:val="15"/>
          <w:szCs w:val="15"/>
          <w:color w:val="auto"/>
        </w:rPr>
      </w:pPr>
    </w:p>
    <w:p>
      <w:pPr>
        <w:jc w:val="both"/>
        <w:ind w:left="1080" w:right="360" w:firstLine="360"/>
        <w:spacing w:after="0" w:line="259" w:lineRule="auto"/>
        <w:tabs>
          <w:tab w:leader="none" w:pos="1734" w:val="left"/>
        </w:tabs>
        <w:numPr>
          <w:ilvl w:val="2"/>
          <w:numId w:val="169"/>
        </w:numPr>
        <w:rPr>
          <w:rFonts w:ascii="Arial" w:cs="Arial" w:eastAsia="Arial" w:hAnsi="Arial"/>
          <w:sz w:val="18"/>
          <w:szCs w:val="18"/>
          <w:color w:val="auto"/>
        </w:rPr>
      </w:pPr>
      <w:r>
        <w:rPr>
          <w:rFonts w:ascii="Arial" w:cs="Arial" w:eastAsia="Arial" w:hAnsi="Arial"/>
          <w:sz w:val="18"/>
          <w:szCs w:val="18"/>
          <w:color w:val="auto"/>
        </w:rPr>
        <w:t>a fair and reasonable amount payable at closing arising out of any merger or acquisition transaction and its associated debt or equity financing that is entered into by Wynn, the Company or any Affiliate and respecting which the Executive materially participated in during the Employment Period.</w:t>
      </w:r>
    </w:p>
    <w:p>
      <w:pPr>
        <w:spacing w:after="0" w:line="194" w:lineRule="exact"/>
        <w:rPr>
          <w:rFonts w:ascii="Arial" w:cs="Arial" w:eastAsia="Arial" w:hAnsi="Arial"/>
          <w:sz w:val="18"/>
          <w:szCs w:val="18"/>
          <w:color w:val="auto"/>
        </w:rPr>
      </w:pPr>
    </w:p>
    <w:p>
      <w:pPr>
        <w:ind w:left="540" w:right="180" w:firstLine="359"/>
        <w:spacing w:after="0" w:line="332" w:lineRule="auto"/>
        <w:tabs>
          <w:tab w:leader="none" w:pos="1174" w:val="left"/>
        </w:tabs>
        <w:numPr>
          <w:ilvl w:val="1"/>
          <w:numId w:val="169"/>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promptly shall reimburse the Executive for all reasonable and necessary business expenses upon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itemized statements of such expenses. Such expenses shall include first class airfare for all air travel, including flying from the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62"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residence in New York to and from Las Vegas. In addition, during the Employment Period, the Executive shall be entitled to, at the sole expense of the Company, the use of an automobile in Las Vegas appropriate to his position.</w:t>
      </w:r>
    </w:p>
    <w:p>
      <w:pPr>
        <w:spacing w:after="0" w:line="186" w:lineRule="exact"/>
        <w:rPr>
          <w:sz w:val="20"/>
          <w:szCs w:val="20"/>
          <w:color w:val="auto"/>
        </w:rPr>
      </w:pPr>
    </w:p>
    <w:p>
      <w:pPr>
        <w:ind w:left="1200" w:hanging="301"/>
        <w:spacing w:after="0"/>
        <w:tabs>
          <w:tab w:leader="none" w:pos="1200" w:val="left"/>
        </w:tabs>
        <w:numPr>
          <w:ilvl w:val="1"/>
          <w:numId w:val="170"/>
        </w:numPr>
        <w:rPr>
          <w:rFonts w:ascii="Arial" w:cs="Arial" w:eastAsia="Arial" w:hAnsi="Arial"/>
          <w:sz w:val="16"/>
          <w:szCs w:val="16"/>
          <w:color w:val="auto"/>
        </w:rPr>
      </w:pPr>
      <w:r>
        <w:rPr>
          <w:rFonts w:ascii="Arial" w:cs="Arial" w:eastAsia="Arial" w:hAnsi="Arial"/>
          <w:sz w:val="16"/>
          <w:szCs w:val="16"/>
          <w:i w:val="1"/>
          <w:iCs w:val="1"/>
          <w:color w:val="auto"/>
        </w:rPr>
        <w:t>Vacation</w:t>
      </w:r>
      <w:r>
        <w:rPr>
          <w:rFonts w:ascii="Arial" w:cs="Arial" w:eastAsia="Arial" w:hAnsi="Arial"/>
          <w:sz w:val="16"/>
          <w:szCs w:val="16"/>
          <w:color w:val="auto"/>
        </w:rPr>
        <w:t>.  The Executive shall be entitled to 4 weeks of paid vacation, as well as paid holidays and sick days in accordance with the Company's</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policies.</w:t>
      </w:r>
    </w:p>
    <w:p>
      <w:pPr>
        <w:spacing w:after="0" w:line="218" w:lineRule="exact"/>
        <w:rPr>
          <w:rFonts w:ascii="Arial" w:cs="Arial" w:eastAsia="Arial" w:hAnsi="Arial"/>
          <w:sz w:val="16"/>
          <w:szCs w:val="16"/>
          <w:color w:val="auto"/>
        </w:rPr>
      </w:pPr>
    </w:p>
    <w:p>
      <w:pPr>
        <w:ind w:left="540" w:right="260" w:firstLine="359"/>
        <w:spacing w:after="0" w:line="332" w:lineRule="auto"/>
        <w:tabs>
          <w:tab w:leader="none" w:pos="1174" w:val="left"/>
        </w:tabs>
        <w:numPr>
          <w:ilvl w:val="1"/>
          <w:numId w:val="170"/>
        </w:numPr>
        <w:rPr>
          <w:rFonts w:ascii="Arial" w:cs="Arial" w:eastAsia="Arial" w:hAnsi="Arial"/>
          <w:sz w:val="16"/>
          <w:szCs w:val="16"/>
          <w:color w:val="auto"/>
        </w:rPr>
      </w:pPr>
      <w:r>
        <w:rPr>
          <w:rFonts w:ascii="Arial" w:cs="Arial" w:eastAsia="Arial" w:hAnsi="Arial"/>
          <w:sz w:val="16"/>
          <w:szCs w:val="16"/>
          <w:i w:val="1"/>
          <w:iCs w:val="1"/>
          <w:color w:val="auto"/>
        </w:rPr>
        <w:t>Services Furnished</w:t>
      </w:r>
      <w:r>
        <w:rPr>
          <w:rFonts w:ascii="Arial" w:cs="Arial" w:eastAsia="Arial" w:hAnsi="Arial"/>
          <w:sz w:val="16"/>
          <w:szCs w:val="16"/>
          <w:color w:val="auto"/>
        </w:rPr>
        <w:t>. During the Employment Period, the Company shall furnish the Executive with office space and secretarial assistance in</w:t>
      </w:r>
      <w:r>
        <w:rPr>
          <w:rFonts w:ascii="Arial" w:cs="Arial" w:eastAsia="Arial" w:hAnsi="Arial"/>
          <w:sz w:val="16"/>
          <w:szCs w:val="16"/>
          <w:i w:val="1"/>
          <w:iCs w:val="1"/>
          <w:color w:val="auto"/>
        </w:rPr>
        <w:t xml:space="preserve"> </w:t>
      </w:r>
      <w:r>
        <w:rPr>
          <w:rFonts w:ascii="Arial" w:cs="Arial" w:eastAsia="Arial" w:hAnsi="Arial"/>
          <w:sz w:val="16"/>
          <w:szCs w:val="16"/>
          <w:color w:val="auto"/>
        </w:rPr>
        <w:t>Las Vegas, and such other facilities and services as are reasonable and necessary for him to perform his duties as President.</w:t>
      </w:r>
    </w:p>
    <w:p>
      <w:pPr>
        <w:spacing w:after="0" w:line="139" w:lineRule="exact"/>
        <w:rPr>
          <w:rFonts w:ascii="Arial" w:cs="Arial" w:eastAsia="Arial" w:hAnsi="Arial"/>
          <w:sz w:val="16"/>
          <w:szCs w:val="16"/>
          <w:color w:val="auto"/>
        </w:rPr>
      </w:pPr>
    </w:p>
    <w:p>
      <w:pPr>
        <w:ind w:left="540" w:firstLine="359"/>
        <w:spacing w:after="0" w:line="288" w:lineRule="auto"/>
        <w:tabs>
          <w:tab w:leader="none" w:pos="1242" w:val="left"/>
        </w:tabs>
        <w:numPr>
          <w:ilvl w:val="1"/>
          <w:numId w:val="170"/>
        </w:numPr>
        <w:rPr>
          <w:rFonts w:ascii="Arial" w:cs="Arial" w:eastAsia="Arial" w:hAnsi="Arial"/>
          <w:sz w:val="16"/>
          <w:szCs w:val="16"/>
          <w:color w:val="auto"/>
        </w:rPr>
      </w:pPr>
      <w:r>
        <w:rPr>
          <w:rFonts w:ascii="Arial" w:cs="Arial" w:eastAsia="Arial" w:hAnsi="Arial"/>
          <w:sz w:val="16"/>
          <w:szCs w:val="16"/>
          <w:i w:val="1"/>
          <w:iCs w:val="1"/>
          <w:color w:val="auto"/>
        </w:rPr>
        <w:t>Welfare, Pension. Incentive Benefit Plans and Perquisites</w:t>
      </w:r>
      <w:r>
        <w:rPr>
          <w:rFonts w:ascii="Arial" w:cs="Arial" w:eastAsia="Arial" w:hAnsi="Arial"/>
          <w:sz w:val="16"/>
          <w:szCs w:val="16"/>
          <w:color w:val="auto"/>
        </w:rPr>
        <w:t>. During the Employment Period, the Executive (and his spouse and dependents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extent provided therein) shall be entitled to participate in and be covered under all the welfare benefit plans or programs maintained by the Company from time to time for the benefit of its senior executives including, without limitation, all medical, hospitalization, dental, disability, life, accidental death and dismemberment and travel accident insurance plans and programs. The Company shall at all times provide to the Executive (and his spouse and dependents to the extent provided under the applicable plans or programs) (subject to modifications affecting all senior executive officers) the same type and levels of participation and benefits as are being provided to other senior executives (and their spouses and dependents to the extent provided under the applicable plans or programs) on the Commencement Date. In addition, during the Employment Period, the Executive shall be eligible to participate in all pension, retirement, savings and other employee benefit plans and programs maintained from time to time by the Company for the benefit of its senior executives.</w:t>
      </w:r>
    </w:p>
    <w:p>
      <w:pPr>
        <w:spacing w:after="0" w:line="173" w:lineRule="exact"/>
        <w:rPr>
          <w:rFonts w:ascii="Arial" w:cs="Arial" w:eastAsia="Arial" w:hAnsi="Arial"/>
          <w:sz w:val="16"/>
          <w:szCs w:val="16"/>
          <w:color w:val="auto"/>
        </w:rPr>
      </w:pPr>
    </w:p>
    <w:p>
      <w:pPr>
        <w:ind w:left="660" w:hanging="301"/>
        <w:spacing w:after="0"/>
        <w:tabs>
          <w:tab w:leader="none" w:pos="660"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Executive's employment hereunder may be terminated during the Employment Period under any one of the following circumstances:</w:t>
      </w:r>
    </w:p>
    <w:p>
      <w:pPr>
        <w:spacing w:after="0" w:line="248" w:lineRule="exact"/>
        <w:rPr>
          <w:rFonts w:ascii="Arial" w:cs="Arial" w:eastAsia="Arial" w:hAnsi="Arial"/>
          <w:sz w:val="16"/>
          <w:szCs w:val="16"/>
          <w:color w:val="auto"/>
        </w:rPr>
      </w:pPr>
    </w:p>
    <w:p>
      <w:pPr>
        <w:ind w:left="1180" w:hanging="281"/>
        <w:spacing w:after="0"/>
        <w:tabs>
          <w:tab w:leader="none" w:pos="1180"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The Executive's employment hereunder shall terminate upon his death.</w:t>
      </w:r>
    </w:p>
    <w:p>
      <w:pPr>
        <w:sectPr>
          <w:pgSz w:w="11900" w:h="16838" w:orient="portrait"/>
          <w:cols w:equalWidth="0" w:num="1">
            <w:col w:w="11400"/>
          </w:cols>
          <w:pgMar w:left="240" w:top="361" w:right="259" w:bottom="80" w:gutter="0" w:footer="0" w:header="0"/>
        </w:sectPr>
      </w:pPr>
    </w:p>
    <w:bookmarkStart w:id="127" w:name="page128"/>
    <w:bookmarkEnd w:id="127"/>
    <w:p>
      <w:pPr>
        <w:ind w:left="540" w:firstLine="359"/>
        <w:spacing w:after="0" w:line="255" w:lineRule="auto"/>
        <w:tabs>
          <w:tab w:leader="none" w:pos="1184"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If, as a result of the Executive's incapacity due to physical or mental illness, the Executive shall have been substantially unable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his duties hereunder for an entire period of six (6) consecutive months, and within thirty (30) days after written Notice of Termination is given after such six (6) month period, the Executive shall not have returned to the substantial performance of his duties on a full-time basis, the Company shall have the right to terminate the Executive's employment hereunder for "Disability", and such termination in and of itself shall not be, nor shall it be deemed to be, a breach of this Agreement.</w:t>
      </w:r>
    </w:p>
    <w:p>
      <w:pPr>
        <w:spacing w:after="0" w:line="196" w:lineRule="exact"/>
        <w:rPr>
          <w:rFonts w:ascii="Arial" w:cs="Arial" w:eastAsia="Arial" w:hAnsi="Arial"/>
          <w:sz w:val="18"/>
          <w:szCs w:val="18"/>
          <w:color w:val="auto"/>
        </w:rPr>
      </w:pPr>
    </w:p>
    <w:p>
      <w:pPr>
        <w:ind w:left="540" w:right="40" w:firstLine="359"/>
        <w:spacing w:after="0" w:line="259" w:lineRule="auto"/>
        <w:tabs>
          <w:tab w:leader="none" w:pos="1174"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Cause</w:t>
      </w:r>
      <w:r>
        <w:rPr>
          <w:rFonts w:ascii="Arial" w:cs="Arial" w:eastAsia="Arial" w:hAnsi="Arial"/>
          <w:sz w:val="18"/>
          <w:szCs w:val="18"/>
          <w:color w:val="auto"/>
        </w:rPr>
        <w:t>. The Company shall have the right to terminate the Executive's employment for Cause, and such termination in and of itself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nor shall it be deemed to be, a breach of this Agreement. For purposes of this Agreement, the Company shall have "Cause" to terminate the Executive's employment upon:</w:t>
      </w:r>
    </w:p>
    <w:p>
      <w:pPr>
        <w:spacing w:after="0" w:line="194" w:lineRule="exact"/>
        <w:rPr>
          <w:rFonts w:ascii="Arial" w:cs="Arial" w:eastAsia="Arial" w:hAnsi="Arial"/>
          <w:sz w:val="18"/>
          <w:szCs w:val="18"/>
          <w:color w:val="auto"/>
        </w:rPr>
      </w:pPr>
    </w:p>
    <w:p>
      <w:pPr>
        <w:ind w:left="1780" w:hanging="340"/>
        <w:spacing w:after="0"/>
        <w:tabs>
          <w:tab w:leader="none" w:pos="17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conviction of the Executive of a felony by a court of competent jurisdiction;</w:t>
      </w:r>
    </w:p>
    <w:p>
      <w:pPr>
        <w:spacing w:after="0" w:line="225" w:lineRule="exact"/>
        <w:rPr>
          <w:rFonts w:ascii="Arial" w:cs="Arial" w:eastAsia="Arial" w:hAnsi="Arial"/>
          <w:sz w:val="18"/>
          <w:szCs w:val="18"/>
          <w:color w:val="auto"/>
        </w:rPr>
      </w:pPr>
    </w:p>
    <w:p>
      <w:pPr>
        <w:ind w:left="1080" w:right="280" w:firstLine="360"/>
        <w:spacing w:after="0" w:line="332" w:lineRule="auto"/>
        <w:tabs>
          <w:tab w:leader="none" w:pos="1734"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indictment of the Executive by a state or federal grand jury of competent jurisdiction for embezzlement or misappropriation of the Company's or any Affiliate's funds or for any act of dishonesty or lack of fidelity towards the Company or any Affiliate;</w:t>
      </w:r>
    </w:p>
    <w:p>
      <w:pPr>
        <w:spacing w:after="0" w:line="139" w:lineRule="exact"/>
        <w:rPr>
          <w:rFonts w:ascii="Arial" w:cs="Arial" w:eastAsia="Arial" w:hAnsi="Arial"/>
          <w:sz w:val="16"/>
          <w:szCs w:val="16"/>
          <w:color w:val="auto"/>
        </w:rPr>
      </w:pPr>
    </w:p>
    <w:p>
      <w:pPr>
        <w:ind w:left="1800" w:hanging="360"/>
        <w:spacing w:after="0"/>
        <w:tabs>
          <w:tab w:leader="none" w:pos="180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 decree of a court of competent jurisdiction that the Executive is not mentally competent or is unable to handle his own affairs;</w:t>
      </w:r>
    </w:p>
    <w:p>
      <w:pPr>
        <w:spacing w:after="0" w:line="248" w:lineRule="exact"/>
        <w:rPr>
          <w:rFonts w:ascii="Arial" w:cs="Arial" w:eastAsia="Arial" w:hAnsi="Arial"/>
          <w:sz w:val="16"/>
          <w:szCs w:val="16"/>
          <w:color w:val="auto"/>
        </w:rPr>
      </w:pPr>
    </w:p>
    <w:p>
      <w:pPr>
        <w:ind w:left="1080" w:right="660" w:firstLine="360"/>
        <w:spacing w:after="0" w:line="268" w:lineRule="auto"/>
        <w:tabs>
          <w:tab w:leader="none" w:pos="1772"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written confession by the Executive of any act of dishonesty towards the Company or any Affiliate, or any embezzlement or misappropriation of the Company's or any Affiliate's funds;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080" w:right="360" w:firstLine="360"/>
        <w:spacing w:after="0" w:line="298" w:lineRule="auto"/>
        <w:tabs>
          <w:tab w:leader="none" w:pos="172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payment (or, by the operation solely of the effect of a deductible, the failure of payment) by a surety or insurer of a claim under a fidelity bond issued to the benefit of the Company or any Affiliate reimbursing the Company or an Affiliate for a loss due the wrongful act or wrongful omission to act of the Executive (the occurrence of which shall cause the Executive to be indebted to the Company for the lesser of either (A) the loss incurred or (B) the sums paid by the Company to the Executive pursuant to this Agreement);</w:t>
      </w:r>
    </w:p>
    <w:p>
      <w:pPr>
        <w:spacing w:after="0" w:line="166" w:lineRule="exact"/>
        <w:rPr>
          <w:rFonts w:ascii="Arial" w:cs="Arial" w:eastAsia="Arial" w:hAnsi="Arial"/>
          <w:sz w:val="16"/>
          <w:szCs w:val="16"/>
          <w:color w:val="auto"/>
        </w:rPr>
      </w:pPr>
    </w:p>
    <w:p>
      <w:pPr>
        <w:ind w:left="1780" w:hanging="340"/>
        <w:spacing w:after="0"/>
        <w:tabs>
          <w:tab w:leader="none" w:pos="17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Executive's breach of any of the restrictive covenants set forth in Sections 10 and 11 of this Agreement;</w:t>
      </w:r>
    </w:p>
    <w:p>
      <w:pPr>
        <w:spacing w:after="0" w:line="225" w:lineRule="exact"/>
        <w:rPr>
          <w:rFonts w:ascii="Arial" w:cs="Arial" w:eastAsia="Arial" w:hAnsi="Arial"/>
          <w:sz w:val="18"/>
          <w:szCs w:val="18"/>
          <w:color w:val="auto"/>
        </w:rPr>
      </w:pPr>
    </w:p>
    <w:p>
      <w:pPr>
        <w:ind w:left="1080" w:right="200" w:firstLine="360"/>
        <w:spacing w:after="0" w:line="259" w:lineRule="auto"/>
        <w:tabs>
          <w:tab w:leader="none" w:pos="177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Executive's failure to timely obtain (if necessary) and thereafter to maintain in force and in good standing any and all licenses, permits and/or approvals required of the Executive by the relevant governmental authorities for the discharge of the obligations of the Executive under this Agreement;</w:t>
      </w:r>
    </w:p>
    <w:p>
      <w:pPr>
        <w:spacing w:after="0" w:line="19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(viii)the Executive's material violation of any statutory or common law duty of loyalty to the Company, Wynn or any Affiliate; or</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(ix) willful misconduct that is materially and demonstrably injurious economically to the Company or any Affiliate;</w:t>
      </w:r>
    </w:p>
    <w:p>
      <w:pPr>
        <w:spacing w:after="0" w:line="225" w:lineRule="exact"/>
        <w:rPr>
          <w:sz w:val="20"/>
          <w:szCs w:val="20"/>
          <w:color w:val="auto"/>
        </w:rPr>
      </w:pPr>
    </w:p>
    <w:p>
      <w:pPr>
        <w:ind w:left="540" w:right="360" w:firstLine="351"/>
        <w:spacing w:after="0" w:line="26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Executive's disability due to illness or accident or any other mental or physical incapacity shall not constitute "Cause"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herein.</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purposes of this Section 6(c), no act, or failure to act, by the Executive shall be considered "willful" unless committed in bad faith and without a reasonable belief that the act or omission was in the best interests of the Company or Wynn, or any entity in control of, controlled by or under common control with the Company or Wynn ("Affiliate"). The Executive shall have ten (10) days after receipt of a Notice of Termination to remedy the facts and circumstances claimed to provide the basis for termination for Cause.</w:t>
      </w:r>
    </w:p>
    <w:p>
      <w:pPr>
        <w:spacing w:after="0" w:line="197" w:lineRule="exact"/>
        <w:rPr>
          <w:sz w:val="20"/>
          <w:szCs w:val="20"/>
          <w:color w:val="auto"/>
        </w:rPr>
      </w:pPr>
    </w:p>
    <w:p>
      <w:pPr>
        <w:ind w:left="540" w:right="640" w:firstLine="359"/>
        <w:spacing w:after="0" w:line="268" w:lineRule="auto"/>
        <w:tabs>
          <w:tab w:leader="none" w:pos="1184"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Good Reason</w:t>
      </w:r>
      <w:r>
        <w:rPr>
          <w:rFonts w:ascii="Arial" w:cs="Arial" w:eastAsia="Arial" w:hAnsi="Arial"/>
          <w:sz w:val="18"/>
          <w:szCs w:val="18"/>
          <w:color w:val="auto"/>
        </w:rPr>
        <w:t>. The Executive may terminate his employment for "Good Reason" within ninety (90) days after the Executive has actual</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occurrence, without the written consent of the Executive, of one of the following events:</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 any change in the duties or responsibilities of the Executive that is inconsistent in any material and adverse respect with the</w:t>
      </w:r>
    </w:p>
    <w:p>
      <w:pPr>
        <w:spacing w:after="0" w:line="38" w:lineRule="exact"/>
        <w:rPr>
          <w:rFonts w:ascii="Arial" w:cs="Arial" w:eastAsia="Arial" w:hAnsi="Arial"/>
          <w:sz w:val="16"/>
          <w:szCs w:val="16"/>
          <w:color w:val="auto"/>
        </w:rPr>
      </w:pPr>
    </w:p>
    <w:p>
      <w:pPr>
        <w:ind w:left="1080" w:right="20"/>
        <w:spacing w:after="0" w:line="323" w:lineRule="auto"/>
        <w:rPr>
          <w:rFonts w:ascii="Arial" w:cs="Arial" w:eastAsia="Arial" w:hAnsi="Arial"/>
          <w:sz w:val="16"/>
          <w:szCs w:val="16"/>
          <w:color w:val="auto"/>
        </w:rPr>
      </w:pPr>
      <w:r>
        <w:rPr>
          <w:rFonts w:ascii="Arial" w:cs="Arial" w:eastAsia="Arial" w:hAnsi="Arial"/>
          <w:sz w:val="16"/>
          <w:szCs w:val="16"/>
          <w:color w:val="auto"/>
        </w:rPr>
        <w:t>Executive's position, powers, duties or status with the Company (including any material and adverse diminution of such position, powers, duties or status); or (B) a material and adverse change in the Executive's position, powers, duties and status with the Company.</w:t>
      </w:r>
    </w:p>
    <w:p>
      <w:pPr>
        <w:spacing w:after="0" w:line="146" w:lineRule="exact"/>
        <w:rPr>
          <w:rFonts w:ascii="Arial" w:cs="Arial" w:eastAsia="Arial" w:hAnsi="Arial"/>
          <w:sz w:val="16"/>
          <w:szCs w:val="16"/>
          <w:color w:val="auto"/>
        </w:rPr>
      </w:pPr>
    </w:p>
    <w:p>
      <w:pPr>
        <w:ind w:left="1740" w:hanging="300"/>
        <w:spacing w:after="0"/>
        <w:tabs>
          <w:tab w:leader="none" w:pos="17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 reduction in the Executive's Base Salary or the opportunity to earn a bonus pursuant to Section 5(b);</w:t>
      </w:r>
    </w:p>
    <w:p>
      <w:pPr>
        <w:spacing w:after="0" w:line="225" w:lineRule="exact"/>
        <w:rPr>
          <w:rFonts w:ascii="Arial" w:cs="Arial" w:eastAsia="Arial" w:hAnsi="Arial"/>
          <w:sz w:val="18"/>
          <w:szCs w:val="18"/>
          <w:color w:val="auto"/>
        </w:rPr>
      </w:pPr>
    </w:p>
    <w:p>
      <w:pPr>
        <w:ind w:left="1080" w:right="80" w:firstLine="360"/>
        <w:spacing w:after="0" w:line="306" w:lineRule="auto"/>
        <w:tabs>
          <w:tab w:leader="none" w:pos="1782" w:val="left"/>
        </w:tabs>
        <w:numPr>
          <w:ilvl w:val="1"/>
          <w:numId w:val="174"/>
        </w:numPr>
        <w:rPr>
          <w:rFonts w:ascii="Arial" w:cs="Arial" w:eastAsia="Arial" w:hAnsi="Arial"/>
          <w:sz w:val="16"/>
          <w:szCs w:val="16"/>
          <w:color w:val="auto"/>
        </w:rPr>
      </w:pPr>
      <w:r>
        <w:rPr>
          <w:rFonts w:ascii="Arial" w:cs="Arial" w:eastAsia="Arial" w:hAnsi="Arial"/>
          <w:sz w:val="16"/>
          <w:szCs w:val="16"/>
          <w:color w:val="auto"/>
        </w:rPr>
        <w:t>the taking of any action by the Company or any Affiliate which would materially and adversely affect the Executive's participation in or reduce the Executive's benefits under any material employee benefit plan, compensation plan, welfare benefit plan or fringe benefit plan, unless the Executive is permitted to participate in other plans providing the Executive with substantially equivalent benefits at no additional cost;</w:t>
      </w:r>
    </w:p>
    <w:p>
      <w:pPr>
        <w:spacing w:after="0" w:line="160" w:lineRule="exact"/>
        <w:rPr>
          <w:rFonts w:ascii="Arial" w:cs="Arial" w:eastAsia="Arial" w:hAnsi="Arial"/>
          <w:sz w:val="16"/>
          <w:szCs w:val="16"/>
          <w:color w:val="auto"/>
        </w:rPr>
      </w:pPr>
    </w:p>
    <w:p>
      <w:pPr>
        <w:ind w:left="1080" w:right="180" w:firstLine="360"/>
        <w:spacing w:after="0" w:line="268" w:lineRule="auto"/>
        <w:tabs>
          <w:tab w:leader="none" w:pos="1772"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purported termination of the Executive's employment for Cause which is not effected pursuant to Section 6(c) (and for purposes of this Agreement, no such purported termination shall be effective);</w:t>
      </w:r>
    </w:p>
    <w:p>
      <w:pPr>
        <w:spacing w:after="0" w:line="185" w:lineRule="exact"/>
        <w:rPr>
          <w:rFonts w:ascii="Arial" w:cs="Arial" w:eastAsia="Arial" w:hAnsi="Arial"/>
          <w:sz w:val="18"/>
          <w:szCs w:val="18"/>
          <w:color w:val="auto"/>
        </w:rPr>
      </w:pPr>
    </w:p>
    <w:p>
      <w:pPr>
        <w:ind w:left="1740" w:hanging="300"/>
        <w:spacing w:after="0"/>
        <w:tabs>
          <w:tab w:leader="none" w:pos="17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Company's or any Affiliate's failure to provide in all material respects the indemnification set forth in Section 12;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(vi) any other breach of a provision of this Agreement by the Company or any Affiliate.</w:t>
      </w:r>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For purposes of clauses (i) through (vi) above, an isolated, insubstantial and inadvertent action taken in good faith and which is remedied by the Company within ten (10) days after receipt of notice thereof given by the Executive shall not constitute Good Reason. The Executive's right to terminate employment for Good</w:t>
      </w:r>
    </w:p>
    <w:p>
      <w:pPr>
        <w:sectPr>
          <w:pgSz w:w="11900" w:h="16838" w:orient="portrait"/>
          <w:cols w:equalWidth="0" w:num="1">
            <w:col w:w="11420"/>
          </w:cols>
          <w:pgMar w:left="240" w:top="131" w:right="239" w:bottom="0" w:gutter="0" w:footer="0" w:header="0"/>
        </w:sectPr>
      </w:pPr>
    </w:p>
    <w:bookmarkStart w:id="128" w:name="page129"/>
    <w:bookmarkEnd w:id="128"/>
    <w:p>
      <w:pPr>
        <w:ind w:right="20"/>
        <w:spacing w:after="0" w:line="268" w:lineRule="auto"/>
        <w:rPr>
          <w:sz w:val="20"/>
          <w:szCs w:val="20"/>
          <w:color w:val="auto"/>
        </w:rPr>
      </w:pPr>
      <w:r>
        <w:rPr>
          <w:rFonts w:ascii="Arial" w:cs="Arial" w:eastAsia="Arial" w:hAnsi="Arial"/>
          <w:sz w:val="18"/>
          <w:szCs w:val="18"/>
          <w:color w:val="auto"/>
        </w:rPr>
        <w:t>Reason shall not be affected by the Executive's incapacity due to mental or physical illness and the Executive's continued employment shall not constitute consent to, or a waiver of rights with respect to, any event or condition constituting Good Reason.</w:t>
      </w:r>
    </w:p>
    <w:p>
      <w:pPr>
        <w:spacing w:after="0" w:line="186" w:lineRule="exact"/>
        <w:rPr>
          <w:sz w:val="20"/>
          <w:szCs w:val="20"/>
          <w:color w:val="auto"/>
        </w:rPr>
      </w:pPr>
    </w:p>
    <w:p>
      <w:pPr>
        <w:ind w:left="1180" w:hanging="281"/>
        <w:spacing w:after="0"/>
        <w:tabs>
          <w:tab w:leader="none" w:pos="1180" w:val="left"/>
        </w:tabs>
        <w:numPr>
          <w:ilvl w:val="1"/>
          <w:numId w:val="175"/>
        </w:numPr>
        <w:rPr>
          <w:rFonts w:ascii="Arial" w:cs="Arial" w:eastAsia="Arial" w:hAnsi="Arial"/>
          <w:sz w:val="16"/>
          <w:szCs w:val="16"/>
          <w:color w:val="auto"/>
        </w:rPr>
      </w:pPr>
      <w:r>
        <w:rPr>
          <w:rFonts w:ascii="Arial" w:cs="Arial" w:eastAsia="Arial" w:hAnsi="Arial"/>
          <w:sz w:val="16"/>
          <w:szCs w:val="16"/>
          <w:i w:val="1"/>
          <w:iCs w:val="1"/>
          <w:color w:val="auto"/>
        </w:rPr>
        <w:t>Without Cause</w:t>
      </w:r>
      <w:r>
        <w:rPr>
          <w:rFonts w:ascii="Arial" w:cs="Arial" w:eastAsia="Arial" w:hAnsi="Arial"/>
          <w:sz w:val="16"/>
          <w:szCs w:val="16"/>
          <w:color w:val="auto"/>
        </w:rPr>
        <w:t>.  The Company shall have the right to terminate the Executive's employment hereunder without Cause by providing the</w:t>
      </w:r>
    </w:p>
    <w:p>
      <w:pPr>
        <w:spacing w:after="0" w:line="38" w:lineRule="exact"/>
        <w:rPr>
          <w:rFonts w:ascii="Arial" w:cs="Arial" w:eastAsia="Arial" w:hAnsi="Arial"/>
          <w:sz w:val="16"/>
          <w:szCs w:val="16"/>
          <w:color w:val="auto"/>
        </w:rPr>
      </w:pPr>
    </w:p>
    <w:p>
      <w:pPr>
        <w:ind w:left="540" w:right="80"/>
        <w:spacing w:after="0" w:line="261" w:lineRule="auto"/>
        <w:rPr>
          <w:rFonts w:ascii="Arial" w:cs="Arial" w:eastAsia="Arial" w:hAnsi="Arial"/>
          <w:sz w:val="16"/>
          <w:szCs w:val="16"/>
          <w:color w:val="auto"/>
        </w:rPr>
      </w:pPr>
      <w:r>
        <w:rPr>
          <w:rFonts w:ascii="Arial" w:cs="Arial" w:eastAsia="Arial" w:hAnsi="Arial"/>
          <w:sz w:val="18"/>
          <w:szCs w:val="18"/>
          <w:color w:val="auto"/>
        </w:rPr>
        <w:t>Executive with a Notice of Termination, at least thirty (30) days prior to such termination, and such termination shall not in and of itself be, nor shall it be deemed to be, a breach of this Agreement.</w:t>
      </w:r>
    </w:p>
    <w:p>
      <w:pPr>
        <w:spacing w:after="0" w:line="191" w:lineRule="exact"/>
        <w:rPr>
          <w:rFonts w:ascii="Arial" w:cs="Arial" w:eastAsia="Arial" w:hAnsi="Arial"/>
          <w:sz w:val="16"/>
          <w:szCs w:val="16"/>
          <w:color w:val="auto"/>
        </w:rPr>
      </w:pPr>
    </w:p>
    <w:p>
      <w:pPr>
        <w:ind w:left="660" w:hanging="301"/>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Termination Procedure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right="280" w:firstLine="359"/>
        <w:spacing w:after="0" w:line="294" w:lineRule="auto"/>
        <w:tabs>
          <w:tab w:leader="none" w:pos="1174" w:val="left"/>
        </w:tabs>
        <w:numPr>
          <w:ilvl w:val="1"/>
          <w:numId w:val="176"/>
        </w:numPr>
        <w:rPr>
          <w:rFonts w:ascii="Arial" w:cs="Arial" w:eastAsia="Arial" w:hAnsi="Arial"/>
          <w:sz w:val="16"/>
          <w:szCs w:val="16"/>
          <w:color w:val="auto"/>
        </w:rPr>
      </w:pPr>
      <w:r>
        <w:rPr>
          <w:rFonts w:ascii="Arial" w:cs="Arial" w:eastAsia="Arial" w:hAnsi="Arial"/>
          <w:sz w:val="16"/>
          <w:szCs w:val="16"/>
          <w:i w:val="1"/>
          <w:iCs w:val="1"/>
          <w:color w:val="auto"/>
        </w:rPr>
        <w:t>Notice of Termination</w:t>
      </w:r>
      <w:r>
        <w:rPr>
          <w:rFonts w:ascii="Arial" w:cs="Arial" w:eastAsia="Arial" w:hAnsi="Arial"/>
          <w:sz w:val="16"/>
          <w:szCs w:val="16"/>
          <w:color w:val="auto"/>
        </w:rPr>
        <w:t>. Any termination of the Executive's employment by the Company or by the Executive during the Employment Period</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termination pursuant to Section 6(a)) shall be communicated by written Notice of Termination to the other party hereto in accordance with Section 15. For purposes of this Agreement, a "Notice of Termination" shall mean a notice given in good faith which shall indicate the specific termination provision in this Agreement relied upon and shall set forth in reasonable detail the facts and circumstances claimed to provide a basis for termination of the Executive's employment under the provision so indicated.</w:t>
      </w:r>
    </w:p>
    <w:p>
      <w:pPr>
        <w:spacing w:after="0" w:line="169" w:lineRule="exact"/>
        <w:rPr>
          <w:rFonts w:ascii="Arial" w:cs="Arial" w:eastAsia="Arial" w:hAnsi="Arial"/>
          <w:sz w:val="16"/>
          <w:szCs w:val="16"/>
          <w:color w:val="auto"/>
        </w:rPr>
      </w:pPr>
    </w:p>
    <w:p>
      <w:pPr>
        <w:ind w:left="540" w:firstLine="359"/>
        <w:spacing w:after="0" w:line="294" w:lineRule="auto"/>
        <w:tabs>
          <w:tab w:leader="none" w:pos="1184" w:val="left"/>
        </w:tabs>
        <w:numPr>
          <w:ilvl w:val="1"/>
          <w:numId w:val="176"/>
        </w:numPr>
        <w:rPr>
          <w:rFonts w:ascii="Arial" w:cs="Arial" w:eastAsia="Arial" w:hAnsi="Arial"/>
          <w:sz w:val="16"/>
          <w:szCs w:val="16"/>
          <w:color w:val="auto"/>
        </w:rPr>
      </w:pPr>
      <w:r>
        <w:rPr>
          <w:rFonts w:ascii="Arial" w:cs="Arial" w:eastAsia="Arial" w:hAnsi="Arial"/>
          <w:sz w:val="16"/>
          <w:szCs w:val="16"/>
          <w:i w:val="1"/>
          <w:iCs w:val="1"/>
          <w:color w:val="auto"/>
        </w:rPr>
        <w:t>Date of Termination</w:t>
      </w:r>
      <w:r>
        <w:rPr>
          <w:rFonts w:ascii="Arial" w:cs="Arial" w:eastAsia="Arial" w:hAnsi="Arial"/>
          <w:sz w:val="16"/>
          <w:szCs w:val="16"/>
          <w:color w:val="auto"/>
        </w:rPr>
        <w:t>. "Date of Termination" shall mean (i) if the Executive's employment is terminated by his death, the date of his death, (ii) if</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Executive's employment is terminated pursuant to Section 6(b), thirty (30) days after Notice of Termination (provided that the Executive shall not have returned to the substantial performance of his duties on a full-time basis during such thirty (30) day period), and (iii) if the Executive's employment is terminated for any other reason, the date on which it is determined by the Executive or the Company in good faith that the Company or the Executive, as the case may be, has failed to remedy the facts,arid circumstances claimed to provide the basis for termination for Good Reason or for Cause.</w:t>
      </w:r>
    </w:p>
    <w:p>
      <w:pPr>
        <w:spacing w:after="0" w:line="169" w:lineRule="exact"/>
        <w:rPr>
          <w:rFonts w:ascii="Arial" w:cs="Arial" w:eastAsia="Arial" w:hAnsi="Arial"/>
          <w:sz w:val="16"/>
          <w:szCs w:val="16"/>
          <w:color w:val="auto"/>
        </w:rPr>
      </w:pPr>
    </w:p>
    <w:p>
      <w:pPr>
        <w:jc w:val="both"/>
        <w:ind w:right="200" w:firstLine="359"/>
        <w:spacing w:after="0" w:line="306" w:lineRule="auto"/>
        <w:tabs>
          <w:tab w:leader="none" w:pos="658"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Compensation Upon Termination or During Disability</w:t>
      </w:r>
      <w:r>
        <w:rPr>
          <w:rFonts w:ascii="Arial" w:cs="Arial" w:eastAsia="Arial" w:hAnsi="Arial"/>
          <w:sz w:val="16"/>
          <w:szCs w:val="16"/>
          <w:color w:val="auto"/>
        </w:rPr>
        <w:t>. In the event the Executive is disabled or his employment terminates during the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the Company shall provide the Executive with the payments and benefits set forth below. The Executive acknowledges and agrees that the payments set forth in this Section 8 constitute liquidated damages for termination of his employment during the Employment Period.</w:t>
      </w:r>
    </w:p>
    <w:p>
      <w:pPr>
        <w:spacing w:after="0" w:line="160" w:lineRule="exact"/>
        <w:rPr>
          <w:rFonts w:ascii="Arial" w:cs="Arial" w:eastAsia="Arial" w:hAnsi="Arial"/>
          <w:sz w:val="16"/>
          <w:szCs w:val="16"/>
          <w:color w:val="auto"/>
        </w:rPr>
      </w:pPr>
    </w:p>
    <w:p>
      <w:pPr>
        <w:ind w:left="540" w:right="160" w:firstLine="359"/>
        <w:spacing w:after="0" w:line="268" w:lineRule="auto"/>
        <w:tabs>
          <w:tab w:leader="none" w:pos="1174" w:val="left"/>
        </w:tabs>
        <w:numPr>
          <w:ilvl w:val="1"/>
          <w:numId w:val="176"/>
        </w:numPr>
        <w:rPr>
          <w:rFonts w:ascii="Arial" w:cs="Arial" w:eastAsia="Arial" w:hAnsi="Arial"/>
          <w:sz w:val="18"/>
          <w:szCs w:val="18"/>
          <w:color w:val="auto"/>
        </w:rPr>
      </w:pPr>
      <w:r>
        <w:rPr>
          <w:rFonts w:ascii="Arial" w:cs="Arial" w:eastAsia="Arial" w:hAnsi="Arial"/>
          <w:sz w:val="18"/>
          <w:szCs w:val="18"/>
          <w:i w:val="1"/>
          <w:iCs w:val="1"/>
          <w:color w:val="auto"/>
        </w:rPr>
        <w:t>Termination By Company without Cause or By The Executive for Good Reason</w:t>
      </w:r>
      <w:r>
        <w:rPr>
          <w:rFonts w:ascii="Arial" w:cs="Arial" w:eastAsia="Arial" w:hAnsi="Arial"/>
          <w:sz w:val="18"/>
          <w:szCs w:val="18"/>
          <w:color w:val="auto"/>
        </w:rPr>
        <w:t>. If the Executive's employment is terminated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Cause or by the Executive for Good Reason:</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within five (5) business days following such termination, the Company shall pay to the Executive:</w:t>
      </w:r>
    </w:p>
    <w:p>
      <w:pPr>
        <w:spacing w:after="0" w:line="238" w:lineRule="exact"/>
        <w:rPr>
          <w:rFonts w:ascii="Arial" w:cs="Arial" w:eastAsia="Arial" w:hAnsi="Arial"/>
          <w:sz w:val="18"/>
          <w:szCs w:val="18"/>
          <w:color w:val="auto"/>
        </w:rPr>
      </w:pPr>
    </w:p>
    <w:p>
      <w:pPr>
        <w:ind w:left="2700" w:hanging="531"/>
        <w:spacing w:after="0" w:line="268" w:lineRule="auto"/>
        <w:tabs>
          <w:tab w:leader="none" w:pos="2700" w:val="left"/>
        </w:tabs>
        <w:numPr>
          <w:ilvl w:val="3"/>
          <w:numId w:val="176"/>
        </w:numPr>
        <w:rPr>
          <w:rFonts w:ascii="Arial" w:cs="Arial" w:eastAsia="Arial" w:hAnsi="Arial"/>
          <w:sz w:val="18"/>
          <w:szCs w:val="18"/>
          <w:color w:val="auto"/>
        </w:rPr>
      </w:pPr>
      <w:r>
        <w:rPr>
          <w:rFonts w:ascii="Arial" w:cs="Arial" w:eastAsia="Arial" w:hAnsi="Arial"/>
          <w:sz w:val="18"/>
          <w:szCs w:val="18"/>
          <w:color w:val="auto"/>
        </w:rPr>
        <w:t>the unpaid balance of the $1,000,000 Base Salary without any discount or reduction for termination during the Employment Period;</w:t>
      </w:r>
    </w:p>
    <w:p>
      <w:pPr>
        <w:spacing w:after="0" w:line="212" w:lineRule="exact"/>
        <w:rPr>
          <w:rFonts w:ascii="Arial" w:cs="Arial" w:eastAsia="Arial" w:hAnsi="Arial"/>
          <w:sz w:val="18"/>
          <w:szCs w:val="18"/>
          <w:color w:val="auto"/>
        </w:rPr>
      </w:pPr>
    </w:p>
    <w:p>
      <w:pPr>
        <w:ind w:left="2700" w:right="640" w:hanging="531"/>
        <w:spacing w:after="0" w:line="268" w:lineRule="auto"/>
        <w:tabs>
          <w:tab w:leader="none" w:pos="2700" w:val="left"/>
        </w:tabs>
        <w:numPr>
          <w:ilvl w:val="3"/>
          <w:numId w:val="176"/>
        </w:numPr>
        <w:rPr>
          <w:rFonts w:ascii="Arial" w:cs="Arial" w:eastAsia="Arial" w:hAnsi="Arial"/>
          <w:sz w:val="18"/>
          <w:szCs w:val="18"/>
          <w:color w:val="auto"/>
        </w:rPr>
      </w:pPr>
      <w:r>
        <w:rPr>
          <w:rFonts w:ascii="Arial" w:cs="Arial" w:eastAsia="Arial" w:hAnsi="Arial"/>
          <w:sz w:val="18"/>
          <w:szCs w:val="18"/>
          <w:color w:val="auto"/>
        </w:rPr>
        <w:t>the additional amount of $1,250,000, unless the Executive previously has been paid at least $1,250,000 pursuant to Section 5(b)(i);</w:t>
      </w:r>
    </w:p>
    <w:p>
      <w:pPr>
        <w:spacing w:after="0" w:line="199" w:lineRule="exact"/>
        <w:rPr>
          <w:rFonts w:ascii="Arial" w:cs="Arial" w:eastAsia="Arial" w:hAnsi="Arial"/>
          <w:sz w:val="18"/>
          <w:szCs w:val="18"/>
          <w:color w:val="auto"/>
        </w:rPr>
      </w:pPr>
    </w:p>
    <w:p>
      <w:pPr>
        <w:ind w:left="2700" w:hanging="531"/>
        <w:spacing w:after="0"/>
        <w:tabs>
          <w:tab w:leader="none" w:pos="2700" w:val="left"/>
        </w:tabs>
        <w:numPr>
          <w:ilvl w:val="3"/>
          <w:numId w:val="176"/>
        </w:numPr>
        <w:rPr>
          <w:rFonts w:ascii="Arial" w:cs="Arial" w:eastAsia="Arial" w:hAnsi="Arial"/>
          <w:sz w:val="18"/>
          <w:szCs w:val="18"/>
          <w:color w:val="auto"/>
        </w:rPr>
      </w:pPr>
      <w:r>
        <w:rPr>
          <w:rFonts w:ascii="Arial" w:cs="Arial" w:eastAsia="Arial" w:hAnsi="Arial"/>
          <w:sz w:val="18"/>
          <w:szCs w:val="18"/>
          <w:color w:val="auto"/>
        </w:rPr>
        <w:t>the additional amounts, if any, earned and not paid pursuant to Section 5(b)(ii); and</w:t>
      </w:r>
    </w:p>
    <w:p>
      <w:pPr>
        <w:spacing w:after="0" w:line="238" w:lineRule="exact"/>
        <w:rPr>
          <w:rFonts w:ascii="Arial" w:cs="Arial" w:eastAsia="Arial" w:hAnsi="Arial"/>
          <w:sz w:val="18"/>
          <w:szCs w:val="18"/>
          <w:color w:val="auto"/>
        </w:rPr>
      </w:pPr>
    </w:p>
    <w:p>
      <w:pPr>
        <w:ind w:left="2700" w:hanging="531"/>
        <w:spacing w:after="0"/>
        <w:tabs>
          <w:tab w:leader="none" w:pos="2700" w:val="left"/>
        </w:tabs>
        <w:numPr>
          <w:ilvl w:val="3"/>
          <w:numId w:val="176"/>
        </w:numPr>
        <w:rPr>
          <w:rFonts w:ascii="Arial" w:cs="Arial" w:eastAsia="Arial" w:hAnsi="Arial"/>
          <w:sz w:val="18"/>
          <w:szCs w:val="18"/>
          <w:color w:val="auto"/>
        </w:rPr>
      </w:pPr>
      <w:r>
        <w:rPr>
          <w:rFonts w:ascii="Arial" w:cs="Arial" w:eastAsia="Arial" w:hAnsi="Arial"/>
          <w:sz w:val="18"/>
          <w:szCs w:val="18"/>
          <w:color w:val="auto"/>
        </w:rPr>
        <w:t>any accrued vacation pay;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0" w:firstLine="360"/>
        <w:spacing w:after="0" w:line="287" w:lineRule="auto"/>
        <w:tabs>
          <w:tab w:leader="none" w:pos="1734" w:val="left"/>
        </w:tabs>
        <w:numPr>
          <w:ilvl w:val="1"/>
          <w:numId w:val="177"/>
        </w:numPr>
        <w:rPr>
          <w:rFonts w:ascii="Arial" w:cs="Arial" w:eastAsia="Arial" w:hAnsi="Arial"/>
          <w:sz w:val="16"/>
          <w:szCs w:val="16"/>
          <w:color w:val="auto"/>
        </w:rPr>
      </w:pPr>
      <w:r>
        <w:rPr>
          <w:rFonts w:ascii="Arial" w:cs="Arial" w:eastAsia="Arial" w:hAnsi="Arial"/>
          <w:sz w:val="16"/>
          <w:szCs w:val="16"/>
          <w:color w:val="auto"/>
        </w:rPr>
        <w:t xml:space="preserve">the Company shall maintain in full force and effect, for the, continued benefit of the Executive, his spouse and his dependents for the balance of the Employment Period the medical, hospitalization, dental and life insurance programs in which the Executive, his spouse and his dependents were participating immediately prior to the Date of Termination at the level in effect and upon substantially the same terms and conditions (including, without limitation, contributions required by the Executive for such benefits) as existed immediately prior to the Date of 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if the Executive, his spouse or his dependents cannot continue to participate in the Company programs providing such benefits, the Company shall arrange to provide the Executive, his spouse and his dependents with the economic equivalent of such benefits which they otherwise would have been entitled to receive under such plans and programs ("Continued Benefits"),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such Continued Benefits shall terminate on the date or dates the Executive receives equivalent coverage and benefits, without waiting period or pre-existing condition limitations, under the plans and programs of a subsequent employer (such coverage and benefits to be determined on a coverage-by-coverage or benefit-by-benefit basis); and</w:t>
      </w:r>
    </w:p>
    <w:p>
      <w:pPr>
        <w:spacing w:after="0" w:line="176" w:lineRule="exact"/>
        <w:rPr>
          <w:rFonts w:ascii="Arial" w:cs="Arial" w:eastAsia="Arial" w:hAnsi="Arial"/>
          <w:sz w:val="16"/>
          <w:szCs w:val="16"/>
          <w:color w:val="auto"/>
        </w:rPr>
      </w:pPr>
    </w:p>
    <w:p>
      <w:pPr>
        <w:ind w:left="1080" w:right="380" w:firstLine="360"/>
        <w:spacing w:after="0" w:line="268" w:lineRule="auto"/>
        <w:tabs>
          <w:tab w:leader="none" w:pos="178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Company shall reimburse the Executive pursuant to Section 5(c) for expenses incurred, but not paid prior to such termination of employment; and</w:t>
      </w:r>
    </w:p>
    <w:p>
      <w:pPr>
        <w:spacing w:after="0" w:line="185" w:lineRule="exact"/>
        <w:rPr>
          <w:rFonts w:ascii="Arial" w:cs="Arial" w:eastAsia="Arial" w:hAnsi="Arial"/>
          <w:sz w:val="18"/>
          <w:szCs w:val="18"/>
          <w:color w:val="auto"/>
        </w:rPr>
      </w:pPr>
    </w:p>
    <w:p>
      <w:pPr>
        <w:ind w:left="1080" w:right="180" w:firstLine="360"/>
        <w:spacing w:after="0" w:line="268" w:lineRule="auto"/>
        <w:tabs>
          <w:tab w:leader="none" w:pos="177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Executive shall not be entitled to any other rights, compensation and/or benefits as may be due to the Executive in accordance with the terms and provisions of any severance or separation agreements, plans or programs of the Company.</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184"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Termination by Company for Cause or by the Executive without Good Reason</w:t>
      </w:r>
      <w:r>
        <w:rPr>
          <w:rFonts w:ascii="Arial" w:cs="Arial" w:eastAsia="Arial" w:hAnsi="Arial"/>
          <w:sz w:val="18"/>
          <w:szCs w:val="18"/>
          <w:color w:val="auto"/>
        </w:rPr>
        <w:t>. If the Executive's employment is terminated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for Cause or by the Executive (other than for Good Reason):</w:t>
      </w:r>
    </w:p>
    <w:p>
      <w:pPr>
        <w:spacing w:after="0" w:line="185" w:lineRule="exact"/>
        <w:rPr>
          <w:rFonts w:ascii="Arial" w:cs="Arial" w:eastAsia="Arial" w:hAnsi="Arial"/>
          <w:sz w:val="18"/>
          <w:szCs w:val="18"/>
          <w:color w:val="auto"/>
        </w:rPr>
      </w:pPr>
    </w:p>
    <w:p>
      <w:pPr>
        <w:ind w:left="1080" w:right="120" w:firstLine="360"/>
        <w:spacing w:after="0" w:line="268" w:lineRule="auto"/>
        <w:tabs>
          <w:tab w:leader="none" w:pos="177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Company shall pay the Executive his Base Salary, any bonus pursuant to Section 5(b) earned and not paid, and his accrued vacation pay through the Date of Termination, as soon as practicable following the Date of Termination; and</w:t>
      </w:r>
    </w:p>
    <w:p>
      <w:pPr>
        <w:spacing w:after="0" w:line="185" w:lineRule="exact"/>
        <w:rPr>
          <w:rFonts w:ascii="Arial" w:cs="Arial" w:eastAsia="Arial" w:hAnsi="Arial"/>
          <w:sz w:val="18"/>
          <w:szCs w:val="18"/>
          <w:color w:val="auto"/>
        </w:rPr>
      </w:pPr>
    </w:p>
    <w:p>
      <w:pPr>
        <w:ind w:left="1080" w:right="420" w:firstLine="360"/>
        <w:spacing w:after="0" w:line="268" w:lineRule="auto"/>
        <w:tabs>
          <w:tab w:leader="none" w:pos="173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Company shall reimburse the Executive pursuant to Section 5(c) for expenses incurred, but not paid prior to such termination of employment; and</w:t>
      </w:r>
    </w:p>
    <w:p>
      <w:pPr>
        <w:spacing w:after="0" w:line="185" w:lineRule="exact"/>
        <w:rPr>
          <w:rFonts w:ascii="Arial" w:cs="Arial" w:eastAsia="Arial" w:hAnsi="Arial"/>
          <w:sz w:val="18"/>
          <w:szCs w:val="18"/>
          <w:color w:val="auto"/>
        </w:rPr>
      </w:pPr>
    </w:p>
    <w:p>
      <w:pPr>
        <w:ind w:left="1080" w:right="160" w:firstLine="360"/>
        <w:spacing w:after="0" w:line="268" w:lineRule="auto"/>
        <w:tabs>
          <w:tab w:leader="none" w:pos="1782"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Executive shall not be entitled to any other rights, compensation and/or benefits as may be due to the Executive in accordance with the terms and provisions of any severance or separation agreements, plans or programs of the Company.</w:t>
      </w:r>
    </w:p>
    <w:p>
      <w:pPr>
        <w:spacing w:after="0" w:line="185" w:lineRule="exact"/>
        <w:rPr>
          <w:rFonts w:ascii="Arial" w:cs="Arial" w:eastAsia="Arial" w:hAnsi="Arial"/>
          <w:sz w:val="18"/>
          <w:szCs w:val="18"/>
          <w:color w:val="auto"/>
        </w:rPr>
      </w:pPr>
    </w:p>
    <w:p>
      <w:pPr>
        <w:jc w:val="both"/>
        <w:ind w:left="540" w:right="40" w:firstLine="359"/>
        <w:spacing w:after="0" w:line="306" w:lineRule="auto"/>
        <w:tabs>
          <w:tab w:leader="none" w:pos="1174"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Disability</w:t>
      </w:r>
      <w:r>
        <w:rPr>
          <w:rFonts w:ascii="Arial" w:cs="Arial" w:eastAsia="Arial" w:hAnsi="Arial"/>
          <w:sz w:val="16"/>
          <w:szCs w:val="16"/>
          <w:color w:val="auto"/>
        </w:rPr>
        <w:t>. During any period that the Executive fails to perform his duties "hereunder as a result of incapacity due to physical or mental illness</w:t>
      </w:r>
      <w:r>
        <w:rPr>
          <w:rFonts w:ascii="Arial" w:cs="Arial" w:eastAsia="Arial" w:hAnsi="Arial"/>
          <w:sz w:val="16"/>
          <w:szCs w:val="16"/>
          <w:i w:val="1"/>
          <w:iCs w:val="1"/>
          <w:color w:val="auto"/>
        </w:rPr>
        <w:t xml:space="preserve"> </w:t>
      </w:r>
      <w:r>
        <w:rPr>
          <w:rFonts w:ascii="Arial" w:cs="Arial" w:eastAsia="Arial" w:hAnsi="Arial"/>
          <w:sz w:val="16"/>
          <w:szCs w:val="16"/>
          <w:color w:val="auto"/>
        </w:rPr>
        <w:t>("Disability Period"), the Executive shall continue to receive his full Base Salary and, if earned, the bonuses set forth in Section 5(b) until his employment is terminated pursuant to Section 6(b). In the event the Executive's employment is terminated for Disability pursuant to Section 6(b):</w:t>
      </w:r>
    </w:p>
    <w:p>
      <w:pPr>
        <w:sectPr>
          <w:pgSz w:w="11900" w:h="16838" w:orient="portrait"/>
          <w:cols w:equalWidth="0" w:num="1">
            <w:col w:w="11420"/>
          </w:cols>
          <w:pgMar w:left="240" w:top="131" w:right="239" w:bottom="0" w:gutter="0" w:footer="0" w:header="0"/>
        </w:sectPr>
      </w:pPr>
    </w:p>
    <w:bookmarkStart w:id="129" w:name="page130"/>
    <w:bookmarkEnd w:id="129"/>
    <w:p>
      <w:pPr>
        <w:spacing w:after="0" w:line="46" w:lineRule="exact"/>
        <w:rPr>
          <w:sz w:val="20"/>
          <w:szCs w:val="20"/>
          <w:color w:val="auto"/>
        </w:rPr>
      </w:pPr>
    </w:p>
    <w:p>
      <w:pPr>
        <w:ind w:left="1040" w:right="160" w:firstLine="360"/>
        <w:spacing w:after="0" w:line="268" w:lineRule="auto"/>
        <w:tabs>
          <w:tab w:leader="none" w:pos="173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Company shall pay to the Executive his Base Salary, any bonus pursuant to Section 5(b) earned and not paid, and accrued vacation pay through the Dale, of Termination, as soon as practicable following the Date of Termination; and</w:t>
      </w:r>
    </w:p>
    <w:p>
      <w:pPr>
        <w:spacing w:after="0" w:line="185" w:lineRule="exact"/>
        <w:rPr>
          <w:rFonts w:ascii="Arial" w:cs="Arial" w:eastAsia="Arial" w:hAnsi="Arial"/>
          <w:sz w:val="18"/>
          <w:szCs w:val="18"/>
          <w:color w:val="auto"/>
        </w:rPr>
      </w:pPr>
    </w:p>
    <w:p>
      <w:pPr>
        <w:ind w:left="1040" w:right="640" w:firstLine="360"/>
        <w:spacing w:after="0" w:line="268" w:lineRule="auto"/>
        <w:tabs>
          <w:tab w:leader="none" w:pos="169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Company shall reimburse the Executive pursuant to Section 5(c) for reasonable expenses incurred, but not paid prior to such termination of employment; and</w:t>
      </w:r>
    </w:p>
    <w:p>
      <w:pPr>
        <w:spacing w:after="0" w:line="185" w:lineRule="exact"/>
        <w:rPr>
          <w:rFonts w:ascii="Arial" w:cs="Arial" w:eastAsia="Arial" w:hAnsi="Arial"/>
          <w:sz w:val="18"/>
          <w:szCs w:val="18"/>
          <w:color w:val="auto"/>
        </w:rPr>
      </w:pPr>
    </w:p>
    <w:p>
      <w:pPr>
        <w:ind w:left="1040" w:right="120" w:firstLine="360"/>
        <w:spacing w:after="0" w:line="268" w:lineRule="auto"/>
        <w:tabs>
          <w:tab w:leader="none" w:pos="174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Executive shall not be entitled to any other rights, compensation and/or benefits as may be due to the Executive in accordance with the terms and provisions of any severance or separation agreements, plans or programs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60" w:hanging="301"/>
        <w:spacing w:after="0"/>
        <w:tabs>
          <w:tab w:leader="none" w:pos="1160" w:val="left"/>
        </w:tabs>
        <w:numPr>
          <w:ilvl w:val="1"/>
          <w:numId w:val="180"/>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If the Executive's employment is terminated by his death:</w:t>
      </w:r>
    </w:p>
    <w:p>
      <w:pPr>
        <w:spacing w:after="0" w:line="225" w:lineRule="exact"/>
        <w:rPr>
          <w:rFonts w:ascii="Arial" w:cs="Arial" w:eastAsia="Arial" w:hAnsi="Arial"/>
          <w:sz w:val="18"/>
          <w:szCs w:val="18"/>
          <w:color w:val="auto"/>
        </w:rPr>
      </w:pPr>
    </w:p>
    <w:p>
      <w:pPr>
        <w:ind w:left="1040" w:right="140" w:firstLine="360"/>
        <w:spacing w:after="0" w:line="370" w:lineRule="auto"/>
        <w:tabs>
          <w:tab w:leader="none" w:pos="1732" w:val="left"/>
        </w:tabs>
        <w:numPr>
          <w:ilvl w:val="2"/>
          <w:numId w:val="180"/>
        </w:numPr>
        <w:rPr>
          <w:rFonts w:ascii="Arial" w:cs="Arial" w:eastAsia="Arial" w:hAnsi="Arial"/>
          <w:sz w:val="15"/>
          <w:szCs w:val="15"/>
          <w:color w:val="auto"/>
        </w:rPr>
      </w:pPr>
      <w:r>
        <w:rPr>
          <w:rFonts w:ascii="Arial" w:cs="Arial" w:eastAsia="Arial" w:hAnsi="Arial"/>
          <w:sz w:val="15"/>
          <w:szCs w:val="15"/>
          <w:color w:val="auto"/>
        </w:rPr>
        <w:t>the Company shall pay in a lump sum to the Executive's beneficiary, legal representatives or estate, as the case may be, the Executive's Base Salary, any bonus pursuant to Section 5(b) earned and not paid, and accrued vacation pay through the Date of Termination; and</w:t>
      </w:r>
    </w:p>
    <w:p>
      <w:pPr>
        <w:spacing w:after="0" w:line="116" w:lineRule="exact"/>
        <w:rPr>
          <w:rFonts w:ascii="Arial" w:cs="Arial" w:eastAsia="Arial" w:hAnsi="Arial"/>
          <w:sz w:val="15"/>
          <w:szCs w:val="15"/>
          <w:color w:val="auto"/>
        </w:rPr>
      </w:pPr>
    </w:p>
    <w:p>
      <w:pPr>
        <w:ind w:left="1040" w:right="80" w:firstLine="360"/>
        <w:spacing w:after="0" w:line="268" w:lineRule="auto"/>
        <w:tabs>
          <w:tab w:leader="none" w:pos="1694" w:val="left"/>
        </w:tabs>
        <w:numPr>
          <w:ilvl w:val="2"/>
          <w:numId w:val="180"/>
        </w:numPr>
        <w:rPr>
          <w:rFonts w:ascii="Arial" w:cs="Arial" w:eastAsia="Arial" w:hAnsi="Arial"/>
          <w:sz w:val="18"/>
          <w:szCs w:val="18"/>
          <w:color w:val="auto"/>
        </w:rPr>
      </w:pPr>
      <w:r>
        <w:rPr>
          <w:rFonts w:ascii="Arial" w:cs="Arial" w:eastAsia="Arial" w:hAnsi="Arial"/>
          <w:sz w:val="18"/>
          <w:szCs w:val="18"/>
          <w:color w:val="auto"/>
        </w:rPr>
        <w:t>the Company shall reimburse the Executive's beneficiary, legal representatives or estate, as the case may be, pursuant to Section 5(c) for expenses incurred but not paid prior to such termination of employment; and</w:t>
      </w:r>
    </w:p>
    <w:p>
      <w:pPr>
        <w:spacing w:after="0" w:line="185" w:lineRule="exact"/>
        <w:rPr>
          <w:rFonts w:ascii="Arial" w:cs="Arial" w:eastAsia="Arial" w:hAnsi="Arial"/>
          <w:sz w:val="18"/>
          <w:szCs w:val="18"/>
          <w:color w:val="auto"/>
        </w:rPr>
      </w:pPr>
    </w:p>
    <w:p>
      <w:pPr>
        <w:jc w:val="both"/>
        <w:ind w:left="1040" w:firstLine="360"/>
        <w:spacing w:after="0" w:line="259" w:lineRule="auto"/>
        <w:tabs>
          <w:tab w:leader="none" w:pos="1742" w:val="left"/>
        </w:tabs>
        <w:numPr>
          <w:ilvl w:val="2"/>
          <w:numId w:val="180"/>
        </w:numPr>
        <w:rPr>
          <w:rFonts w:ascii="Arial" w:cs="Arial" w:eastAsia="Arial" w:hAnsi="Arial"/>
          <w:sz w:val="18"/>
          <w:szCs w:val="18"/>
          <w:color w:val="auto"/>
        </w:rPr>
      </w:pPr>
      <w:r>
        <w:rPr>
          <w:rFonts w:ascii="Arial" w:cs="Arial" w:eastAsia="Arial" w:hAnsi="Arial"/>
          <w:sz w:val="18"/>
          <w:szCs w:val="18"/>
          <w:color w:val="auto"/>
        </w:rPr>
        <w:t>the Executive's beneficiary, legal representatives or estate, as the case may be, shall not be entitled to any other rights, compensation and benefits as may be due to any such persons or estate in accordance with the terms and provisions of any severance or separation agreements, plans or programs of the Company.</w:t>
      </w:r>
    </w:p>
    <w:p>
      <w:pPr>
        <w:spacing w:after="0" w:line="194" w:lineRule="exact"/>
        <w:rPr>
          <w:rFonts w:ascii="Arial" w:cs="Arial" w:eastAsia="Arial" w:hAnsi="Arial"/>
          <w:sz w:val="18"/>
          <w:szCs w:val="18"/>
          <w:color w:val="auto"/>
        </w:rPr>
      </w:pPr>
    </w:p>
    <w:p>
      <w:pPr>
        <w:ind w:left="500" w:right="460" w:firstLine="359"/>
        <w:spacing w:after="0" w:line="370" w:lineRule="auto"/>
        <w:tabs>
          <w:tab w:leader="none" w:pos="1134" w:val="left"/>
        </w:tabs>
        <w:numPr>
          <w:ilvl w:val="1"/>
          <w:numId w:val="180"/>
        </w:numPr>
        <w:rPr>
          <w:rFonts w:ascii="Arial" w:cs="Arial" w:eastAsia="Arial" w:hAnsi="Arial"/>
          <w:sz w:val="15"/>
          <w:szCs w:val="15"/>
          <w:color w:val="auto"/>
        </w:rPr>
      </w:pPr>
      <w:r>
        <w:rPr>
          <w:rFonts w:ascii="Arial" w:cs="Arial" w:eastAsia="Arial" w:hAnsi="Arial"/>
          <w:sz w:val="15"/>
          <w:szCs w:val="15"/>
          <w:i w:val="1"/>
          <w:iCs w:val="1"/>
          <w:color w:val="auto"/>
        </w:rPr>
        <w:t>No Mitigation</w:t>
      </w:r>
      <w:r>
        <w:rPr>
          <w:rFonts w:ascii="Arial" w:cs="Arial" w:eastAsia="Arial" w:hAnsi="Arial"/>
          <w:sz w:val="15"/>
          <w:szCs w:val="15"/>
          <w:color w:val="auto"/>
        </w:rPr>
        <w:t>. The Executive shall not be required to mitigate amounts payable under this Agreement by seeking other employment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and there shall be no offset against amounts due the Executive under this Agreement on account of subsequent employment or, earnings.</w:t>
      </w:r>
    </w:p>
    <w:p>
      <w:pPr>
        <w:spacing w:after="0" w:line="116" w:lineRule="exact"/>
        <w:rPr>
          <w:rFonts w:ascii="Arial" w:cs="Arial" w:eastAsia="Arial" w:hAnsi="Arial"/>
          <w:sz w:val="15"/>
          <w:szCs w:val="15"/>
          <w:color w:val="auto"/>
        </w:rPr>
      </w:pPr>
    </w:p>
    <w:p>
      <w:pPr>
        <w:ind w:left="-40" w:firstLine="359"/>
        <w:spacing w:after="0" w:line="288" w:lineRule="auto"/>
        <w:tabs>
          <w:tab w:leader="none" w:pos="618"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Licensing Requirements</w:t>
      </w:r>
      <w:r>
        <w:rPr>
          <w:rFonts w:ascii="Arial" w:cs="Arial" w:eastAsia="Arial" w:hAnsi="Arial"/>
          <w:sz w:val="16"/>
          <w:szCs w:val="16"/>
          <w:color w:val="auto"/>
        </w:rPr>
        <w:t>. The Executive acknowledges and agrees that, in order for him to discharge the duties required under this Agreement, he may</w:t>
      </w:r>
      <w:r>
        <w:rPr>
          <w:rFonts w:ascii="Arial" w:cs="Arial" w:eastAsia="Arial" w:hAnsi="Arial"/>
          <w:sz w:val="16"/>
          <w:szCs w:val="16"/>
          <w:i w:val="1"/>
          <w:iCs w:val="1"/>
          <w:color w:val="auto"/>
        </w:rPr>
        <w:t xml:space="preserve"> </w:t>
      </w:r>
      <w:r>
        <w:rPr>
          <w:rFonts w:ascii="Arial" w:cs="Arial" w:eastAsia="Arial" w:hAnsi="Arial"/>
          <w:sz w:val="16"/>
          <w:szCs w:val="16"/>
          <w:color w:val="auto"/>
        </w:rPr>
        <w:t>be required to apply for or hold a license, registration, permit or other approval ("License") issued by one or more gaming regulatory authorities (the "Authorities") pursuant to the provisions of the relevant gaming regulatory statutes and the regulations promulgated thereunder. In the event the Executive fails to apply for and secure, or the Authorities refuse to originally issue or renew the Executive's License, then the Executive, at the Company's sole cost and expense, shall promptly defend such action and shall take such reasonable steps as may be required to either remove the objections or secure the Authorities' approval, respectively. The foregoing notwithstanding, if the source of the objections or the Authorities' refusal to issue or renew the Executive's License arise as a result of any of the events described in Section 6(c) of this Agreement, then the Company's obligations under this Section 9 shall not be operative and the Executive shall promptly reimburse Company upon demand for any expenses incurred by Company pursuant to this Section 9. The Company and the Executive agree that this Section 9 shall apply in the event the Executive's duties require that the Executive also be licensed by governmental agencies other than the Authorities.</w:t>
      </w:r>
    </w:p>
    <w:p>
      <w:pPr>
        <w:spacing w:after="0" w:line="173" w:lineRule="exact"/>
        <w:rPr>
          <w:rFonts w:ascii="Arial" w:cs="Arial" w:eastAsia="Arial" w:hAnsi="Arial"/>
          <w:sz w:val="16"/>
          <w:szCs w:val="16"/>
          <w:color w:val="auto"/>
        </w:rPr>
      </w:pPr>
    </w:p>
    <w:p>
      <w:pPr>
        <w:ind w:left="620" w:hanging="301"/>
        <w:spacing w:after="0"/>
        <w:tabs>
          <w:tab w:leader="none" w:pos="62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40" w:hanging="281"/>
        <w:spacing w:after="0"/>
        <w:tabs>
          <w:tab w:leader="none" w:pos="1140" w:val="left"/>
        </w:tabs>
        <w:numPr>
          <w:ilvl w:val="1"/>
          <w:numId w:val="181"/>
        </w:numPr>
        <w:rPr>
          <w:rFonts w:ascii="Arial" w:cs="Arial" w:eastAsia="Arial" w:hAnsi="Arial"/>
          <w:sz w:val="18"/>
          <w:szCs w:val="18"/>
          <w:color w:val="auto"/>
        </w:rPr>
      </w:pPr>
      <w:r>
        <w:rPr>
          <w:rFonts w:ascii="Arial" w:cs="Arial" w:eastAsia="Arial" w:hAnsi="Arial"/>
          <w:sz w:val="18"/>
          <w:szCs w:val="18"/>
          <w:i w:val="1"/>
          <w:iCs w:val="1"/>
          <w:color w:val="auto"/>
        </w:rPr>
        <w:t>Confidential Information</w:t>
      </w:r>
      <w:r>
        <w:rPr>
          <w:rFonts w:ascii="Arial" w:cs="Arial" w:eastAsia="Arial" w:hAnsi="Arial"/>
          <w:sz w:val="18"/>
          <w:szCs w:val="18"/>
          <w:color w:val="auto"/>
        </w:rPr>
        <w:t>.  The Executive shall hold in a fiduciary capacity for the benefit of the Company and shall maintain strict</w:t>
      </w:r>
    </w:p>
    <w:p>
      <w:pPr>
        <w:spacing w:after="0" w:line="15" w:lineRule="exact"/>
        <w:rPr>
          <w:rFonts w:ascii="Arial" w:cs="Arial" w:eastAsia="Arial" w:hAnsi="Arial"/>
          <w:sz w:val="18"/>
          <w:szCs w:val="18"/>
          <w:color w:val="auto"/>
        </w:rPr>
      </w:pPr>
    </w:p>
    <w:p>
      <w:pPr>
        <w:ind w:left="500"/>
        <w:spacing w:after="0" w:line="287" w:lineRule="auto"/>
        <w:rPr>
          <w:rFonts w:ascii="Arial" w:cs="Arial" w:eastAsia="Arial" w:hAnsi="Arial"/>
          <w:sz w:val="18"/>
          <w:szCs w:val="18"/>
          <w:color w:val="auto"/>
        </w:rPr>
      </w:pPr>
      <w:r>
        <w:rPr>
          <w:rFonts w:ascii="Arial" w:cs="Arial" w:eastAsia="Arial" w:hAnsi="Arial"/>
          <w:sz w:val="16"/>
          <w:szCs w:val="16"/>
          <w:color w:val="auto"/>
        </w:rPr>
        <w:t>confidentiality of all trade secrets and confidential information, knowledge or data relating to the Company and its businesses and investments, which shall have been obtained by the Executive during the Executive's employment by the Company and which is not generally available public knowledge (other than by acts by the Executive in violation of this Agreement). Except as may be required or appropriate in connection with his carrying out his duties under this Agreement, the Executive shall not, without the prior written consent of the Company, Wynn or as may otherwise be required by law or any legal process, or as is necessary in connection with any adversarial proceeding against, the Executive, Wynn or an Affiliate of the Company (in which case the Executive shall use his reasonable best efforts in cooperating with the Company, Wynn or an Affiliate in obtaining a protective order against disclosure by a court of competent jurisdiction), communicate or divulge any such trade secrets, or confidential information, knowledge or data to anyone other than the Company, Wynn or an Affiliate and those designated by the Company or Wynn on behalf of the Company, an Affiliate or Wynn in the furtherance of its or his business or to perform duties hereunder.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00" w:right="20" w:firstLine="359"/>
        <w:spacing w:after="0" w:line="306" w:lineRule="auto"/>
        <w:tabs>
          <w:tab w:leader="none" w:pos="1144" w:val="left"/>
        </w:tabs>
        <w:numPr>
          <w:ilvl w:val="1"/>
          <w:numId w:val="182"/>
        </w:numPr>
        <w:rPr>
          <w:rFonts w:ascii="Arial" w:cs="Arial" w:eastAsia="Arial" w:hAnsi="Arial"/>
          <w:sz w:val="16"/>
          <w:szCs w:val="16"/>
          <w:color w:val="auto"/>
        </w:rPr>
      </w:pPr>
      <w:r>
        <w:rPr>
          <w:rFonts w:ascii="Arial" w:cs="Arial" w:eastAsia="Arial" w:hAnsi="Arial"/>
          <w:sz w:val="16"/>
          <w:szCs w:val="16"/>
          <w:i w:val="1"/>
          <w:iCs w:val="1"/>
          <w:color w:val="auto"/>
        </w:rPr>
        <w:t>Remedies</w:t>
      </w:r>
      <w:r>
        <w:rPr>
          <w:rFonts w:ascii="Arial" w:cs="Arial" w:eastAsia="Arial" w:hAnsi="Arial"/>
          <w:sz w:val="16"/>
          <w:szCs w:val="16"/>
          <w:color w:val="auto"/>
        </w:rPr>
        <w:t>. The Executive hereby expressly acknowledges that any breach or threatened breach by the Executive of any of the terms set forth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10 of this Agreement may result in significant and continuing injury to the Company, the monetary value of which would be impossible to establish. Therefore, the Executive agrees that the Company shall be entitled to apply for injunctive relief in a court of appropriate jurisdiction.</w:t>
      </w:r>
    </w:p>
    <w:p>
      <w:pPr>
        <w:spacing w:after="0" w:line="160" w:lineRule="exact"/>
        <w:rPr>
          <w:rFonts w:ascii="Arial" w:cs="Arial" w:eastAsia="Arial" w:hAnsi="Arial"/>
          <w:sz w:val="16"/>
          <w:szCs w:val="16"/>
          <w:color w:val="auto"/>
        </w:rPr>
      </w:pPr>
    </w:p>
    <w:p>
      <w:pPr>
        <w:ind w:left="620" w:hanging="301"/>
        <w:spacing w:after="0"/>
        <w:tabs>
          <w:tab w:leader="none" w:pos="62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Restrictive Covenant; No Solicitation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00" w:firstLine="359"/>
        <w:spacing w:after="0" w:line="287" w:lineRule="auto"/>
        <w:tabs>
          <w:tab w:leader="none" w:pos="1134" w:val="left"/>
        </w:tabs>
        <w:numPr>
          <w:ilvl w:val="1"/>
          <w:numId w:val="183"/>
        </w:numPr>
        <w:rPr>
          <w:rFonts w:ascii="Arial" w:cs="Arial" w:eastAsia="Arial" w:hAnsi="Arial"/>
          <w:sz w:val="16"/>
          <w:szCs w:val="16"/>
          <w:color w:val="auto"/>
        </w:rPr>
      </w:pPr>
      <w:r>
        <w:rPr>
          <w:rFonts w:ascii="Arial" w:cs="Arial" w:eastAsia="Arial" w:hAnsi="Arial"/>
          <w:sz w:val="16"/>
          <w:szCs w:val="16"/>
          <w:i w:val="1"/>
          <w:iCs w:val="1"/>
          <w:color w:val="auto"/>
        </w:rPr>
        <w:t>Noncompete</w:t>
      </w:r>
      <w:r>
        <w:rPr>
          <w:rFonts w:ascii="Arial" w:cs="Arial" w:eastAsia="Arial" w:hAnsi="Arial"/>
          <w:sz w:val="16"/>
          <w:szCs w:val="16"/>
          <w:color w:val="auto"/>
        </w:rPr>
        <w:t>. The Executive hereby covenants and agrees that, during the Employment Period or a period of 1 year after termination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by the Executive for other than Good Reason, whichever period is shorter, the Executive shall not directly or indirectly, either as a principal, agent, employee, employer, consultant, partner, member or manager of a limited liability company, shareholder of a closely held corporation, or shareholder in excess of two (2%) per cent of a publicly traded corporation, corporate officer or director, or in any other individual or representative capacity, engage or otherwise participate in any manner or fashion in any business that is in competition in any manner whatsoever with the gaming or hotel operations of the Company or an Affiliate of the Company, in or about any market in which the Company or Affiliate has or plans gaming or hotel operations. The Executive hereby further covenants and agrees that the restrictive covenant contained in this Section 11 is reasonable as to duration, terms and geographical area and that the same protects the legitimate interests of the Company and its Affiliates, imposes no undue hardship on the Executive, and is not injurious to the public. Notwithstanding the foregoing, the provisions of this Section 11(a) shall not apply in the event of a termination under Section 8(a).</w:t>
      </w:r>
    </w:p>
    <w:p>
      <w:pPr>
        <w:spacing w:after="0" w:line="176" w:lineRule="exact"/>
        <w:rPr>
          <w:rFonts w:ascii="Arial" w:cs="Arial" w:eastAsia="Arial" w:hAnsi="Arial"/>
          <w:sz w:val="16"/>
          <w:szCs w:val="16"/>
          <w:color w:val="auto"/>
        </w:rPr>
      </w:pPr>
    </w:p>
    <w:p>
      <w:pPr>
        <w:ind w:left="500" w:right="220" w:firstLine="359"/>
        <w:spacing w:after="0" w:line="298" w:lineRule="auto"/>
        <w:tabs>
          <w:tab w:leader="none" w:pos="1144" w:val="left"/>
        </w:tabs>
        <w:numPr>
          <w:ilvl w:val="1"/>
          <w:numId w:val="183"/>
        </w:numPr>
        <w:rPr>
          <w:rFonts w:ascii="Arial" w:cs="Arial" w:eastAsia="Arial" w:hAnsi="Arial"/>
          <w:sz w:val="16"/>
          <w:szCs w:val="16"/>
          <w:color w:val="auto"/>
        </w:rPr>
      </w:pPr>
      <w:r>
        <w:rPr>
          <w:rFonts w:ascii="Arial" w:cs="Arial" w:eastAsia="Arial" w:hAnsi="Arial"/>
          <w:sz w:val="16"/>
          <w:szCs w:val="16"/>
          <w:i w:val="1"/>
          <w:iCs w:val="1"/>
          <w:color w:val="auto"/>
        </w:rPr>
        <w:t>Nonsolicitation</w:t>
      </w:r>
      <w:r>
        <w:rPr>
          <w:rFonts w:ascii="Arial" w:cs="Arial" w:eastAsia="Arial" w:hAnsi="Arial"/>
          <w:sz w:val="16"/>
          <w:szCs w:val="16"/>
          <w:color w:val="auto"/>
        </w:rPr>
        <w:t>. The Executive hereby further covenants and, agrees that, for the period described in Section 11(a), the Executive shall not</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and the Executive shall not suffer others to, solicit or attempt to solicit for employment any management level employee of the Company or an Affiliate of the Company with or on behalf of any business that is in competition in any manner whatsoever with the principal business activity of the Company or Affiliate, in or about any market in which the Company or Affiliate has or plans gaming operations.</w:t>
      </w:r>
    </w:p>
    <w:p>
      <w:pPr>
        <w:sectPr>
          <w:pgSz w:w="11900" w:h="16885" w:orient="portrait"/>
          <w:cols w:equalWidth="0" w:num="1">
            <w:col w:w="11340"/>
          </w:cols>
          <w:pgMar w:left="280" w:top="131" w:right="279" w:bottom="0" w:gutter="0" w:footer="0" w:header="0"/>
        </w:sectPr>
      </w:pPr>
    </w:p>
    <w:bookmarkStart w:id="130" w:name="page131"/>
    <w:bookmarkEnd w:id="130"/>
    <w:p>
      <w:pPr>
        <w:ind w:left="540" w:right="80" w:firstLine="359"/>
        <w:spacing w:after="0" w:line="306" w:lineRule="auto"/>
        <w:tabs>
          <w:tab w:leader="none" w:pos="1174" w:val="left"/>
        </w:tabs>
        <w:numPr>
          <w:ilvl w:val="1"/>
          <w:numId w:val="184"/>
        </w:numPr>
        <w:rPr>
          <w:rFonts w:ascii="Arial" w:cs="Arial" w:eastAsia="Arial" w:hAnsi="Arial"/>
          <w:sz w:val="16"/>
          <w:szCs w:val="16"/>
          <w:color w:val="auto"/>
        </w:rPr>
      </w:pPr>
      <w:r>
        <w:rPr>
          <w:rFonts w:ascii="Arial" w:cs="Arial" w:eastAsia="Arial" w:hAnsi="Arial"/>
          <w:sz w:val="16"/>
          <w:szCs w:val="16"/>
          <w:i w:val="1"/>
          <w:iCs w:val="1"/>
          <w:color w:val="auto"/>
        </w:rPr>
        <w:t>Remedies</w:t>
      </w:r>
      <w:r>
        <w:rPr>
          <w:rFonts w:ascii="Arial" w:cs="Arial" w:eastAsia="Arial" w:hAnsi="Arial"/>
          <w:sz w:val="16"/>
          <w:szCs w:val="16"/>
          <w:color w:val="auto"/>
        </w:rPr>
        <w:t>. The Executive hereby expressly acknowledges that any breach or threatened breach by the Executive of any of the terms set forth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11 of this Agreement may result in significant and continuing injury to the Company, the monetary value of which would be impossible to establish. Therefore, the Executive agrees that the Company shall be entitled to apply for injunctive relief in a court of appropriate jurisdiction.</w:t>
      </w:r>
    </w:p>
    <w:p>
      <w:pPr>
        <w:spacing w:after="0" w:line="160" w:lineRule="exact"/>
        <w:rPr>
          <w:rFonts w:ascii="Arial" w:cs="Arial" w:eastAsia="Arial" w:hAnsi="Arial"/>
          <w:sz w:val="16"/>
          <w:szCs w:val="16"/>
          <w:color w:val="auto"/>
        </w:rPr>
      </w:pPr>
    </w:p>
    <w:p>
      <w:pPr>
        <w:ind w:firstLine="359"/>
        <w:spacing w:after="0" w:line="287" w:lineRule="auto"/>
        <w:tabs>
          <w:tab w:leader="none" w:pos="658"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t>Indemnification</w:t>
      </w:r>
      <w:r>
        <w:rPr>
          <w:rFonts w:ascii="Arial" w:cs="Arial" w:eastAsia="Arial" w:hAnsi="Arial"/>
          <w:sz w:val="16"/>
          <w:szCs w:val="16"/>
          <w:color w:val="auto"/>
        </w:rPr>
        <w:t>. The Company agrees that if the Executive is made a party or threatened to be made a party to any action, suit or proceeding,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civil, criminal, administrative or investigative (a "Proceeding"), by reason of the fact that the Executive is or was a director, officer, employee or agent of the Company, Wynn or any Affiliate or is or was serving at the request of the Company, Wynn or any Affiliate as a trustee, director, officer, member, employee or agent of a corporation, partnership, joint venture, trust or other enterprise, including, without limitation, service with respect to employee benefit plans, whether or not the basis of such Proceeding is alleged action in an official capacity as a trustee, director, officer, member, employee or agent while serving as a trustee, director, officer, member, employee or, agent, the Executive shall be indemnified and held harmless by the Company to the fullest extent authorized by Nevada law, as the same exists or may hereafter be amended, against all Expenses incurred or suffered by the Executive in connection therewith, and such indemnification shall continue as to the Executive even if the Executive has ceased to be a trustee, director, officer, member, employee or agent or is no longer employed by the Company and shall inure to the benefit of his heirs, executors and administrators. As used in this Agreement, the term "Expenses" shall include, without limitation, damages, losses, judgments, liabilities, fines, penalties, excise taxes, settlements,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costs, attorneys' fees, accountants' fees, and disbursements and costs of attachment or similar bonds, investigations, and any expenses of establishing a right to indemnification under this Agreement.</w:t>
      </w:r>
    </w:p>
    <w:p>
      <w:pPr>
        <w:spacing w:after="0" w:line="186" w:lineRule="exact"/>
        <w:rPr>
          <w:sz w:val="20"/>
          <w:szCs w:val="20"/>
          <w:color w:val="auto"/>
        </w:rPr>
      </w:pPr>
    </w:p>
    <w:p>
      <w:pPr>
        <w:ind w:right="40" w:firstLine="359"/>
        <w:spacing w:after="0" w:line="294" w:lineRule="auto"/>
        <w:tabs>
          <w:tab w:leader="none" w:pos="658"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Arbitration</w:t>
      </w:r>
      <w:r>
        <w:rPr>
          <w:rFonts w:ascii="Arial" w:cs="Arial" w:eastAsia="Arial" w:hAnsi="Arial"/>
          <w:sz w:val="16"/>
          <w:szCs w:val="16"/>
          <w:color w:val="auto"/>
        </w:rPr>
        <w:t>. Except as provided for in Sections 10 and 11 of this Agreement, if any contest or dispute arises between the parties with respect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a breach thereof, such contest or dispute shall be submitted to binding arbitration for resolution in Las Vegas, Nevada, in accordance with Commercial Arbitration Rules of the American Arbitration Association then in effect. The decision of the arbitrator shall be final and binding on both parties, and any court of competent jurisdiction may enter judgment upon the award. Each party shall pay its own legal fees and expenses relating to such arbitration, regardless of outcome, unless the arbitrator determines that the other party has acted in bad faith.</w:t>
      </w:r>
    </w:p>
    <w:p>
      <w:pPr>
        <w:spacing w:after="0" w:line="169" w:lineRule="exact"/>
        <w:rPr>
          <w:rFonts w:ascii="Arial" w:cs="Arial" w:eastAsia="Arial" w:hAnsi="Arial"/>
          <w:sz w:val="16"/>
          <w:szCs w:val="16"/>
          <w:color w:val="auto"/>
        </w:rPr>
      </w:pPr>
    </w:p>
    <w:p>
      <w:pPr>
        <w:ind w:left="760" w:hanging="401"/>
        <w:spacing w:after="0"/>
        <w:tabs>
          <w:tab w:leader="none" w:pos="76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Successors; Binding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firstLine="359"/>
        <w:spacing w:after="0" w:line="291" w:lineRule="auto"/>
        <w:tabs>
          <w:tab w:leader="none" w:pos="1174" w:val="left"/>
        </w:tabs>
        <w:numPr>
          <w:ilvl w:val="1"/>
          <w:numId w:val="186"/>
        </w:numPr>
        <w:rPr>
          <w:rFonts w:ascii="Arial" w:cs="Arial" w:eastAsia="Arial" w:hAnsi="Arial"/>
          <w:sz w:val="16"/>
          <w:szCs w:val="16"/>
          <w:color w:val="auto"/>
        </w:rPr>
      </w:pPr>
      <w:r>
        <w:rPr>
          <w:rFonts w:ascii="Arial" w:cs="Arial" w:eastAsia="Arial" w:hAnsi="Arial"/>
          <w:sz w:val="16"/>
          <w:szCs w:val="16"/>
          <w:i w:val="1"/>
          <w:iCs w:val="1"/>
          <w:color w:val="auto"/>
        </w:rPr>
        <w:t>Company's Successors</w:t>
      </w:r>
      <w:r>
        <w:rPr>
          <w:rFonts w:ascii="Arial" w:cs="Arial" w:eastAsia="Arial" w:hAnsi="Arial"/>
          <w:sz w:val="16"/>
          <w:szCs w:val="16"/>
          <w:color w:val="auto"/>
        </w:rPr>
        <w:t>. No rights or obligations of the Company under this Agreement may be assigned or transferred except that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(by merger, purchase or otherwise) which executes and delivers the agreement provided for in this Section 14 or which otherwise becomes bound by all the terms and provisions of this Agreement by operation of law.</w:t>
      </w:r>
    </w:p>
    <w:p>
      <w:pPr>
        <w:spacing w:after="0" w:line="174" w:lineRule="exact"/>
        <w:rPr>
          <w:rFonts w:ascii="Arial" w:cs="Arial" w:eastAsia="Arial" w:hAnsi="Arial"/>
          <w:sz w:val="16"/>
          <w:szCs w:val="16"/>
          <w:color w:val="auto"/>
        </w:rPr>
      </w:pPr>
    </w:p>
    <w:p>
      <w:pPr>
        <w:ind w:left="540" w:right="120" w:firstLine="359"/>
        <w:spacing w:after="0" w:line="287" w:lineRule="auto"/>
        <w:tabs>
          <w:tab w:leader="none" w:pos="1184" w:val="left"/>
        </w:tabs>
        <w:numPr>
          <w:ilvl w:val="1"/>
          <w:numId w:val="186"/>
        </w:numPr>
        <w:rPr>
          <w:rFonts w:ascii="Arial" w:cs="Arial" w:eastAsia="Arial" w:hAnsi="Arial"/>
          <w:sz w:val="16"/>
          <w:szCs w:val="16"/>
          <w:color w:val="auto"/>
        </w:rPr>
      </w:pPr>
      <w:r>
        <w:rPr>
          <w:rFonts w:ascii="Arial" w:cs="Arial" w:eastAsia="Arial" w:hAnsi="Arial"/>
          <w:sz w:val="16"/>
          <w:szCs w:val="16"/>
          <w:i w:val="1"/>
          <w:iCs w:val="1"/>
          <w:color w:val="auto"/>
        </w:rPr>
        <w:t>The Executive's Successors</w:t>
      </w:r>
      <w:r>
        <w:rPr>
          <w:rFonts w:ascii="Arial" w:cs="Arial" w:eastAsia="Arial" w:hAnsi="Arial"/>
          <w:sz w:val="16"/>
          <w:szCs w:val="16"/>
          <w:color w:val="auto"/>
        </w:rPr>
        <w:t>. No rights or obligations of the Executive under this Agreement may be assigned or transferred by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his rights to payments or benefits hereunder, which may be transferred only by will or the laws of descent and distribution. Upon the Executive's death, this Agreement and all rights of the Executive hereunder shall inure to the benefit of and be enforceable by the Executive's beneficiary or beneficiaries, personal or legal representatives, or estate, to the extent any such person succeeds to the Executive's interests under this Agreement. The Executive shall be entitled to select and change a beneficiary or beneficiaries to receive any benefit or compensation payable hereunder following the Executive's death by giving the Company written notice thereof. In the event of the Executive's death or a judicial determination of his incompetence, reference in this Agreement to the Executive shall be deemed, where appropriate, to refer to his beneficiary(ies), estate or other legal representative(s). If the Executive should die following his Date of Termination while any amounts would still be payable to him hereunder if he had continued to live, all such amounts unless otherwise provided herein shall be paid in accordance with the terms of this Agreement to such person or persons so appointed in writing by the Executive, or otherwise to his legal representatives or estate.</w:t>
      </w:r>
    </w:p>
    <w:p>
      <w:pPr>
        <w:spacing w:after="0" w:line="176" w:lineRule="exact"/>
        <w:rPr>
          <w:rFonts w:ascii="Arial" w:cs="Arial" w:eastAsia="Arial" w:hAnsi="Arial"/>
          <w:sz w:val="16"/>
          <w:szCs w:val="16"/>
          <w:color w:val="auto"/>
        </w:rPr>
      </w:pPr>
    </w:p>
    <w:p>
      <w:pPr>
        <w:ind w:right="340" w:firstLine="359"/>
        <w:spacing w:after="0" w:line="259" w:lineRule="auto"/>
        <w:tabs>
          <w:tab w:leader="none" w:pos="658"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Notice</w:t>
      </w:r>
      <w:r>
        <w:rPr>
          <w:rFonts w:ascii="Arial" w:cs="Arial" w:eastAsia="Arial" w:hAnsi="Arial"/>
          <w:sz w:val="18"/>
          <w:szCs w:val="18"/>
          <w:color w:val="auto"/>
        </w:rPr>
        <w:t>. For the purposes of this Agreement, notices, demands and all other communications provided for in this Agreement shall be in writing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deemed to have been duly given when delivered either personally or by United States certified or registered mail, return receipt requested, postage prepaid, addressed as follows:</w:t>
      </w:r>
    </w:p>
    <w:p>
      <w:pPr>
        <w:spacing w:after="0" w:line="194" w:lineRule="exact"/>
        <w:rPr>
          <w:rFonts w:ascii="Arial" w:cs="Arial" w:eastAsia="Arial" w:hAnsi="Arial"/>
          <w:sz w:val="18"/>
          <w:szCs w:val="18"/>
          <w:color w:val="auto"/>
        </w:rPr>
      </w:pPr>
    </w:p>
    <w:p>
      <w:pPr>
        <w:ind w:left="1180" w:hanging="281"/>
        <w:spacing w:after="0"/>
        <w:tabs>
          <w:tab w:leader="none" w:pos="1180" w:val="left"/>
        </w:tabs>
        <w:numPr>
          <w:ilvl w:val="1"/>
          <w:numId w:val="186"/>
        </w:numPr>
        <w:rPr>
          <w:rFonts w:ascii="Arial" w:cs="Arial" w:eastAsia="Arial" w:hAnsi="Arial"/>
          <w:sz w:val="18"/>
          <w:szCs w:val="18"/>
          <w:color w:val="auto"/>
        </w:rPr>
      </w:pPr>
      <w:r>
        <w:rPr>
          <w:rFonts w:ascii="Arial" w:cs="Arial" w:eastAsia="Arial" w:hAnsi="Arial"/>
          <w:sz w:val="18"/>
          <w:szCs w:val="18"/>
          <w:i w:val="1"/>
          <w:iCs w:val="1"/>
          <w:color w:val="auto"/>
        </w:rPr>
        <w:t>If to the Executive</w:t>
      </w:r>
      <w:r>
        <w:rPr>
          <w:rFonts w:ascii="Arial" w:cs="Arial" w:eastAsia="Arial" w:hAnsi="Arial"/>
          <w:sz w:val="18"/>
          <w:szCs w:val="18"/>
          <w:color w:val="auto"/>
        </w:rPr>
        <w: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Ronald J. Kramer</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829 Park Avenue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NY 10021</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Steven M. Pesner</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Akin, Gump, Strauss, Hauer &amp; Feld, L.L.P.</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590 Madison Avenue</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NY 10022</w:t>
      </w:r>
    </w:p>
    <w:p>
      <w:pPr>
        <w:spacing w:after="0" w:line="219" w:lineRule="exact"/>
        <w:rPr>
          <w:sz w:val="20"/>
          <w:szCs w:val="20"/>
          <w:color w:val="auto"/>
        </w:rPr>
      </w:pPr>
    </w:p>
    <w:p>
      <w:pPr>
        <w:ind w:left="1200" w:hanging="301"/>
        <w:spacing w:after="0"/>
        <w:tabs>
          <w:tab w:leader="none" w:pos="120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Wynn Resorts, LLC</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Las Vegas, NV 89109</w:t>
      </w:r>
    </w:p>
    <w:p>
      <w:pPr>
        <w:sectPr>
          <w:pgSz w:w="11900" w:h="16838" w:orient="portrait"/>
          <w:cols w:equalWidth="0" w:num="1">
            <w:col w:w="11420"/>
          </w:cols>
          <w:pgMar w:left="240" w:top="131" w:right="239" w:bottom="0" w:gutter="0" w:footer="0" w:header="0"/>
        </w:sectPr>
      </w:pPr>
    </w:p>
    <w:bookmarkStart w:id="131" w:name="page132"/>
    <w:bookmarkEnd w:id="131"/>
    <w:p>
      <w:pPr>
        <w:ind w:left="16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Wynn Resorts, LLC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Attn: Legal Department</w:t>
      </w:r>
    </w:p>
    <w:p>
      <w:pPr>
        <w:spacing w:after="0" w:line="219"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or to such other address as any party may have furnished to the others in writing in accordance herewith, except that notices of change of address shall be effective only upon receipt.</w:t>
      </w:r>
    </w:p>
    <w:p>
      <w:pPr>
        <w:spacing w:after="0" w:line="186" w:lineRule="exact"/>
        <w:rPr>
          <w:sz w:val="20"/>
          <w:szCs w:val="20"/>
          <w:color w:val="auto"/>
        </w:rPr>
      </w:pPr>
    </w:p>
    <w:p>
      <w:pPr>
        <w:ind w:firstLine="359"/>
        <w:spacing w:after="0" w:line="289" w:lineRule="auto"/>
        <w:tabs>
          <w:tab w:leader="none" w:pos="658"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Miscellaneous</w:t>
      </w:r>
      <w:r>
        <w:rPr>
          <w:rFonts w:ascii="Arial" w:cs="Arial" w:eastAsia="Arial" w:hAnsi="Arial"/>
          <w:sz w:val="16"/>
          <w:szCs w:val="16"/>
          <w:color w:val="auto"/>
        </w:rPr>
        <w:t>. No provisions of this Agreement may be amended, modified, or waived unless such amendment or modification is agreed to in writing</w:t>
      </w:r>
      <w:r>
        <w:rPr>
          <w:rFonts w:ascii="Arial" w:cs="Arial" w:eastAsia="Arial" w:hAnsi="Arial"/>
          <w:sz w:val="16"/>
          <w:szCs w:val="16"/>
          <w:i w:val="1"/>
          <w:iCs w:val="1"/>
          <w:color w:val="auto"/>
        </w:rPr>
        <w:t xml:space="preserve"> </w:t>
      </w:r>
      <w:r>
        <w:rPr>
          <w:rFonts w:ascii="Arial" w:cs="Arial" w:eastAsia="Arial" w:hAnsi="Arial"/>
          <w:sz w:val="16"/>
          <w:szCs w:val="16"/>
          <w:color w:val="auto"/>
        </w:rPr>
        <w:t>signed by the Executive and by a duly authorized officer of the Company, and such waiver is set forth in writing and signed by the party to be charged. No waiver by either party hereto at any time of any breach by the other party hereto of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The respective rights and obligations of the parties "hereunder of this Agreement shall survive the Executive's termination of employment and the termination of this Agreement to the extent necessary for the intended preservation of such rights and obligations. The validity, interpretation, construction and performance of this Agreement shall be governed by the laws of the State of Nevada without regard to its conflicts of law principles.</w:t>
      </w:r>
    </w:p>
    <w:p>
      <w:pPr>
        <w:spacing w:after="0" w:line="172" w:lineRule="exact"/>
        <w:rPr>
          <w:rFonts w:ascii="Arial" w:cs="Arial" w:eastAsia="Arial" w:hAnsi="Arial"/>
          <w:sz w:val="16"/>
          <w:szCs w:val="16"/>
          <w:color w:val="auto"/>
        </w:rPr>
      </w:pPr>
    </w:p>
    <w:p>
      <w:pPr>
        <w:ind w:right="140" w:firstLine="359"/>
        <w:spacing w:after="0" w:line="268" w:lineRule="auto"/>
        <w:tabs>
          <w:tab w:leader="none" w:pos="658"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of this Agreement, which shall remain in full force and effect.</w:t>
      </w:r>
    </w:p>
    <w:p>
      <w:pPr>
        <w:spacing w:after="0" w:line="185" w:lineRule="exact"/>
        <w:rPr>
          <w:rFonts w:ascii="Arial" w:cs="Arial" w:eastAsia="Arial" w:hAnsi="Arial"/>
          <w:sz w:val="18"/>
          <w:szCs w:val="18"/>
          <w:color w:val="auto"/>
        </w:rPr>
      </w:pPr>
    </w:p>
    <w:p>
      <w:pPr>
        <w:ind w:right="40" w:firstLine="359"/>
        <w:spacing w:after="0" w:line="268" w:lineRule="auto"/>
        <w:tabs>
          <w:tab w:leader="none" w:pos="658"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constitute one and the same instrument.</w:t>
      </w:r>
    </w:p>
    <w:p>
      <w:pPr>
        <w:spacing w:after="0" w:line="185" w:lineRule="exact"/>
        <w:rPr>
          <w:rFonts w:ascii="Arial" w:cs="Arial" w:eastAsia="Arial" w:hAnsi="Arial"/>
          <w:sz w:val="18"/>
          <w:szCs w:val="18"/>
          <w:color w:val="auto"/>
        </w:rPr>
      </w:pPr>
    </w:p>
    <w:p>
      <w:pPr>
        <w:jc w:val="both"/>
        <w:ind w:right="40" w:firstLine="359"/>
        <w:spacing w:after="0" w:line="298" w:lineRule="auto"/>
        <w:tabs>
          <w:tab w:leader="none" w:pos="658"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Except as other provided herein, this Agreement sets forth the entire agreement of the parties hereto in respect of the subject matter</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herein and supersedes all prior agreements, promises, covenants, arrangements, communications, representations or warranties, whether oral or written, by any officer, employee or representative of any party hereto in respect of such subject matter. Except as other provided herein, any prior agreement of the parties hereto in respect of the subject matter contained herein is hereby terminated and cancelled.</w:t>
      </w:r>
    </w:p>
    <w:p>
      <w:pPr>
        <w:spacing w:after="0" w:line="166" w:lineRule="exact"/>
        <w:rPr>
          <w:rFonts w:ascii="Arial" w:cs="Arial" w:eastAsia="Arial" w:hAnsi="Arial"/>
          <w:sz w:val="16"/>
          <w:szCs w:val="16"/>
          <w:color w:val="auto"/>
        </w:rPr>
      </w:pPr>
    </w:p>
    <w:p>
      <w:pPr>
        <w:ind w:right="240" w:firstLine="359"/>
        <w:spacing w:after="0" w:line="268" w:lineRule="auto"/>
        <w:tabs>
          <w:tab w:leader="none" w:pos="658"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All payments hereunder shall be subject to any required withholding of Federal, state and local taxes pursuant to any applicable law or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w:t>
      </w:r>
    </w:p>
    <w:p>
      <w:pPr>
        <w:spacing w:after="0" w:line="185" w:lineRule="exact"/>
        <w:rPr>
          <w:rFonts w:ascii="Arial" w:cs="Arial" w:eastAsia="Arial" w:hAnsi="Arial"/>
          <w:sz w:val="18"/>
          <w:szCs w:val="18"/>
          <w:color w:val="auto"/>
        </w:rPr>
      </w:pPr>
    </w:p>
    <w:p>
      <w:pPr>
        <w:ind w:right="60" w:firstLine="359"/>
        <w:spacing w:after="0" w:line="259" w:lineRule="auto"/>
        <w:tabs>
          <w:tab w:leader="none" w:pos="658"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Noncontravention</w:t>
      </w:r>
      <w:r>
        <w:rPr>
          <w:rFonts w:ascii="Arial" w:cs="Arial" w:eastAsia="Arial" w:hAnsi="Arial"/>
          <w:sz w:val="18"/>
          <w:szCs w:val="18"/>
          <w:color w:val="auto"/>
        </w:rPr>
        <w:t>. The Company represents that the Company is not prevented from entering into, or performing this Agreement by the terms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law, order, rule or regulation, its by-laws or declaration of trust, or any agreement to which it is a party, other than which would not have a material adverse effect on the Company's ability to enter into or perform this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59"/>
        <w:spacing w:after="0" w:line="268" w:lineRule="auto"/>
        <w:tabs>
          <w:tab w:leader="none" w:pos="658"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Section Headings</w:t>
      </w:r>
      <w:r>
        <w:rPr>
          <w:rFonts w:ascii="Arial" w:cs="Arial" w:eastAsia="Arial" w:hAnsi="Arial"/>
          <w:sz w:val="18"/>
          <w:szCs w:val="18"/>
          <w:color w:val="auto"/>
        </w:rPr>
        <w:t>. The section headings in this Agreement are for convenience of reference only, and they form no part of this Agreement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affect its interpretation.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hereto have executed this Agreement on the date first above written.</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"COMPANY"</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Wynn Resorts, LLC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Valvino Lamore, LLC,</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jc w:val="center"/>
        <w:ind w:left="4320"/>
        <w:spacing w:after="0"/>
        <w:tabs>
          <w:tab w:leader="none" w:pos="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77470</wp:posOffset>
            </wp:positionV>
            <wp:extent cx="2491105" cy="215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2491105" cy="21590"/>
                    </a:xfrm>
                    <a:prstGeom prst="rect">
                      <a:avLst/>
                    </a:prstGeom>
                    <a:noFill/>
                  </pic:spPr>
                </pic:pic>
              </a:graphicData>
            </a:graphic>
          </wp:anchor>
        </w:drawing>
      </w:r>
    </w:p>
    <w:p>
      <w:pPr>
        <w:spacing w:after="0" w:line="23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Managing Member</w:t>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77470</wp:posOffset>
            </wp:positionV>
            <wp:extent cx="2491105" cy="215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2491105" cy="21590"/>
                    </a:xfrm>
                    <a:prstGeom prst="rect">
                      <a:avLst/>
                    </a:prstGeom>
                    <a:noFill/>
                  </pic:spPr>
                </pic:pic>
              </a:graphicData>
            </a:graphic>
          </wp:anchor>
        </w:drawing>
      </w:r>
    </w:p>
    <w:p>
      <w:pPr>
        <w:spacing w:after="0" w:line="23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Ronald J. Kramer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Valvino Lamore, LLC, for good and valuable consideration, hereby guarantees the full and prompt payment of all amounts due or to become due to the Executive pursuant to the Agreement without any right of offset whatsoever, and agrees to be bound by and to comply with all of the terms and conditions of the Agreement, and further agrees to be bound by Section 13 of tie Agreement as if it was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77470</wp:posOffset>
            </wp:positionV>
            <wp:extent cx="2319655" cy="215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2319655" cy="21590"/>
                    </a:xfrm>
                    <a:prstGeom prst="rect">
                      <a:avLst/>
                    </a:prstGeom>
                    <a:noFill/>
                  </pic:spPr>
                </pic:pic>
              </a:graphicData>
            </a:graphic>
          </wp:anchor>
        </w:drawing>
      </w:r>
    </w:p>
    <w:p>
      <w:pPr>
        <w:spacing w:after="0" w:line="2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Stephen A. Wynn, Managing Member</w:t>
      </w:r>
    </w:p>
    <w:p>
      <w:pPr>
        <w:sectPr>
          <w:pgSz w:w="11900" w:h="16838" w:orient="portrait"/>
          <w:cols w:equalWidth="0" w:num="1">
            <w:col w:w="11420"/>
          </w:cols>
          <w:pgMar w:left="240" w:top="131" w:right="239" w:bottom="15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57" w:gutter="0" w:footer="0" w:header="0"/>
          <w:type w:val="continuous"/>
        </w:sectPr>
      </w:pPr>
    </w:p>
    <w:bookmarkStart w:id="132" w:name="page133"/>
    <w:bookmarkEnd w:id="132"/>
    <w:p>
      <w:pPr>
        <w:ind w:left="5140"/>
        <w:spacing w:after="0"/>
        <w:rPr>
          <w:sz w:val="20"/>
          <w:szCs w:val="20"/>
          <w:color w:val="auto"/>
        </w:rPr>
      </w:pPr>
      <w:r>
        <w:rPr>
          <w:rFonts w:ascii="Arial" w:cs="Arial" w:eastAsia="Arial" w:hAnsi="Arial"/>
          <w:sz w:val="18"/>
          <w:szCs w:val="18"/>
          <w:b w:val="1"/>
          <w:bCs w:val="1"/>
          <w:color w:val="auto"/>
        </w:rPr>
        <w:t>EXHIBIT "A"</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TMP Worldwide</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Griffon Corp.</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Lakes Gaming</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New Valley Corp.</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Utendahl Capital</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Corsair Partners</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Mt. Sinai Children's Center Foundation</w:t>
      </w:r>
    </w:p>
    <w:p>
      <w:pPr>
        <w:spacing w:after="0" w:line="2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EXHIBIT "B"</w:t>
      </w:r>
    </w:p>
    <w:p>
      <w:pPr>
        <w:spacing w:after="0" w:line="2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TMP Worldwide</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Griffon Corp.</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Aeroflex Inc.</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Dresdner Bank</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Exhibit 10.16</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EMPLOYMENT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EXHIBIT "A"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EXHIBIT "B"</w:t>
        </w:r>
      </w:hyperlink>
    </w:p>
    <w:p>
      <w:pPr>
        <w:sectPr>
          <w:pgSz w:w="11900" w:h="16838" w:orient="portrait"/>
          <w:cols w:equalWidth="0" w:num="1">
            <w:col w:w="10219"/>
          </w:cols>
          <w:pgMar w:left="240" w:top="341" w:right="1440" w:bottom="1440" w:gutter="0" w:footer="0" w:header="0"/>
        </w:sectPr>
      </w:pPr>
    </w:p>
    <w:bookmarkStart w:id="133" w:name="page134"/>
    <w:bookmarkEnd w:id="133"/>
    <w:p>
      <w:pPr>
        <w:spacing w:after="0"/>
        <w:rPr>
          <w:rFonts w:ascii="Arial" w:cs="Arial" w:eastAsia="Arial" w:hAnsi="Arial"/>
          <w:sz w:val="22"/>
          <w:szCs w:val="22"/>
          <w:color w:val="0000EE"/>
        </w:rPr>
      </w:pPr>
      <w:hyperlink w:anchor="page13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CONTRIBUTION AGREEMENT</w:t>
      </w:r>
    </w:p>
    <w:p>
      <w:pPr>
        <w:spacing w:after="0" w:line="225"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 xml:space="preserve">THIS CONTRIBUTION AGREEMENT </w:t>
      </w:r>
      <w:r>
        <w:rPr>
          <w:rFonts w:ascii="Arial" w:cs="Arial" w:eastAsia="Arial" w:hAnsi="Arial"/>
          <w:sz w:val="16"/>
          <w:szCs w:val="16"/>
          <w:color w:val="auto"/>
        </w:rPr>
        <w:t>is made and entered into effective as of June , 2002, by and among Stephen A. Wynn, an individual ("</w:t>
      </w:r>
      <w:r>
        <w:rPr>
          <w:rFonts w:ascii="Arial" w:cs="Arial" w:eastAsia="Arial" w:hAnsi="Arial"/>
          <w:sz w:val="16"/>
          <w:szCs w:val="16"/>
          <w:b w:val="1"/>
          <w:bCs w:val="1"/>
          <w:color w:val="auto"/>
        </w:rPr>
        <w:t>Wynn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Aruze USA, Inc., a Nevada corporation ("</w:t>
      </w:r>
      <w:r>
        <w:rPr>
          <w:rFonts w:ascii="Arial" w:cs="Arial" w:eastAsia="Arial" w:hAnsi="Arial"/>
          <w:sz w:val="16"/>
          <w:szCs w:val="16"/>
          <w:b w:val="1"/>
          <w:bCs w:val="1"/>
          <w:color w:val="auto"/>
        </w:rPr>
        <w:t>Aruze</w:t>
      </w:r>
      <w:r>
        <w:rPr>
          <w:rFonts w:ascii="Arial" w:cs="Arial" w:eastAsia="Arial" w:hAnsi="Arial"/>
          <w:sz w:val="16"/>
          <w:szCs w:val="16"/>
          <w:color w:val="auto"/>
        </w:rPr>
        <w:t>"), Baron Asset Fund, a Massachusetts business trust, on behalf of the Baron Asset Fund Series, and Baron Asset Fund, a Massachusetts business trust, on behalf of the Baron Growth Fund Series (each of the foregoing, individually, a "</w:t>
      </w:r>
      <w:r>
        <w:rPr>
          <w:rFonts w:ascii="Arial" w:cs="Arial" w:eastAsia="Arial" w:hAnsi="Arial"/>
          <w:sz w:val="16"/>
          <w:szCs w:val="16"/>
          <w:b w:val="1"/>
          <w:bCs w:val="1"/>
          <w:color w:val="auto"/>
        </w:rPr>
        <w:t>Holder,</w:t>
      </w:r>
      <w:r>
        <w:rPr>
          <w:rFonts w:ascii="Arial" w:cs="Arial" w:eastAsia="Arial" w:hAnsi="Arial"/>
          <w:sz w:val="16"/>
          <w:szCs w:val="16"/>
          <w:color w:val="auto"/>
        </w:rPr>
        <w:t>" and, collectively, the "</w:t>
      </w:r>
      <w:r>
        <w:rPr>
          <w:rFonts w:ascii="Arial" w:cs="Arial" w:eastAsia="Arial" w:hAnsi="Arial"/>
          <w:sz w:val="16"/>
          <w:szCs w:val="16"/>
          <w:b w:val="1"/>
          <w:bCs w:val="1"/>
          <w:color w:val="auto"/>
        </w:rPr>
        <w:t>Holders</w:t>
      </w:r>
      <w:r>
        <w:rPr>
          <w:rFonts w:ascii="Arial" w:cs="Arial" w:eastAsia="Arial" w:hAnsi="Arial"/>
          <w:sz w:val="16"/>
          <w:szCs w:val="16"/>
          <w:color w:val="auto"/>
        </w:rPr>
        <w:t>"), Kenneth R. Wynn Family Trust dated February , 1985("</w:t>
      </w:r>
      <w:r>
        <w:rPr>
          <w:rFonts w:ascii="Arial" w:cs="Arial" w:eastAsia="Arial" w:hAnsi="Arial"/>
          <w:sz w:val="16"/>
          <w:szCs w:val="16"/>
          <w:b w:val="1"/>
          <w:bCs w:val="1"/>
          <w:color w:val="auto"/>
        </w:rPr>
        <w:t>KRW</w:t>
      </w:r>
      <w:r>
        <w:rPr>
          <w:rFonts w:ascii="Arial" w:cs="Arial" w:eastAsia="Arial" w:hAnsi="Arial"/>
          <w:sz w:val="16"/>
          <w:szCs w:val="16"/>
          <w:color w:val="auto"/>
        </w:rPr>
        <w:t>"), and Wynn Resorts, Limited, a Nevada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each Holder owns an interest (an "</w:t>
      </w:r>
      <w:r>
        <w:rPr>
          <w:rFonts w:ascii="Arial" w:cs="Arial" w:eastAsia="Arial" w:hAnsi="Arial"/>
          <w:sz w:val="18"/>
          <w:szCs w:val="18"/>
          <w:b w:val="1"/>
          <w:bCs w:val="1"/>
          <w:color w:val="auto"/>
        </w:rPr>
        <w:t>LLC Interest</w:t>
      </w:r>
      <w:r>
        <w:rPr>
          <w:rFonts w:ascii="Arial" w:cs="Arial" w:eastAsia="Arial" w:hAnsi="Arial"/>
          <w:sz w:val="18"/>
          <w:szCs w:val="18"/>
          <w:color w:val="auto"/>
        </w:rPr>
        <w:t>") in Valvino Lamore, LLC, a Nevada limited liability company (the "</w:t>
      </w:r>
      <w:r>
        <w:rPr>
          <w:rFonts w:ascii="Arial" w:cs="Arial" w:eastAsia="Arial" w:hAnsi="Arial"/>
          <w:sz w:val="18"/>
          <w:szCs w:val="18"/>
          <w:b w:val="1"/>
          <w:bCs w:val="1"/>
          <w:color w:val="auto"/>
        </w:rPr>
        <w:t>LLC</w:t>
      </w:r>
      <w:r>
        <w:rPr>
          <w:rFonts w:ascii="Arial" w:cs="Arial" w:eastAsia="Arial" w:hAnsi="Arial"/>
          <w:sz w:val="18"/>
          <w:szCs w:val="18"/>
          <w:color w:val="auto"/>
        </w:rPr>
        <w: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Holders constitute all of the members of the LLC;</w:t>
      </w:r>
    </w:p>
    <w:p>
      <w:pPr>
        <w:spacing w:after="0" w:line="225"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WHEREAS, the Holders wish to change the form of entity which conducts the LLC's business from a limited liability company to a corporation and, to that end, the Holders have entered into the Stockholders Agreement and Wynn has formed the Corporation (with Wynn currently owning one share of Common Stock of the Corporation);</w:t>
      </w:r>
    </w:p>
    <w:p>
      <w:pPr>
        <w:spacing w:after="0" w:line="194" w:lineRule="exact"/>
        <w:rPr>
          <w:sz w:val="20"/>
          <w:szCs w:val="20"/>
          <w:color w:val="auto"/>
        </w:rPr>
      </w:pPr>
    </w:p>
    <w:p>
      <w:pPr>
        <w:jc w:val="both"/>
        <w:ind w:right="40" w:firstLine="348"/>
        <w:spacing w:after="0" w:line="332" w:lineRule="auto"/>
        <w:rPr>
          <w:sz w:val="20"/>
          <w:szCs w:val="20"/>
          <w:color w:val="auto"/>
        </w:rPr>
      </w:pPr>
      <w:r>
        <w:rPr>
          <w:rFonts w:ascii="Arial" w:cs="Arial" w:eastAsia="Arial" w:hAnsi="Arial"/>
          <w:sz w:val="16"/>
          <w:szCs w:val="16"/>
          <w:color w:val="auto"/>
        </w:rPr>
        <w:t>WHEREAS, each Holder has agreed to contribute to the Corporation all of his or its LLC Interest, effective as of the Closing Date, in exchange for Common Stock and, immediately following such exchange, the Holders shall own all of the outstanding capital stock of the Corporation;</w:t>
      </w:r>
    </w:p>
    <w:p>
      <w:pPr>
        <w:spacing w:after="0" w:line="13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WHEREAS, under Paragraph 14 of the Third Amendment, each Holder irrevocably constituted and appointed Wynn, as the Managing Member of the LLC, as such Holder's true and lawful attorney-in-fact, in its name, place, and stead, to make, execute, acknowledge, and file any document that may be necessary or advisable to consummate the transactions contemplated by Paragraph 12 of the Third Amendment, including without limitation the execution of assignments to effectuate a direct transfer of the LLC Interests by the Holders to the Corporation; and</w:t>
      </w:r>
    </w:p>
    <w:p>
      <w:pPr>
        <w:spacing w:after="0" w:line="161" w:lineRule="exact"/>
        <w:rPr>
          <w:sz w:val="20"/>
          <w:szCs w:val="20"/>
          <w:color w:val="auto"/>
        </w:rPr>
      </w:pPr>
    </w:p>
    <w:p>
      <w:pPr>
        <w:ind w:right="160" w:firstLine="348"/>
        <w:spacing w:after="0" w:line="262" w:lineRule="auto"/>
        <w:rPr>
          <w:sz w:val="20"/>
          <w:szCs w:val="20"/>
          <w:color w:val="auto"/>
        </w:rPr>
      </w:pPr>
      <w:r>
        <w:rPr>
          <w:rFonts w:ascii="Arial" w:cs="Arial" w:eastAsia="Arial" w:hAnsi="Arial"/>
          <w:sz w:val="18"/>
          <w:szCs w:val="18"/>
          <w:color w:val="auto"/>
        </w:rPr>
        <w:t>WHEREAS, concurrently herewith, KRW and the LLC are entering into that certain Share Purchase Agreement (the "</w:t>
      </w:r>
      <w:r>
        <w:rPr>
          <w:rFonts w:ascii="Arial" w:cs="Arial" w:eastAsia="Arial" w:hAnsi="Arial"/>
          <w:sz w:val="18"/>
          <w:szCs w:val="18"/>
          <w:b w:val="1"/>
          <w:bCs w:val="1"/>
          <w:color w:val="auto"/>
        </w:rPr>
        <w:t>KRW Transaction</w:t>
      </w:r>
      <w:r>
        <w:rPr>
          <w:rFonts w:ascii="Arial" w:cs="Arial" w:eastAsia="Arial" w:hAnsi="Arial"/>
          <w:sz w:val="18"/>
          <w:szCs w:val="18"/>
          <w:color w:val="auto"/>
        </w:rPr>
        <w:t>") pursuant to which, subject to certain conditions but otherwise as soon as practicable hereafter, KRW will contribute $1.2 million in cash to the LLC in exchange for an LLC Interest and will be admitted as a member of the LLC.</w:t>
      </w:r>
    </w:p>
    <w:p>
      <w:pPr>
        <w:spacing w:after="0" w:line="192" w:lineRule="exact"/>
        <w:rPr>
          <w:sz w:val="20"/>
          <w:szCs w:val="20"/>
          <w:color w:val="auto"/>
        </w:rPr>
      </w:pPr>
    </w:p>
    <w:p>
      <w:pPr>
        <w:ind w:right="980" w:firstLine="351"/>
        <w:spacing w:after="0" w:line="332" w:lineRule="auto"/>
        <w:rPr>
          <w:sz w:val="20"/>
          <w:szCs w:val="20"/>
          <w:color w:val="auto"/>
        </w:rPr>
      </w:pPr>
      <w:r>
        <w:rPr>
          <w:rFonts w:ascii="Arial" w:cs="Arial" w:eastAsia="Arial" w:hAnsi="Arial"/>
          <w:sz w:val="16"/>
          <w:szCs w:val="16"/>
          <w:color w:val="auto"/>
        </w:rPr>
        <w:t>NOW, THEREFORE, in light of the above recitals and in consideration of the mutual agreements contained herein and other good and valuable consideration, the receipt and sufficiency of which are hereby acknowledged, the parties hereby agree as follows:</w:t>
      </w:r>
    </w:p>
    <w:p>
      <w:pPr>
        <w:spacing w:after="0" w:line="1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Definitions.</w:t>
      </w:r>
    </w:p>
    <w:p>
      <w:pPr>
        <w:spacing w:after="0" w:line="23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this Contribution Agreement.</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Closing Conditions</w:t>
      </w:r>
      <w:r>
        <w:rPr>
          <w:rFonts w:ascii="Arial" w:cs="Arial" w:eastAsia="Arial" w:hAnsi="Arial"/>
          <w:sz w:val="15"/>
          <w:szCs w:val="15"/>
          <w:color w:val="auto"/>
        </w:rPr>
        <w:t>" means the closing conditions contained in Section 6 of this Agreement.</w:t>
      </w:r>
    </w:p>
    <w:p>
      <w:pPr>
        <w:spacing w:after="0" w:line="252" w:lineRule="exact"/>
        <w:rPr>
          <w:sz w:val="20"/>
          <w:szCs w:val="20"/>
          <w:color w:val="auto"/>
        </w:rPr>
      </w:pPr>
    </w:p>
    <w:p>
      <w:pPr>
        <w:ind w:left="1080" w:right="440" w:hanging="539"/>
        <w:spacing w:after="0" w:line="275" w:lineRule="auto"/>
        <w:tabs>
          <w:tab w:leader="none" w:pos="1060" w:val="left"/>
        </w:tabs>
        <w:rPr>
          <w:sz w:val="20"/>
          <w:szCs w:val="20"/>
          <w:color w:val="auto"/>
        </w:rPr>
      </w:pPr>
      <w:r>
        <w:rPr>
          <w:rFonts w:ascii="Arial" w:cs="Arial" w:eastAsia="Arial" w:hAnsi="Arial"/>
          <w:sz w:val="18"/>
          <w:szCs w:val="18"/>
          <w:color w:val="auto"/>
        </w:rPr>
        <w:t>1.3.</w:t>
        <w:tab/>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as of which all of the Closing Conditions are satisfied or a date, as determined by the Corporation, as soon as practicable thereafter.</w:t>
      </w:r>
    </w:p>
    <w:p>
      <w:pPr>
        <w:spacing w:after="0" w:line="18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Common Shares</w:t>
      </w:r>
      <w:r>
        <w:rPr>
          <w:rFonts w:ascii="Arial" w:cs="Arial" w:eastAsia="Arial" w:hAnsi="Arial"/>
          <w:sz w:val="15"/>
          <w:szCs w:val="15"/>
          <w:color w:val="auto"/>
        </w:rPr>
        <w:t>" has the meaning given that term in the Operating Agreement.</w:t>
      </w:r>
    </w:p>
    <w:p>
      <w:pPr>
        <w:spacing w:after="0" w:line="23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Common Stock</w:t>
      </w:r>
      <w:r>
        <w:rPr>
          <w:rFonts w:ascii="Arial" w:cs="Arial" w:eastAsia="Arial" w:hAnsi="Arial"/>
          <w:sz w:val="15"/>
          <w:szCs w:val="15"/>
          <w:color w:val="auto"/>
        </w:rPr>
        <w:t>" means shares of common stock, $0.01 par value per share, of the Corporation.</w:t>
      </w:r>
    </w:p>
    <w:p>
      <w:pPr>
        <w:spacing w:after="0" w:line="252" w:lineRule="exact"/>
        <w:rPr>
          <w:sz w:val="20"/>
          <w:szCs w:val="20"/>
          <w:color w:val="auto"/>
        </w:rPr>
      </w:pPr>
    </w:p>
    <w:p>
      <w:pPr>
        <w:ind w:left="1080" w:right="80" w:hanging="539"/>
        <w:spacing w:after="0" w:line="275" w:lineRule="auto"/>
        <w:tabs>
          <w:tab w:leader="none" w:pos="1060" w:val="left"/>
        </w:tabs>
        <w:rPr>
          <w:sz w:val="20"/>
          <w:szCs w:val="20"/>
          <w:color w:val="auto"/>
        </w:rPr>
      </w:pPr>
      <w:r>
        <w:rPr>
          <w:rFonts w:ascii="Arial" w:cs="Arial" w:eastAsia="Arial" w:hAnsi="Arial"/>
          <w:sz w:val="18"/>
          <w:szCs w:val="18"/>
          <w:color w:val="auto"/>
        </w:rPr>
        <w:t>1.6.</w:t>
        <w:tab/>
        <w:t>"</w:t>
      </w:r>
      <w:r>
        <w:rPr>
          <w:rFonts w:ascii="Arial" w:cs="Arial" w:eastAsia="Arial" w:hAnsi="Arial"/>
          <w:sz w:val="18"/>
          <w:szCs w:val="18"/>
          <w:b w:val="1"/>
          <w:bCs w:val="1"/>
          <w:color w:val="auto"/>
        </w:rPr>
        <w:t>Operating Agreement</w:t>
      </w:r>
      <w:r>
        <w:rPr>
          <w:rFonts w:ascii="Arial" w:cs="Arial" w:eastAsia="Arial" w:hAnsi="Arial"/>
          <w:sz w:val="18"/>
          <w:szCs w:val="18"/>
          <w:color w:val="auto"/>
        </w:rPr>
        <w:t>" means that certain Amended and Restated Operating Agreement of the LLC, as it may be amended and/or restated from time to time.</w:t>
      </w:r>
    </w:p>
    <w:p>
      <w:pPr>
        <w:spacing w:after="0" w:line="187" w:lineRule="exact"/>
        <w:rPr>
          <w:sz w:val="20"/>
          <w:szCs w:val="20"/>
          <w:color w:val="auto"/>
        </w:rPr>
      </w:pPr>
    </w:p>
    <w:p>
      <w:pPr>
        <w:ind w:left="1080" w:right="460" w:hanging="539"/>
        <w:spacing w:after="0" w:line="275" w:lineRule="auto"/>
        <w:tabs>
          <w:tab w:leader="none" w:pos="1060" w:val="left"/>
        </w:tabs>
        <w:rPr>
          <w:sz w:val="20"/>
          <w:szCs w:val="20"/>
          <w:color w:val="auto"/>
        </w:rPr>
      </w:pPr>
      <w:r>
        <w:rPr>
          <w:rFonts w:ascii="Arial" w:cs="Arial" w:eastAsia="Arial" w:hAnsi="Arial"/>
          <w:sz w:val="18"/>
          <w:szCs w:val="18"/>
          <w:color w:val="auto"/>
        </w:rPr>
        <w:t>1.7.</w:t>
        <w:tab/>
        <w:t>"</w:t>
      </w:r>
      <w:r>
        <w:rPr>
          <w:rFonts w:ascii="Arial" w:cs="Arial" w:eastAsia="Arial" w:hAnsi="Arial"/>
          <w:sz w:val="18"/>
          <w:szCs w:val="18"/>
          <w:b w:val="1"/>
          <w:bCs w:val="1"/>
          <w:color w:val="auto"/>
        </w:rPr>
        <w:t>Stockholders Agreement</w:t>
      </w:r>
      <w:r>
        <w:rPr>
          <w:rFonts w:ascii="Arial" w:cs="Arial" w:eastAsia="Arial" w:hAnsi="Arial"/>
          <w:sz w:val="18"/>
          <w:szCs w:val="18"/>
          <w:color w:val="auto"/>
        </w:rPr>
        <w:t>" means that certain Stockholders Agreement, dated as of April 11, 2002, by and among the Holders, as it may be amended and/or restated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50430" cy="215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080" w:right="60" w:hanging="539"/>
        <w:spacing w:after="0" w:line="275" w:lineRule="auto"/>
        <w:tabs>
          <w:tab w:leader="none" w:pos="1060" w:val="left"/>
        </w:tabs>
        <w:rPr>
          <w:sz w:val="20"/>
          <w:szCs w:val="20"/>
          <w:color w:val="auto"/>
        </w:rPr>
      </w:pPr>
      <w:r>
        <w:rPr>
          <w:rFonts w:ascii="Arial" w:cs="Arial" w:eastAsia="Arial" w:hAnsi="Arial"/>
          <w:sz w:val="18"/>
          <w:szCs w:val="18"/>
          <w:color w:val="auto"/>
        </w:rPr>
        <w:t>1.8.</w:t>
        <w:tab/>
        <w:t>"</w:t>
      </w:r>
      <w:r>
        <w:rPr>
          <w:rFonts w:ascii="Arial" w:cs="Arial" w:eastAsia="Arial" w:hAnsi="Arial"/>
          <w:sz w:val="18"/>
          <w:szCs w:val="18"/>
          <w:b w:val="1"/>
          <w:bCs w:val="1"/>
          <w:color w:val="auto"/>
        </w:rPr>
        <w:t>Third Amendment</w:t>
      </w:r>
      <w:r>
        <w:rPr>
          <w:rFonts w:ascii="Arial" w:cs="Arial" w:eastAsia="Arial" w:hAnsi="Arial"/>
          <w:sz w:val="18"/>
          <w:szCs w:val="18"/>
          <w:color w:val="auto"/>
        </w:rPr>
        <w:t>" means that certain Third Amendment to Amended and Restated Operating Agreement of Valvino Lamore, LLC, dated as of April 11, 2002.</w:t>
      </w:r>
    </w:p>
    <w:p>
      <w:pPr>
        <w:spacing w:after="0" w:line="1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Contribution.</w:t>
      </w:r>
    </w:p>
    <w:p>
      <w:pPr>
        <w:spacing w:after="0" w:line="23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420" w:type="dxa"/>
            <w:vAlign w:val="bottom"/>
          </w:tcPr>
          <w:p>
            <w:pPr>
              <w:jc w:val="right"/>
              <w:ind w:right="52"/>
              <w:spacing w:after="0"/>
              <w:rPr>
                <w:sz w:val="20"/>
                <w:szCs w:val="20"/>
                <w:color w:val="auto"/>
              </w:rPr>
            </w:pPr>
            <w:r>
              <w:rPr>
                <w:rFonts w:ascii="Arial" w:cs="Arial" w:eastAsia="Arial" w:hAnsi="Arial"/>
                <w:sz w:val="18"/>
                <w:szCs w:val="18"/>
                <w:color w:val="auto"/>
                <w:w w:val="86"/>
              </w:rPr>
              <w:t>2.1.</w:t>
            </w:r>
          </w:p>
        </w:tc>
        <w:tc>
          <w:tcPr>
            <w:tcW w:w="10420" w:type="dxa"/>
            <w:vAlign w:val="bottom"/>
          </w:tcPr>
          <w:p>
            <w:pPr>
              <w:ind w:left="120"/>
              <w:spacing w:after="0"/>
              <w:rPr>
                <w:sz w:val="20"/>
                <w:szCs w:val="20"/>
                <w:color w:val="auto"/>
              </w:rPr>
            </w:pPr>
            <w:r>
              <w:rPr>
                <w:rFonts w:ascii="Arial" w:cs="Arial" w:eastAsia="Arial" w:hAnsi="Arial"/>
                <w:sz w:val="18"/>
                <w:szCs w:val="18"/>
                <w:i w:val="1"/>
                <w:iCs w:val="1"/>
                <w:color w:val="auto"/>
                <w:w w:val="92"/>
              </w:rPr>
              <w:t xml:space="preserve">Contribution of LLC Interests.  </w:t>
            </w:r>
            <w:r>
              <w:rPr>
                <w:rFonts w:ascii="Arial" w:cs="Arial" w:eastAsia="Arial" w:hAnsi="Arial"/>
                <w:sz w:val="18"/>
                <w:szCs w:val="18"/>
                <w:color w:val="auto"/>
                <w:w w:val="92"/>
              </w:rPr>
              <w:t>Each Holder hereby agrees to assign, transfer, convey, and deliver to the Corporation, as a contribution, such</w:t>
            </w:r>
          </w:p>
        </w:tc>
      </w:tr>
      <w:tr>
        <w:trPr>
          <w:trHeight w:val="216"/>
        </w:trPr>
        <w:tc>
          <w:tcPr>
            <w:tcW w:w="42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0"/>
              </w:rPr>
              <w:t>Holder's respective LLC Interest, effective upon the Closing Date, in a transaction intended to qualify under Section 351 of the Internal Revenue</w:t>
            </w:r>
          </w:p>
        </w:tc>
      </w:tr>
      <w:tr>
        <w:trPr>
          <w:trHeight w:val="216"/>
        </w:trPr>
        <w:tc>
          <w:tcPr>
            <w:tcW w:w="42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88"/>
              </w:rPr>
              <w:t>Code of 1986, as amended. The Corporation hereby agrees to acquire and accept such contribution. Wynn, as the Managing Member of the LLC,</w:t>
            </w:r>
          </w:p>
        </w:tc>
      </w:tr>
      <w:tr>
        <w:trPr>
          <w:trHeight w:val="222"/>
        </w:trPr>
        <w:tc>
          <w:tcPr>
            <w:tcW w:w="420" w:type="dxa"/>
            <w:vAlign w:val="bottom"/>
          </w:tcPr>
          <w:p>
            <w:pPr>
              <w:spacing w:after="0"/>
              <w:rPr>
                <w:sz w:val="19"/>
                <w:szCs w:val="19"/>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hereby expressly consents to the transactions contemplated hereby.</w:t>
            </w:r>
          </w:p>
        </w:tc>
      </w:tr>
      <w:tr>
        <w:trPr>
          <w:trHeight w:val="433"/>
        </w:trPr>
        <w:tc>
          <w:tcPr>
            <w:tcW w:w="420" w:type="dxa"/>
            <w:vAlign w:val="bottom"/>
          </w:tcPr>
          <w:p>
            <w:pPr>
              <w:jc w:val="right"/>
              <w:ind w:right="52"/>
              <w:spacing w:after="0"/>
              <w:rPr>
                <w:sz w:val="20"/>
                <w:szCs w:val="20"/>
                <w:color w:val="auto"/>
              </w:rPr>
            </w:pPr>
            <w:r>
              <w:rPr>
                <w:rFonts w:ascii="Arial" w:cs="Arial" w:eastAsia="Arial" w:hAnsi="Arial"/>
                <w:sz w:val="18"/>
                <w:szCs w:val="18"/>
                <w:color w:val="auto"/>
                <w:w w:val="86"/>
              </w:rPr>
              <w:t>2.2.</w:t>
            </w:r>
          </w:p>
        </w:tc>
        <w:tc>
          <w:tcPr>
            <w:tcW w:w="10420" w:type="dxa"/>
            <w:vAlign w:val="bottom"/>
          </w:tcPr>
          <w:p>
            <w:pPr>
              <w:ind w:left="120"/>
              <w:spacing w:after="0"/>
              <w:rPr>
                <w:sz w:val="20"/>
                <w:szCs w:val="20"/>
                <w:color w:val="auto"/>
              </w:rPr>
            </w:pPr>
            <w:r>
              <w:rPr>
                <w:rFonts w:ascii="Arial" w:cs="Arial" w:eastAsia="Arial" w:hAnsi="Arial"/>
                <w:sz w:val="18"/>
                <w:szCs w:val="18"/>
                <w:i w:val="1"/>
                <w:iCs w:val="1"/>
                <w:color w:val="auto"/>
                <w:w w:val="89"/>
              </w:rPr>
              <w:t xml:space="preserve">Deliveries.  </w:t>
            </w:r>
            <w:r>
              <w:rPr>
                <w:rFonts w:ascii="Arial" w:cs="Arial" w:eastAsia="Arial" w:hAnsi="Arial"/>
                <w:sz w:val="18"/>
                <w:szCs w:val="18"/>
                <w:color w:val="auto"/>
                <w:w w:val="89"/>
              </w:rPr>
              <w:t>As of the Closing Date, each Holder shall execute and deliver to the Corporation (i) an Assignment in substantially the form attached</w:t>
            </w:r>
          </w:p>
        </w:tc>
      </w:tr>
      <w:tr>
        <w:trPr>
          <w:trHeight w:val="222"/>
        </w:trPr>
        <w:tc>
          <w:tcPr>
            <w:tcW w:w="420" w:type="dxa"/>
            <w:vAlign w:val="bottom"/>
          </w:tcPr>
          <w:p>
            <w:pPr>
              <w:spacing w:after="0"/>
              <w:rPr>
                <w:sz w:val="19"/>
                <w:szCs w:val="19"/>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hereto as Exhibit A (the "</w:t>
            </w:r>
            <w:r>
              <w:rPr>
                <w:rFonts w:ascii="Arial" w:cs="Arial" w:eastAsia="Arial" w:hAnsi="Arial"/>
                <w:sz w:val="18"/>
                <w:szCs w:val="18"/>
                <w:b w:val="1"/>
                <w:bCs w:val="1"/>
                <w:color w:val="auto"/>
                <w:w w:val="91"/>
              </w:rPr>
              <w:t>Assignment</w:t>
            </w:r>
            <w:r>
              <w:rPr>
                <w:rFonts w:ascii="Arial" w:cs="Arial" w:eastAsia="Arial" w:hAnsi="Arial"/>
                <w:sz w:val="18"/>
                <w:szCs w:val="18"/>
                <w:color w:val="auto"/>
                <w:w w:val="91"/>
              </w:rPr>
              <w:t>"), and (ii) for purposes of cancellation, all Membership Certificates issued by the LLC to the Holder as a</w:t>
            </w:r>
          </w:p>
        </w:tc>
      </w:tr>
      <w:tr>
        <w:trPr>
          <w:trHeight w:val="222"/>
        </w:trPr>
        <w:tc>
          <w:tcPr>
            <w:tcW w:w="420" w:type="dxa"/>
            <w:vAlign w:val="bottom"/>
          </w:tcPr>
          <w:p>
            <w:pPr>
              <w:spacing w:after="0"/>
              <w:rPr>
                <w:sz w:val="19"/>
                <w:szCs w:val="19"/>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member of the LLC.</w:t>
            </w:r>
          </w:p>
        </w:tc>
      </w:tr>
    </w:tbl>
    <w:p>
      <w:pPr>
        <w:spacing w:after="0" w:line="2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Issuance of Common Stock.</w:t>
      </w:r>
    </w:p>
    <w:p>
      <w:pPr>
        <w:spacing w:after="0" w:line="231" w:lineRule="exact"/>
        <w:rPr>
          <w:sz w:val="20"/>
          <w:szCs w:val="20"/>
          <w:color w:val="auto"/>
        </w:rPr>
      </w:pPr>
    </w:p>
    <w:p>
      <w:pPr>
        <w:jc w:val="both"/>
        <w:ind w:right="120" w:firstLine="341"/>
        <w:spacing w:after="0" w:line="335" w:lineRule="auto"/>
        <w:rPr>
          <w:sz w:val="20"/>
          <w:szCs w:val="20"/>
          <w:color w:val="auto"/>
        </w:rPr>
      </w:pPr>
      <w:r>
        <w:rPr>
          <w:rFonts w:ascii="Arial" w:cs="Arial" w:eastAsia="Arial" w:hAnsi="Arial"/>
          <w:sz w:val="15"/>
          <w:szCs w:val="15"/>
          <w:color w:val="auto"/>
        </w:rPr>
        <w:t>As of the Closing Date, as consideration for the contribution of the LLC Interests to the Corporation pursuant to this Agreement, the Corporation shall issue to each Holder that percentage of the issued and outstanding shares of Common Stock that corresponds to the percentage of the issued and outstanding Common Shares of the LLC that such Holder holds immediately prior to the Closing Date. Notwithstanding the foregoing, because Wynn currently holds one share of</w:t>
      </w:r>
    </w:p>
    <w:p>
      <w:pPr>
        <w:sectPr>
          <w:pgSz w:w="11900" w:h="16838" w:orient="portrait"/>
          <w:cols w:equalWidth="0" w:num="1">
            <w:col w:w="11420"/>
          </w:cols>
          <w:pgMar w:left="240" w:top="361" w:right="239" w:bottom="0" w:gutter="0" w:footer="0" w:header="0"/>
        </w:sectPr>
      </w:pPr>
    </w:p>
    <w:bookmarkStart w:id="134" w:name="page135"/>
    <w:bookmarkEnd w:id="134"/>
    <w:p>
      <w:pPr>
        <w:ind w:right="200"/>
        <w:spacing w:after="0" w:line="268" w:lineRule="auto"/>
        <w:rPr>
          <w:sz w:val="20"/>
          <w:szCs w:val="20"/>
          <w:color w:val="auto"/>
        </w:rPr>
      </w:pPr>
      <w:r>
        <w:rPr>
          <w:rFonts w:ascii="Arial" w:cs="Arial" w:eastAsia="Arial" w:hAnsi="Arial"/>
          <w:sz w:val="18"/>
          <w:szCs w:val="18"/>
          <w:color w:val="auto"/>
        </w:rPr>
        <w:t>Common Stock, as consideration for the contribution of his LLC Interest, Wynn shall be entitled to one fewer share of Common Stock than he would otherwise be entitled to under this Section 3.</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Representations and Warranties.</w:t>
      </w:r>
    </w:p>
    <w:p>
      <w:pPr>
        <w:spacing w:after="0" w:line="23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420" w:type="dxa"/>
            <w:vAlign w:val="bottom"/>
          </w:tcPr>
          <w:p>
            <w:pPr>
              <w:jc w:val="right"/>
              <w:ind w:right="52"/>
              <w:spacing w:after="0"/>
              <w:rPr>
                <w:sz w:val="20"/>
                <w:szCs w:val="20"/>
                <w:color w:val="auto"/>
              </w:rPr>
            </w:pPr>
            <w:r>
              <w:rPr>
                <w:rFonts w:ascii="Arial" w:cs="Arial" w:eastAsia="Arial" w:hAnsi="Arial"/>
                <w:sz w:val="18"/>
                <w:szCs w:val="18"/>
                <w:color w:val="auto"/>
                <w:w w:val="86"/>
              </w:rPr>
              <w:t>4.1.</w:t>
            </w:r>
          </w:p>
        </w:tc>
        <w:tc>
          <w:tcPr>
            <w:tcW w:w="10420" w:type="dxa"/>
            <w:vAlign w:val="bottom"/>
          </w:tcPr>
          <w:p>
            <w:pPr>
              <w:ind w:left="120"/>
              <w:spacing w:after="0"/>
              <w:rPr>
                <w:sz w:val="20"/>
                <w:szCs w:val="20"/>
                <w:color w:val="auto"/>
              </w:rPr>
            </w:pPr>
            <w:r>
              <w:rPr>
                <w:rFonts w:ascii="Arial" w:cs="Arial" w:eastAsia="Arial" w:hAnsi="Arial"/>
                <w:sz w:val="18"/>
                <w:szCs w:val="18"/>
                <w:i w:val="1"/>
                <w:iCs w:val="1"/>
                <w:color w:val="auto"/>
                <w:w w:val="91"/>
              </w:rPr>
              <w:t xml:space="preserve">Representations and Warranties of the Corporation.  </w:t>
            </w:r>
            <w:r>
              <w:rPr>
                <w:rFonts w:ascii="Arial" w:cs="Arial" w:eastAsia="Arial" w:hAnsi="Arial"/>
                <w:sz w:val="18"/>
                <w:szCs w:val="18"/>
                <w:color w:val="auto"/>
                <w:w w:val="91"/>
              </w:rPr>
              <w:t>The Corporation hereby represents and warrants to each Holder that: (i) it has full power</w:t>
            </w:r>
          </w:p>
        </w:tc>
      </w:tr>
      <w:tr>
        <w:trPr>
          <w:trHeight w:val="216"/>
        </w:trPr>
        <w:tc>
          <w:tcPr>
            <w:tcW w:w="42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89"/>
              </w:rPr>
              <w:t>and authority to execute and deliver this Agreement and to consummate the transactions contemplated hereby, (ii) the execution and delivery of</w:t>
            </w:r>
          </w:p>
        </w:tc>
      </w:tr>
      <w:tr>
        <w:trPr>
          <w:trHeight w:val="216"/>
        </w:trPr>
        <w:tc>
          <w:tcPr>
            <w:tcW w:w="42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89"/>
              </w:rPr>
              <w:t>this Agreement and the consummation of the transactions contemplated hereby have been duly and validly authorized by all necessary action on</w:t>
            </w:r>
          </w:p>
        </w:tc>
      </w:tr>
      <w:tr>
        <w:trPr>
          <w:trHeight w:val="216"/>
        </w:trPr>
        <w:tc>
          <w:tcPr>
            <w:tcW w:w="42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1"/>
              </w:rPr>
              <w:t>the part of the Corporation, (iii) this Agreement has been duly and validly executed and delivered by the Corporation and is a valid and binding</w:t>
            </w:r>
          </w:p>
        </w:tc>
      </w:tr>
      <w:tr>
        <w:trPr>
          <w:trHeight w:val="216"/>
        </w:trPr>
        <w:tc>
          <w:tcPr>
            <w:tcW w:w="42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88"/>
              </w:rPr>
              <w:t>agreement of the Corporation, enforceable against the Corporation in accordance with its terms, except (a) as such enforcement may be subject to</w:t>
            </w:r>
          </w:p>
        </w:tc>
      </w:tr>
      <w:tr>
        <w:trPr>
          <w:trHeight w:val="216"/>
        </w:trPr>
        <w:tc>
          <w:tcPr>
            <w:tcW w:w="42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96"/>
              </w:rPr>
              <w:t>bankruptcy, insolvency, or similar laws now or hereafter in effect relating to creditors rights generally and (b) as the remedy of specific</w:t>
            </w:r>
          </w:p>
        </w:tc>
      </w:tr>
      <w:tr>
        <w:trPr>
          <w:trHeight w:val="216"/>
        </w:trPr>
        <w:tc>
          <w:tcPr>
            <w:tcW w:w="420" w:type="dxa"/>
            <w:vAlign w:val="bottom"/>
          </w:tcPr>
          <w:p>
            <w:pPr>
              <w:spacing w:after="0"/>
              <w:rPr>
                <w:sz w:val="18"/>
                <w:szCs w:val="18"/>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w w:val="88"/>
              </w:rPr>
              <w:t>performance and injunctive and other forms of equitable relief may be subject to equitable defenses and to the discretion of the court before which</w:t>
            </w:r>
          </w:p>
        </w:tc>
      </w:tr>
      <w:tr>
        <w:trPr>
          <w:trHeight w:val="222"/>
        </w:trPr>
        <w:tc>
          <w:tcPr>
            <w:tcW w:w="420" w:type="dxa"/>
            <w:vAlign w:val="bottom"/>
          </w:tcPr>
          <w:p>
            <w:pPr>
              <w:spacing w:after="0"/>
              <w:rPr>
                <w:sz w:val="19"/>
                <w:szCs w:val="19"/>
                <w:color w:val="auto"/>
              </w:rPr>
            </w:pPr>
          </w:p>
        </w:tc>
        <w:tc>
          <w:tcPr>
            <w:tcW w:w="10420" w:type="dxa"/>
            <w:vAlign w:val="bottom"/>
          </w:tcPr>
          <w:p>
            <w:pPr>
              <w:ind w:left="120"/>
              <w:spacing w:after="0"/>
              <w:rPr>
                <w:sz w:val="20"/>
                <w:szCs w:val="20"/>
                <w:color w:val="auto"/>
              </w:rPr>
            </w:pPr>
            <w:r>
              <w:rPr>
                <w:rFonts w:ascii="Arial" w:cs="Arial" w:eastAsia="Arial" w:hAnsi="Arial"/>
                <w:sz w:val="18"/>
                <w:szCs w:val="18"/>
                <w:color w:val="auto"/>
              </w:rPr>
              <w:t>any proceeding therefor may be brought.</w:t>
            </w:r>
          </w:p>
        </w:tc>
      </w:tr>
      <w:tr>
        <w:trPr>
          <w:trHeight w:val="459"/>
        </w:trPr>
        <w:tc>
          <w:tcPr>
            <w:tcW w:w="420" w:type="dxa"/>
            <w:vAlign w:val="bottom"/>
          </w:tcPr>
          <w:p>
            <w:pPr>
              <w:jc w:val="right"/>
              <w:ind w:right="52"/>
              <w:spacing w:after="0"/>
              <w:rPr>
                <w:sz w:val="20"/>
                <w:szCs w:val="20"/>
                <w:color w:val="auto"/>
              </w:rPr>
            </w:pPr>
            <w:r>
              <w:rPr>
                <w:rFonts w:ascii="Arial" w:cs="Arial" w:eastAsia="Arial" w:hAnsi="Arial"/>
                <w:sz w:val="18"/>
                <w:szCs w:val="18"/>
                <w:color w:val="auto"/>
                <w:w w:val="86"/>
              </w:rPr>
              <w:t>4.2.</w:t>
            </w:r>
          </w:p>
        </w:tc>
        <w:tc>
          <w:tcPr>
            <w:tcW w:w="10420" w:type="dxa"/>
            <w:vAlign w:val="bottom"/>
          </w:tcPr>
          <w:p>
            <w:pPr>
              <w:ind w:left="120"/>
              <w:spacing w:after="0"/>
              <w:rPr>
                <w:sz w:val="20"/>
                <w:szCs w:val="20"/>
                <w:color w:val="auto"/>
              </w:rPr>
            </w:pPr>
            <w:r>
              <w:rPr>
                <w:rFonts w:ascii="Arial" w:cs="Arial" w:eastAsia="Arial" w:hAnsi="Arial"/>
                <w:sz w:val="18"/>
                <w:szCs w:val="18"/>
                <w:i w:val="1"/>
                <w:iCs w:val="1"/>
                <w:color w:val="auto"/>
                <w:w w:val="92"/>
              </w:rPr>
              <w:t xml:space="preserve">Representations and Warranties of Each Holder.  </w:t>
            </w:r>
            <w:r>
              <w:rPr>
                <w:rFonts w:ascii="Arial" w:cs="Arial" w:eastAsia="Arial" w:hAnsi="Arial"/>
                <w:sz w:val="18"/>
                <w:szCs w:val="18"/>
                <w:color w:val="auto"/>
                <w:w w:val="92"/>
              </w:rPr>
              <w:t>Each Holder shall represent and warrant to the Corporation as set forth in the Assignment.</w:t>
            </w:r>
          </w:p>
        </w:tc>
      </w:tr>
    </w:tbl>
    <w:p>
      <w:pPr>
        <w:spacing w:after="0" w:line="2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Status as a Stockholder; Issuance of Stock Certificates.</w:t>
      </w:r>
    </w:p>
    <w:p>
      <w:pPr>
        <w:spacing w:after="0" w:line="231" w:lineRule="exact"/>
        <w:rPr>
          <w:sz w:val="20"/>
          <w:szCs w:val="20"/>
          <w:color w:val="auto"/>
        </w:rPr>
      </w:pPr>
    </w:p>
    <w:p>
      <w:pPr>
        <w:jc w:val="both"/>
        <w:ind w:right="100" w:firstLine="341"/>
        <w:spacing w:after="0" w:line="256" w:lineRule="auto"/>
        <w:rPr>
          <w:sz w:val="20"/>
          <w:szCs w:val="20"/>
          <w:color w:val="auto"/>
        </w:rPr>
      </w:pPr>
      <w:r>
        <w:rPr>
          <w:rFonts w:ascii="Arial" w:cs="Arial" w:eastAsia="Arial" w:hAnsi="Arial"/>
          <w:sz w:val="18"/>
          <w:szCs w:val="18"/>
          <w:color w:val="auto"/>
        </w:rPr>
        <w:t>At the time of the contribution of the LLC Interests to the Corporation pursuant to this Agreement, or as soon as practicable thereafter, the Corporation shall deliver or cause to be delivered to the Holders certificates representing the Common Stock; provided, however, that upon making such contributions, the Holders shall be considered stockholders of the Corporation for all purposes notwithstanding that certificates evidencing such shares have not yet been delivered to them by the Corporation.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Conditions to the Parties' Obligations at Closing.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obligations of each of the Holders and of the Corporation under this Agreement are subject to the fulfillment of the following conditions:</w:t>
      </w:r>
    </w:p>
    <w:p>
      <w:pPr>
        <w:spacing w:after="0" w:line="225" w:lineRule="exact"/>
        <w:rPr>
          <w:sz w:val="20"/>
          <w:szCs w:val="20"/>
          <w:color w:val="auto"/>
        </w:rPr>
      </w:pPr>
    </w:p>
    <w:p>
      <w:pPr>
        <w:ind w:left="1080" w:right="80" w:hanging="539"/>
        <w:spacing w:after="0" w:line="268" w:lineRule="auto"/>
        <w:tabs>
          <w:tab w:leader="none" w:pos="10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i w:val="1"/>
          <w:iCs w:val="1"/>
          <w:color w:val="auto"/>
        </w:rPr>
        <w:t xml:space="preserve">Hart-Scott-Rodino Filing: </w:t>
      </w:r>
      <w:r>
        <w:rPr>
          <w:rFonts w:ascii="Arial" w:cs="Arial" w:eastAsia="Arial" w:hAnsi="Arial"/>
          <w:sz w:val="18"/>
          <w:szCs w:val="18"/>
          <w:color w:val="auto"/>
        </w:rPr>
        <w:t>All waiting periods under the Hart-Scott-Rodino Antitrust Improvements Act of 1976 with respect to the contribution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LLC Interests by Wynn and Aruze shall have expired or terminated.</w:t>
      </w:r>
    </w:p>
    <w:p>
      <w:pPr>
        <w:spacing w:after="0" w:line="199" w:lineRule="exact"/>
        <w:rPr>
          <w:sz w:val="20"/>
          <w:szCs w:val="20"/>
          <w:color w:val="auto"/>
        </w:rPr>
      </w:pPr>
    </w:p>
    <w:p>
      <w:pPr>
        <w:ind w:left="1080" w:right="20" w:hanging="539"/>
        <w:spacing w:after="0" w:line="306" w:lineRule="auto"/>
        <w:tabs>
          <w:tab w:leader="none" w:pos="10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i w:val="1"/>
          <w:iCs w:val="1"/>
          <w:color w:val="auto"/>
        </w:rPr>
        <w:t xml:space="preserve">PUC Application: </w:t>
      </w:r>
      <w:r>
        <w:rPr>
          <w:rFonts w:ascii="Arial" w:cs="Arial" w:eastAsia="Arial" w:hAnsi="Arial"/>
          <w:sz w:val="16"/>
          <w:szCs w:val="16"/>
          <w:color w:val="auto"/>
        </w:rPr>
        <w:t>All applicable approvals shall have been received from the Public Utilities Commission of Nevada in respect of an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under NRS 704.329 relating to transactions affecting Desert Inn Improvement Company, a Nevada corporation and a "small water" public utility, which is wholly owned by Desert Inn Water Company, a Nevada limited liability company, which in turn is wholly owned by the LLC.</w:t>
      </w:r>
    </w:p>
    <w:p>
      <w:pPr>
        <w:spacing w:after="0" w:line="16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KRW as Holder.</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If the KRW Transaction is consummated, then KRW shall be treated as a Holder hereunder and shall be bound by all of the terms and conditions, and be subject to all of the restrictions and obligations, applicable to a Holder hereunder.</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General Provisions.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0" w:type="dxa"/>
            <w:vAlign w:val="bottom"/>
          </w:tcPr>
          <w:p>
            <w:pPr>
              <w:jc w:val="right"/>
              <w:ind w:right="52"/>
              <w:spacing w:after="0"/>
              <w:rPr>
                <w:sz w:val="20"/>
                <w:szCs w:val="20"/>
                <w:color w:val="auto"/>
              </w:rPr>
            </w:pPr>
            <w:r>
              <w:rPr>
                <w:rFonts w:ascii="Arial" w:cs="Arial" w:eastAsia="Arial" w:hAnsi="Arial"/>
                <w:sz w:val="18"/>
                <w:szCs w:val="18"/>
                <w:color w:val="auto"/>
              </w:rPr>
              <w:t>8.1.</w:t>
            </w:r>
          </w:p>
        </w:tc>
        <w:tc>
          <w:tcPr>
            <w:tcW w:w="10460" w:type="dxa"/>
            <w:vAlign w:val="bottom"/>
          </w:tcPr>
          <w:p>
            <w:pPr>
              <w:ind w:left="120"/>
              <w:spacing w:after="0"/>
              <w:rPr>
                <w:sz w:val="20"/>
                <w:szCs w:val="20"/>
                <w:color w:val="auto"/>
              </w:rPr>
            </w:pPr>
            <w:r>
              <w:rPr>
                <w:rFonts w:ascii="Arial" w:cs="Arial" w:eastAsia="Arial" w:hAnsi="Arial"/>
                <w:sz w:val="18"/>
                <w:szCs w:val="18"/>
                <w:i w:val="1"/>
                <w:iCs w:val="1"/>
                <w:color w:val="auto"/>
                <w:w w:val="90"/>
              </w:rPr>
              <w:t xml:space="preserve">Construction.  </w:t>
            </w:r>
            <w:r>
              <w:rPr>
                <w:rFonts w:ascii="Arial" w:cs="Arial" w:eastAsia="Arial" w:hAnsi="Arial"/>
                <w:sz w:val="18"/>
                <w:szCs w:val="18"/>
                <w:color w:val="auto"/>
                <w:w w:val="90"/>
              </w:rPr>
              <w:t>In the interpretation of this Agreement, the singular may be read as the plural, and</w:t>
            </w:r>
            <w:r>
              <w:rPr>
                <w:rFonts w:ascii="Arial" w:cs="Arial" w:eastAsia="Arial" w:hAnsi="Arial"/>
                <w:sz w:val="18"/>
                <w:szCs w:val="18"/>
                <w:i w:val="1"/>
                <w:iCs w:val="1"/>
                <w:color w:val="auto"/>
                <w:w w:val="90"/>
              </w:rPr>
              <w:t xml:space="preserve"> vice versa</w:t>
            </w:r>
            <w:r>
              <w:rPr>
                <w:rFonts w:ascii="Arial" w:cs="Arial" w:eastAsia="Arial" w:hAnsi="Arial"/>
                <w:sz w:val="18"/>
                <w:szCs w:val="18"/>
                <w:color w:val="auto"/>
                <w:w w:val="90"/>
              </w:rPr>
              <w:t>, the neuter gender as the masculine</w:t>
            </w:r>
          </w:p>
        </w:tc>
      </w:tr>
      <w:tr>
        <w:trPr>
          <w:trHeight w:val="216"/>
        </w:trPr>
        <w:tc>
          <w:tcPr>
            <w:tcW w:w="96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w w:val="89"/>
              </w:rPr>
              <w:t xml:space="preserve">or feminine, and </w:t>
            </w:r>
            <w:r>
              <w:rPr>
                <w:rFonts w:ascii="Arial" w:cs="Arial" w:eastAsia="Arial" w:hAnsi="Arial"/>
                <w:sz w:val="18"/>
                <w:szCs w:val="18"/>
                <w:i w:val="1"/>
                <w:iCs w:val="1"/>
                <w:color w:val="auto"/>
                <w:w w:val="89"/>
              </w:rPr>
              <w:t>vice versa</w:t>
            </w:r>
            <w:r>
              <w:rPr>
                <w:rFonts w:ascii="Arial" w:cs="Arial" w:eastAsia="Arial" w:hAnsi="Arial"/>
                <w:sz w:val="18"/>
                <w:szCs w:val="18"/>
                <w:color w:val="auto"/>
                <w:w w:val="89"/>
              </w:rPr>
              <w:t xml:space="preserve">, and the future tense as the past or present, and </w:t>
            </w:r>
            <w:r>
              <w:rPr>
                <w:rFonts w:ascii="Arial" w:cs="Arial" w:eastAsia="Arial" w:hAnsi="Arial"/>
                <w:sz w:val="18"/>
                <w:szCs w:val="18"/>
                <w:i w:val="1"/>
                <w:iCs w:val="1"/>
                <w:color w:val="auto"/>
                <w:w w:val="89"/>
              </w:rPr>
              <w:t>vice versa</w:t>
            </w:r>
            <w:r>
              <w:rPr>
                <w:rFonts w:ascii="Arial" w:cs="Arial" w:eastAsia="Arial" w:hAnsi="Arial"/>
                <w:sz w:val="18"/>
                <w:szCs w:val="18"/>
                <w:color w:val="auto"/>
                <w:w w:val="89"/>
              </w:rPr>
              <w:t>, all interchangeably as the context may require in order to</w:t>
            </w:r>
          </w:p>
        </w:tc>
      </w:tr>
      <w:tr>
        <w:trPr>
          <w:trHeight w:val="216"/>
        </w:trPr>
        <w:tc>
          <w:tcPr>
            <w:tcW w:w="96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w w:val="90"/>
              </w:rPr>
              <w:t>effectuate fully the intent of the parties and the transactions contemplated herein. Syntax shall yield to the substance of the terms and provisions</w:t>
            </w:r>
          </w:p>
        </w:tc>
      </w:tr>
      <w:tr>
        <w:trPr>
          <w:trHeight w:val="216"/>
        </w:trPr>
        <w:tc>
          <w:tcPr>
            <w:tcW w:w="96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w w:val="90"/>
              </w:rPr>
              <w:t>hereof. The section headings in this Agreement are inserted only as a matter of convenience, and in no way define, limit, extend, or interpret the</w:t>
            </w:r>
          </w:p>
        </w:tc>
      </w:tr>
      <w:tr>
        <w:trPr>
          <w:trHeight w:val="222"/>
        </w:trPr>
        <w:tc>
          <w:tcPr>
            <w:tcW w:w="960" w:type="dxa"/>
            <w:vAlign w:val="bottom"/>
          </w:tcPr>
          <w:p>
            <w:pPr>
              <w:spacing w:after="0"/>
              <w:rPr>
                <w:sz w:val="19"/>
                <w:szCs w:val="19"/>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rPr>
              <w:t>scope of this Agreement or of any particular section.</w:t>
            </w:r>
          </w:p>
        </w:tc>
      </w:tr>
      <w:tr>
        <w:trPr>
          <w:trHeight w:val="439"/>
        </w:trPr>
        <w:tc>
          <w:tcPr>
            <w:tcW w:w="960" w:type="dxa"/>
            <w:vAlign w:val="bottom"/>
          </w:tcPr>
          <w:p>
            <w:pPr>
              <w:jc w:val="right"/>
              <w:ind w:right="52"/>
              <w:spacing w:after="0"/>
              <w:rPr>
                <w:sz w:val="20"/>
                <w:szCs w:val="20"/>
                <w:color w:val="auto"/>
              </w:rPr>
            </w:pPr>
            <w:r>
              <w:rPr>
                <w:rFonts w:ascii="Arial" w:cs="Arial" w:eastAsia="Arial" w:hAnsi="Arial"/>
                <w:sz w:val="18"/>
                <w:szCs w:val="18"/>
                <w:color w:val="auto"/>
              </w:rPr>
              <w:t>8.2.</w:t>
            </w:r>
          </w:p>
        </w:tc>
        <w:tc>
          <w:tcPr>
            <w:tcW w:w="10460" w:type="dxa"/>
            <w:vAlign w:val="bottom"/>
          </w:tcPr>
          <w:p>
            <w:pPr>
              <w:ind w:left="120"/>
              <w:spacing w:after="0"/>
              <w:rPr>
                <w:sz w:val="20"/>
                <w:szCs w:val="20"/>
                <w:color w:val="auto"/>
              </w:rPr>
            </w:pPr>
            <w:r>
              <w:rPr>
                <w:rFonts w:ascii="Arial" w:cs="Arial" w:eastAsia="Arial" w:hAnsi="Arial"/>
                <w:sz w:val="18"/>
                <w:szCs w:val="18"/>
                <w:i w:val="1"/>
                <w:iCs w:val="1"/>
                <w:color w:val="auto"/>
                <w:w w:val="92"/>
              </w:rPr>
              <w:t xml:space="preserve">Assignment.  </w:t>
            </w:r>
            <w:r>
              <w:rPr>
                <w:rFonts w:ascii="Arial" w:cs="Arial" w:eastAsia="Arial" w:hAnsi="Arial"/>
                <w:sz w:val="18"/>
                <w:szCs w:val="18"/>
                <w:color w:val="auto"/>
                <w:w w:val="92"/>
              </w:rPr>
              <w:t>None of the parties may assign their rights under this Agreement without the prior written consent of the other parties; provided,</w:t>
            </w:r>
          </w:p>
        </w:tc>
      </w:tr>
      <w:tr>
        <w:trPr>
          <w:trHeight w:val="216"/>
        </w:trPr>
        <w:tc>
          <w:tcPr>
            <w:tcW w:w="96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w w:val="89"/>
              </w:rPr>
              <w:t>however, that the Corporation may assign its rights, benefits, or obligations under this Agreement to one or more entities controlled by or affiliated</w:t>
            </w:r>
          </w:p>
        </w:tc>
      </w:tr>
      <w:tr>
        <w:trPr>
          <w:trHeight w:val="216"/>
        </w:trPr>
        <w:tc>
          <w:tcPr>
            <w:tcW w:w="96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w w:val="92"/>
              </w:rPr>
              <w:t>with it, without the prior consent of any other party hereto. This Agreement shall be binding on and inure to the benefit of the parties and their</w:t>
            </w:r>
          </w:p>
        </w:tc>
      </w:tr>
      <w:tr>
        <w:trPr>
          <w:trHeight w:val="222"/>
        </w:trPr>
        <w:tc>
          <w:tcPr>
            <w:tcW w:w="960" w:type="dxa"/>
            <w:vAlign w:val="bottom"/>
          </w:tcPr>
          <w:p>
            <w:pPr>
              <w:spacing w:after="0"/>
              <w:rPr>
                <w:sz w:val="19"/>
                <w:szCs w:val="19"/>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rPr>
              <w:t>respective successors and permitted assigns.</w:t>
            </w:r>
          </w:p>
        </w:tc>
      </w:tr>
      <w:tr>
        <w:trPr>
          <w:trHeight w:val="446"/>
        </w:trPr>
        <w:tc>
          <w:tcPr>
            <w:tcW w:w="960" w:type="dxa"/>
            <w:vAlign w:val="bottom"/>
          </w:tcPr>
          <w:p>
            <w:pPr>
              <w:jc w:val="right"/>
              <w:ind w:right="52"/>
              <w:spacing w:after="0"/>
              <w:rPr>
                <w:sz w:val="20"/>
                <w:szCs w:val="20"/>
                <w:color w:val="auto"/>
              </w:rPr>
            </w:pPr>
            <w:r>
              <w:rPr>
                <w:rFonts w:ascii="Arial" w:cs="Arial" w:eastAsia="Arial" w:hAnsi="Arial"/>
                <w:sz w:val="18"/>
                <w:szCs w:val="18"/>
                <w:color w:val="auto"/>
              </w:rPr>
              <w:t>8.3.</w:t>
            </w:r>
          </w:p>
        </w:tc>
        <w:tc>
          <w:tcPr>
            <w:tcW w:w="10460" w:type="dxa"/>
            <w:vAlign w:val="bottom"/>
          </w:tcPr>
          <w:p>
            <w:pPr>
              <w:ind w:left="120"/>
              <w:spacing w:after="0"/>
              <w:rPr>
                <w:sz w:val="20"/>
                <w:szCs w:val="20"/>
                <w:color w:val="auto"/>
              </w:rPr>
            </w:pPr>
            <w:r>
              <w:rPr>
                <w:rFonts w:ascii="Arial" w:cs="Arial" w:eastAsia="Arial" w:hAnsi="Arial"/>
                <w:sz w:val="18"/>
                <w:szCs w:val="18"/>
                <w:i w:val="1"/>
                <w:iCs w:val="1"/>
                <w:color w:val="auto"/>
                <w:w w:val="91"/>
              </w:rPr>
              <w:t xml:space="preserve">No Third-Party Benefits.  </w:t>
            </w:r>
            <w:r>
              <w:rPr>
                <w:rFonts w:ascii="Arial" w:cs="Arial" w:eastAsia="Arial" w:hAnsi="Arial"/>
                <w:sz w:val="18"/>
                <w:szCs w:val="18"/>
                <w:color w:val="auto"/>
                <w:w w:val="91"/>
              </w:rPr>
              <w:t>None of the provisions of this Agreement is intended to benefit, or to be enforceable by, any third-party beneficiaries.</w:t>
            </w:r>
          </w:p>
        </w:tc>
      </w:tr>
      <w:tr>
        <w:trPr>
          <w:trHeight w:val="453"/>
        </w:trPr>
        <w:tc>
          <w:tcPr>
            <w:tcW w:w="960" w:type="dxa"/>
            <w:vAlign w:val="bottom"/>
          </w:tcPr>
          <w:p>
            <w:pPr>
              <w:jc w:val="right"/>
              <w:ind w:right="52"/>
              <w:spacing w:after="0"/>
              <w:rPr>
                <w:sz w:val="20"/>
                <w:szCs w:val="20"/>
                <w:color w:val="auto"/>
              </w:rPr>
            </w:pPr>
            <w:r>
              <w:rPr>
                <w:rFonts w:ascii="Arial" w:cs="Arial" w:eastAsia="Arial" w:hAnsi="Arial"/>
                <w:sz w:val="18"/>
                <w:szCs w:val="18"/>
                <w:color w:val="auto"/>
              </w:rPr>
              <w:t>8.4.</w:t>
            </w:r>
          </w:p>
        </w:tc>
        <w:tc>
          <w:tcPr>
            <w:tcW w:w="10460" w:type="dxa"/>
            <w:vAlign w:val="bottom"/>
          </w:tcPr>
          <w:p>
            <w:pPr>
              <w:ind w:left="120"/>
              <w:spacing w:after="0"/>
              <w:rPr>
                <w:sz w:val="20"/>
                <w:szCs w:val="20"/>
                <w:color w:val="auto"/>
              </w:rPr>
            </w:pPr>
            <w:r>
              <w:rPr>
                <w:rFonts w:ascii="Arial" w:cs="Arial" w:eastAsia="Arial" w:hAnsi="Arial"/>
                <w:sz w:val="18"/>
                <w:szCs w:val="18"/>
                <w:i w:val="1"/>
                <w:iCs w:val="1"/>
                <w:color w:val="auto"/>
                <w:w w:val="90"/>
              </w:rPr>
              <w:t xml:space="preserve">Governing Law.  </w:t>
            </w:r>
            <w:r>
              <w:rPr>
                <w:rFonts w:ascii="Arial" w:cs="Arial" w:eastAsia="Arial" w:hAnsi="Arial"/>
                <w:sz w:val="18"/>
                <w:szCs w:val="18"/>
                <w:color w:val="auto"/>
                <w:w w:val="90"/>
              </w:rPr>
              <w:t>The laws of the State of Nevada applicable to contracts made in that State, without giving effect to its conflict of law rules, shall</w:t>
            </w:r>
          </w:p>
        </w:tc>
      </w:tr>
      <w:tr>
        <w:trPr>
          <w:trHeight w:val="222"/>
        </w:trPr>
        <w:tc>
          <w:tcPr>
            <w:tcW w:w="960" w:type="dxa"/>
            <w:vAlign w:val="bottom"/>
          </w:tcPr>
          <w:p>
            <w:pPr>
              <w:spacing w:after="0"/>
              <w:rPr>
                <w:sz w:val="19"/>
                <w:szCs w:val="19"/>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rPr>
              <w:t>govern the validity, construction, performance, and effect of this Agreement.</w:t>
            </w:r>
          </w:p>
        </w:tc>
      </w:tr>
      <w:tr>
        <w:trPr>
          <w:trHeight w:val="439"/>
        </w:trPr>
        <w:tc>
          <w:tcPr>
            <w:tcW w:w="96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10460" w:type="dxa"/>
            <w:vAlign w:val="bottom"/>
          </w:tcPr>
          <w:p>
            <w:pPr>
              <w:ind w:left="120"/>
              <w:spacing w:after="0"/>
              <w:rPr>
                <w:sz w:val="20"/>
                <w:szCs w:val="20"/>
                <w:color w:val="auto"/>
              </w:rPr>
            </w:pPr>
            <w:r>
              <w:rPr>
                <w:rFonts w:ascii="Arial" w:cs="Arial" w:eastAsia="Arial" w:hAnsi="Arial"/>
                <w:sz w:val="18"/>
                <w:szCs w:val="18"/>
                <w:i w:val="1"/>
                <w:iCs w:val="1"/>
                <w:color w:val="auto"/>
                <w:w w:val="90"/>
              </w:rPr>
              <w:t xml:space="preserve">Consent to Jurisdiction.  </w:t>
            </w:r>
            <w:r>
              <w:rPr>
                <w:rFonts w:ascii="Arial" w:cs="Arial" w:eastAsia="Arial" w:hAnsi="Arial"/>
                <w:sz w:val="18"/>
                <w:szCs w:val="18"/>
                <w:color w:val="auto"/>
                <w:w w:val="90"/>
              </w:rPr>
              <w:t>Each party hereto consents to the jurisdiction of the Courts of the State of Nevada in the event any action is brought for</w:t>
            </w:r>
          </w:p>
        </w:tc>
      </w:tr>
      <w:tr>
        <w:trPr>
          <w:trHeight w:val="222"/>
        </w:trPr>
        <w:tc>
          <w:tcPr>
            <w:tcW w:w="960" w:type="dxa"/>
            <w:vAlign w:val="bottom"/>
          </w:tcPr>
          <w:p>
            <w:pPr>
              <w:spacing w:after="0"/>
              <w:rPr>
                <w:sz w:val="19"/>
                <w:szCs w:val="19"/>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rPr>
              <w:t>declaratory relief or enforcement of any of the terms and provisions of this Agreement.</w:t>
            </w:r>
          </w:p>
        </w:tc>
      </w:tr>
      <w:tr>
        <w:trPr>
          <w:trHeight w:val="439"/>
        </w:trPr>
        <w:tc>
          <w:tcPr>
            <w:tcW w:w="960" w:type="dxa"/>
            <w:vAlign w:val="bottom"/>
          </w:tcPr>
          <w:p>
            <w:pPr>
              <w:jc w:val="right"/>
              <w:ind w:right="52"/>
              <w:spacing w:after="0"/>
              <w:rPr>
                <w:sz w:val="20"/>
                <w:szCs w:val="20"/>
                <w:color w:val="auto"/>
              </w:rPr>
            </w:pPr>
            <w:r>
              <w:rPr>
                <w:rFonts w:ascii="Arial" w:cs="Arial" w:eastAsia="Arial" w:hAnsi="Arial"/>
                <w:sz w:val="18"/>
                <w:szCs w:val="18"/>
                <w:color w:val="auto"/>
              </w:rPr>
              <w:t>8.6.</w:t>
            </w:r>
          </w:p>
        </w:tc>
        <w:tc>
          <w:tcPr>
            <w:tcW w:w="10460" w:type="dxa"/>
            <w:vAlign w:val="bottom"/>
          </w:tcPr>
          <w:p>
            <w:pPr>
              <w:ind w:left="120"/>
              <w:spacing w:after="0"/>
              <w:rPr>
                <w:sz w:val="20"/>
                <w:szCs w:val="20"/>
                <w:color w:val="auto"/>
              </w:rPr>
            </w:pPr>
            <w:r>
              <w:rPr>
                <w:rFonts w:ascii="Arial" w:cs="Arial" w:eastAsia="Arial" w:hAnsi="Arial"/>
                <w:sz w:val="18"/>
                <w:szCs w:val="18"/>
                <w:i w:val="1"/>
                <w:iCs w:val="1"/>
                <w:color w:val="auto"/>
                <w:w w:val="90"/>
              </w:rPr>
              <w:t xml:space="preserve">Amendment and Waiver.  </w:t>
            </w:r>
            <w:r>
              <w:rPr>
                <w:rFonts w:ascii="Arial" w:cs="Arial" w:eastAsia="Arial" w:hAnsi="Arial"/>
                <w:sz w:val="18"/>
                <w:szCs w:val="18"/>
                <w:color w:val="auto"/>
                <w:w w:val="90"/>
              </w:rPr>
              <w:t>This Agreement may not be modified or amended except by an instrument in writing signed by the Corporation and all</w:t>
            </w:r>
          </w:p>
        </w:tc>
      </w:tr>
      <w:tr>
        <w:trPr>
          <w:trHeight w:val="216"/>
        </w:trPr>
        <w:tc>
          <w:tcPr>
            <w:tcW w:w="96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w w:val="92"/>
              </w:rPr>
              <w:t>the Holders. No waiver of any provision of this Agreement or of any rights or obligations of any party under this Agreement shall be effective</w:t>
            </w:r>
          </w:p>
        </w:tc>
      </w:tr>
      <w:tr>
        <w:trPr>
          <w:trHeight w:val="216"/>
        </w:trPr>
        <w:tc>
          <w:tcPr>
            <w:tcW w:w="960" w:type="dxa"/>
            <w:vAlign w:val="bottom"/>
          </w:tcPr>
          <w:p>
            <w:pPr>
              <w:spacing w:after="0"/>
              <w:rPr>
                <w:sz w:val="18"/>
                <w:szCs w:val="18"/>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w w:val="92"/>
              </w:rPr>
              <w:t>unless in writing and signed by the party or parties waiving compliance, and shall be effective only in the specific instance and for the specific</w:t>
            </w:r>
          </w:p>
        </w:tc>
      </w:tr>
      <w:tr>
        <w:trPr>
          <w:trHeight w:val="222"/>
        </w:trPr>
        <w:tc>
          <w:tcPr>
            <w:tcW w:w="960" w:type="dxa"/>
            <w:vAlign w:val="bottom"/>
          </w:tcPr>
          <w:p>
            <w:pPr>
              <w:spacing w:after="0"/>
              <w:rPr>
                <w:sz w:val="19"/>
                <w:szCs w:val="19"/>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rPr>
              <w:t>purpose stated in that writing.</w:t>
            </w:r>
          </w:p>
        </w:tc>
      </w:tr>
      <w:tr>
        <w:trPr>
          <w:trHeight w:val="432"/>
        </w:trPr>
        <w:tc>
          <w:tcPr>
            <w:tcW w:w="960" w:type="dxa"/>
            <w:vAlign w:val="bottom"/>
          </w:tcPr>
          <w:p>
            <w:pPr>
              <w:spacing w:after="0"/>
              <w:rPr>
                <w:sz w:val="24"/>
                <w:szCs w:val="24"/>
                <w:color w:val="auto"/>
              </w:rPr>
            </w:pPr>
          </w:p>
        </w:tc>
        <w:tc>
          <w:tcPr>
            <w:tcW w:w="10460" w:type="dxa"/>
            <w:vAlign w:val="bottom"/>
          </w:tcPr>
          <w:p>
            <w:pPr>
              <w:ind w:left="4720"/>
              <w:spacing w:after="0"/>
              <w:rPr>
                <w:sz w:val="20"/>
                <w:szCs w:val="20"/>
                <w:color w:val="auto"/>
              </w:rPr>
            </w:pPr>
            <w:r>
              <w:rPr>
                <w:rFonts w:ascii="Arial" w:cs="Arial" w:eastAsia="Arial" w:hAnsi="Arial"/>
                <w:sz w:val="18"/>
                <w:szCs w:val="18"/>
                <w:color w:val="auto"/>
              </w:rPr>
              <w:t>3</w:t>
            </w:r>
          </w:p>
        </w:tc>
      </w:tr>
      <w:tr>
        <w:trPr>
          <w:trHeight w:val="228"/>
        </w:trPr>
        <w:tc>
          <w:tcPr>
            <w:tcW w:w="960" w:type="dxa"/>
            <w:vAlign w:val="bottom"/>
            <w:tcBorders>
              <w:bottom w:val="single" w:sz="8" w:color="808080"/>
            </w:tcBorders>
          </w:tcPr>
          <w:p>
            <w:pPr>
              <w:spacing w:after="0"/>
              <w:rPr>
                <w:sz w:val="19"/>
                <w:szCs w:val="19"/>
                <w:color w:val="auto"/>
              </w:rPr>
            </w:pPr>
          </w:p>
        </w:tc>
        <w:tc>
          <w:tcPr>
            <w:tcW w:w="10460" w:type="dxa"/>
            <w:vAlign w:val="bottom"/>
            <w:tcBorders>
              <w:bottom w:val="single" w:sz="8" w:color="808080"/>
            </w:tcBorders>
          </w:tcPr>
          <w:p>
            <w:pPr>
              <w:spacing w:after="0"/>
              <w:rPr>
                <w:sz w:val="19"/>
                <w:szCs w:val="19"/>
                <w:color w:val="auto"/>
              </w:rPr>
            </w:pPr>
          </w:p>
        </w:tc>
      </w:tr>
      <w:tr>
        <w:trPr>
          <w:trHeight w:val="448"/>
        </w:trPr>
        <w:tc>
          <w:tcPr>
            <w:tcW w:w="960" w:type="dxa"/>
            <w:vAlign w:val="bottom"/>
          </w:tcPr>
          <w:p>
            <w:pPr>
              <w:jc w:val="right"/>
              <w:ind w:right="52"/>
              <w:spacing w:after="0"/>
              <w:rPr>
                <w:sz w:val="20"/>
                <w:szCs w:val="20"/>
                <w:color w:val="auto"/>
              </w:rPr>
            </w:pPr>
            <w:r>
              <w:rPr>
                <w:rFonts w:ascii="Arial" w:cs="Arial" w:eastAsia="Arial" w:hAnsi="Arial"/>
                <w:sz w:val="18"/>
                <w:szCs w:val="18"/>
                <w:color w:val="auto"/>
              </w:rPr>
              <w:t>8.7.</w:t>
            </w:r>
          </w:p>
        </w:tc>
        <w:tc>
          <w:tcPr>
            <w:tcW w:w="10460" w:type="dxa"/>
            <w:vAlign w:val="bottom"/>
          </w:tcPr>
          <w:p>
            <w:pPr>
              <w:ind w:left="120"/>
              <w:spacing w:after="0"/>
              <w:rPr>
                <w:sz w:val="20"/>
                <w:szCs w:val="20"/>
                <w:color w:val="auto"/>
              </w:rPr>
            </w:pPr>
            <w:r>
              <w:rPr>
                <w:rFonts w:ascii="Arial" w:cs="Arial" w:eastAsia="Arial" w:hAnsi="Arial"/>
                <w:sz w:val="18"/>
                <w:szCs w:val="18"/>
                <w:i w:val="1"/>
                <w:iCs w:val="1"/>
                <w:color w:val="auto"/>
                <w:w w:val="94"/>
              </w:rPr>
              <w:t xml:space="preserve">Counterparts.  </w:t>
            </w:r>
            <w:r>
              <w:rPr>
                <w:rFonts w:ascii="Arial" w:cs="Arial" w:eastAsia="Arial" w:hAnsi="Arial"/>
                <w:sz w:val="18"/>
                <w:szCs w:val="18"/>
                <w:color w:val="auto"/>
                <w:w w:val="94"/>
              </w:rPr>
              <w:t>This Agreement may be executed in one or more counterparts, each of which shall be deemed an original, but all of which</w:t>
            </w:r>
          </w:p>
        </w:tc>
      </w:tr>
      <w:tr>
        <w:trPr>
          <w:trHeight w:val="222"/>
        </w:trPr>
        <w:tc>
          <w:tcPr>
            <w:tcW w:w="960" w:type="dxa"/>
            <w:vAlign w:val="bottom"/>
          </w:tcPr>
          <w:p>
            <w:pPr>
              <w:spacing w:after="0"/>
              <w:rPr>
                <w:sz w:val="19"/>
                <w:szCs w:val="19"/>
                <w:color w:val="auto"/>
              </w:rPr>
            </w:pPr>
          </w:p>
        </w:tc>
        <w:tc>
          <w:tcPr>
            <w:tcW w:w="10460" w:type="dxa"/>
            <w:vAlign w:val="bottom"/>
          </w:tcPr>
          <w:p>
            <w:pPr>
              <w:ind w:left="120"/>
              <w:spacing w:after="0"/>
              <w:rPr>
                <w:sz w:val="20"/>
                <w:szCs w:val="20"/>
                <w:color w:val="auto"/>
              </w:rPr>
            </w:pPr>
            <w:r>
              <w:rPr>
                <w:rFonts w:ascii="Arial" w:cs="Arial" w:eastAsia="Arial" w:hAnsi="Arial"/>
                <w:sz w:val="18"/>
                <w:szCs w:val="18"/>
                <w:color w:val="auto"/>
              </w:rPr>
              <w:t>together shall constitute one and the same instrument.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-439420</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-439420</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35" w:name="page136"/>
    <w:bookmarkEnd w:id="135"/>
    <w:tbl>
      <w:tblPr>
        <w:tblLayout w:type="fixed"/>
        <w:tblInd w:w="18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8.8.</w:t>
            </w:r>
          </w:p>
        </w:tc>
        <w:tc>
          <w:tcPr>
            <w:tcW w:w="10300" w:type="dxa"/>
            <w:vAlign w:val="bottom"/>
          </w:tcPr>
          <w:p>
            <w:pPr>
              <w:ind w:left="80"/>
              <w:spacing w:after="0"/>
              <w:rPr>
                <w:sz w:val="20"/>
                <w:szCs w:val="20"/>
                <w:color w:val="auto"/>
              </w:rPr>
            </w:pPr>
            <w:r>
              <w:rPr>
                <w:rFonts w:ascii="Arial" w:cs="Arial" w:eastAsia="Arial" w:hAnsi="Arial"/>
                <w:sz w:val="18"/>
                <w:szCs w:val="18"/>
                <w:i w:val="1"/>
                <w:iCs w:val="1"/>
                <w:color w:val="auto"/>
                <w:w w:val="88"/>
              </w:rPr>
              <w:t xml:space="preserve">Additional Documents.  </w:t>
            </w:r>
            <w:r>
              <w:rPr>
                <w:rFonts w:ascii="Arial" w:cs="Arial" w:eastAsia="Arial" w:hAnsi="Arial"/>
                <w:sz w:val="18"/>
                <w:szCs w:val="18"/>
                <w:color w:val="auto"/>
                <w:w w:val="88"/>
              </w:rPr>
              <w:t>Each party hereto agrees to execute any and all further documents and writings and to perform such other actions which</w:t>
            </w:r>
          </w:p>
        </w:tc>
      </w:tr>
      <w:tr>
        <w:trPr>
          <w:trHeight w:val="222"/>
        </w:trPr>
        <w:tc>
          <w:tcPr>
            <w:tcW w:w="460" w:type="dxa"/>
            <w:vAlign w:val="bottom"/>
          </w:tcPr>
          <w:p>
            <w:pPr>
              <w:spacing w:after="0"/>
              <w:rPr>
                <w:sz w:val="19"/>
                <w:szCs w:val="19"/>
                <w:color w:val="auto"/>
              </w:rPr>
            </w:pPr>
          </w:p>
        </w:tc>
        <w:tc>
          <w:tcPr>
            <w:tcW w:w="10300" w:type="dxa"/>
            <w:vAlign w:val="bottom"/>
          </w:tcPr>
          <w:p>
            <w:pPr>
              <w:ind w:left="80"/>
              <w:spacing w:after="0"/>
              <w:rPr>
                <w:sz w:val="20"/>
                <w:szCs w:val="20"/>
                <w:color w:val="auto"/>
              </w:rPr>
            </w:pPr>
            <w:r>
              <w:rPr>
                <w:rFonts w:ascii="Arial" w:cs="Arial" w:eastAsia="Arial" w:hAnsi="Arial"/>
                <w:sz w:val="18"/>
                <w:szCs w:val="18"/>
                <w:color w:val="auto"/>
              </w:rPr>
              <w:t>may be or become necessary or expedient to effectuate and carry out this Agreement.</w:t>
            </w:r>
          </w:p>
        </w:tc>
      </w:tr>
      <w:tr>
        <w:trPr>
          <w:trHeight w:val="453"/>
        </w:trPr>
        <w:tc>
          <w:tcPr>
            <w:tcW w:w="460" w:type="dxa"/>
            <w:vAlign w:val="bottom"/>
          </w:tcPr>
          <w:p>
            <w:pPr>
              <w:spacing w:after="0"/>
              <w:rPr>
                <w:sz w:val="20"/>
                <w:szCs w:val="20"/>
                <w:color w:val="auto"/>
              </w:rPr>
            </w:pPr>
            <w:r>
              <w:rPr>
                <w:rFonts w:ascii="Arial" w:cs="Arial" w:eastAsia="Arial" w:hAnsi="Arial"/>
                <w:sz w:val="18"/>
                <w:szCs w:val="18"/>
                <w:color w:val="auto"/>
              </w:rPr>
              <w:t>8.9.</w:t>
            </w:r>
          </w:p>
        </w:tc>
        <w:tc>
          <w:tcPr>
            <w:tcW w:w="10300" w:type="dxa"/>
            <w:vAlign w:val="bottom"/>
          </w:tcPr>
          <w:p>
            <w:pPr>
              <w:ind w:left="80"/>
              <w:spacing w:after="0"/>
              <w:rPr>
                <w:sz w:val="20"/>
                <w:szCs w:val="20"/>
                <w:color w:val="auto"/>
              </w:rPr>
            </w:pPr>
            <w:r>
              <w:rPr>
                <w:rFonts w:ascii="Arial" w:cs="Arial" w:eastAsia="Arial" w:hAnsi="Arial"/>
                <w:sz w:val="18"/>
                <w:szCs w:val="18"/>
                <w:i w:val="1"/>
                <w:iCs w:val="1"/>
                <w:color w:val="auto"/>
              </w:rPr>
              <w:t xml:space="preserve">Severability.  </w:t>
            </w:r>
            <w:r>
              <w:rPr>
                <w:rFonts w:ascii="Arial" w:cs="Arial" w:eastAsia="Arial" w:hAnsi="Arial"/>
                <w:sz w:val="18"/>
                <w:szCs w:val="18"/>
                <w:color w:val="auto"/>
              </w:rPr>
              <w:t>Any provision hereof that is prohibited or unenforceable shall be ineffective only to the extent of such prohibition or</w:t>
            </w:r>
          </w:p>
        </w:tc>
      </w:tr>
      <w:tr>
        <w:trPr>
          <w:trHeight w:val="222"/>
        </w:trPr>
        <w:tc>
          <w:tcPr>
            <w:tcW w:w="460" w:type="dxa"/>
            <w:vAlign w:val="bottom"/>
          </w:tcPr>
          <w:p>
            <w:pPr>
              <w:spacing w:after="0"/>
              <w:rPr>
                <w:sz w:val="19"/>
                <w:szCs w:val="19"/>
                <w:color w:val="auto"/>
              </w:rPr>
            </w:pPr>
          </w:p>
        </w:tc>
        <w:tc>
          <w:tcPr>
            <w:tcW w:w="10300" w:type="dxa"/>
            <w:vAlign w:val="bottom"/>
          </w:tcPr>
          <w:p>
            <w:pPr>
              <w:ind w:left="80"/>
              <w:spacing w:after="0"/>
              <w:rPr>
                <w:sz w:val="20"/>
                <w:szCs w:val="20"/>
                <w:color w:val="auto"/>
              </w:rPr>
            </w:pPr>
            <w:r>
              <w:rPr>
                <w:rFonts w:ascii="Arial" w:cs="Arial" w:eastAsia="Arial" w:hAnsi="Arial"/>
                <w:sz w:val="18"/>
                <w:szCs w:val="18"/>
                <w:color w:val="auto"/>
              </w:rPr>
              <w:t>unenforceability without invalidating the remaining provisions hereof.</w:t>
            </w: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8.10.</w:t>
            </w:r>
          </w:p>
        </w:tc>
        <w:tc>
          <w:tcPr>
            <w:tcW w:w="10300" w:type="dxa"/>
            <w:vAlign w:val="bottom"/>
          </w:tcPr>
          <w:p>
            <w:pPr>
              <w:ind w:left="80"/>
              <w:spacing w:after="0"/>
              <w:rPr>
                <w:sz w:val="20"/>
                <w:szCs w:val="20"/>
                <w:color w:val="auto"/>
              </w:rPr>
            </w:pPr>
            <w:r>
              <w:rPr>
                <w:rFonts w:ascii="Arial" w:cs="Arial" w:eastAsia="Arial" w:hAnsi="Arial"/>
                <w:sz w:val="18"/>
                <w:szCs w:val="18"/>
                <w:i w:val="1"/>
                <w:iCs w:val="1"/>
                <w:color w:val="auto"/>
                <w:w w:val="91"/>
              </w:rPr>
              <w:t xml:space="preserve">Integration.  </w:t>
            </w:r>
            <w:r>
              <w:rPr>
                <w:rFonts w:ascii="Arial" w:cs="Arial" w:eastAsia="Arial" w:hAnsi="Arial"/>
                <w:sz w:val="18"/>
                <w:szCs w:val="18"/>
                <w:color w:val="auto"/>
                <w:w w:val="91"/>
              </w:rPr>
              <w:t>This Agreement, the Stockholders Agreement, and the Operating Agreement contain the entire understanding of the parties with</w:t>
            </w:r>
          </w:p>
        </w:tc>
      </w:tr>
      <w:tr>
        <w:trPr>
          <w:trHeight w:val="222"/>
        </w:trPr>
        <w:tc>
          <w:tcPr>
            <w:tcW w:w="460" w:type="dxa"/>
            <w:vAlign w:val="bottom"/>
          </w:tcPr>
          <w:p>
            <w:pPr>
              <w:spacing w:after="0"/>
              <w:rPr>
                <w:sz w:val="19"/>
                <w:szCs w:val="19"/>
                <w:color w:val="auto"/>
              </w:rPr>
            </w:pPr>
          </w:p>
        </w:tc>
        <w:tc>
          <w:tcPr>
            <w:tcW w:w="10300" w:type="dxa"/>
            <w:vAlign w:val="bottom"/>
          </w:tcPr>
          <w:p>
            <w:pPr>
              <w:ind w:left="80"/>
              <w:spacing w:after="0"/>
              <w:rPr>
                <w:sz w:val="20"/>
                <w:szCs w:val="20"/>
                <w:color w:val="auto"/>
              </w:rPr>
            </w:pPr>
            <w:r>
              <w:rPr>
                <w:rFonts w:ascii="Arial" w:cs="Arial" w:eastAsia="Arial" w:hAnsi="Arial"/>
                <w:sz w:val="18"/>
                <w:szCs w:val="18"/>
                <w:color w:val="auto"/>
                <w:w w:val="92"/>
              </w:rPr>
              <w:t>respect to the subject matter hereof or thereof. There are no restrictions, agreements, promises, representations, warranties, covenants, or</w:t>
            </w:r>
          </w:p>
        </w:tc>
      </w:tr>
    </w:tbl>
    <w:p>
      <w:pPr>
        <w:jc w:val="both"/>
        <w:ind w:left="720" w:right="320"/>
        <w:spacing w:after="0" w:line="255" w:lineRule="auto"/>
        <w:rPr>
          <w:sz w:val="20"/>
          <w:szCs w:val="20"/>
          <w:color w:val="auto"/>
        </w:rPr>
      </w:pPr>
      <w:r>
        <w:rPr>
          <w:rFonts w:ascii="Arial" w:cs="Arial" w:eastAsia="Arial" w:hAnsi="Arial"/>
          <w:sz w:val="18"/>
          <w:szCs w:val="18"/>
          <w:color w:val="auto"/>
        </w:rPr>
        <w:t>undertakings with respect to the subject matter hereof other than those expressly set forth or referred to herein or therein. This Agreement, the Stockholders Agreement, and the Operating Agreement supersede all prior agreements and understandings between the parties with respect to their subject matter.</w:t>
      </w:r>
    </w:p>
    <w:p>
      <w:pPr>
        <w:spacing w:after="0" w:line="192"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[SIGNATURES BEGIN ON FOLLOWING PAGE]</w:t>
      </w:r>
    </w:p>
    <w:p>
      <w:pPr>
        <w:spacing w:after="0" w:line="23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20"/>
        <w:spacing w:after="0"/>
        <w:rPr>
          <w:sz w:val="20"/>
          <w:szCs w:val="20"/>
          <w:color w:val="auto"/>
        </w:rPr>
      </w:pPr>
      <w:r>
        <w:rPr>
          <w:rFonts w:ascii="Arial" w:cs="Arial" w:eastAsia="Arial" w:hAnsi="Arial"/>
          <w:sz w:val="18"/>
          <w:szCs w:val="18"/>
          <w:i w:val="1"/>
          <w:iCs w:val="1"/>
          <w:color w:val="auto"/>
        </w:rPr>
        <w:t>Signature Page to Contribution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Agreement to be duly executed as of the date first written above.</w:t>
      </w:r>
    </w:p>
    <w:p>
      <w:pPr>
        <w:spacing w:after="0" w:line="22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77470</wp:posOffset>
            </wp:positionV>
            <wp:extent cx="3623310" cy="215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2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STEPHEN A. WYNN</w:t>
      </w:r>
    </w:p>
    <w:p>
      <w:pPr>
        <w:spacing w:after="0" w:line="25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ARUZE USA, INC.</w:t>
      </w:r>
    </w:p>
    <w:p>
      <w:pPr>
        <w:spacing w:after="0" w:line="231" w:lineRule="exact"/>
        <w:rPr>
          <w:sz w:val="20"/>
          <w:szCs w:val="20"/>
          <w:color w:val="auto"/>
        </w:rPr>
      </w:pPr>
    </w:p>
    <w:p>
      <w:pPr>
        <w:ind w:left="53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77470</wp:posOffset>
            </wp:positionV>
            <wp:extent cx="3262630" cy="215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 xml:space="preserve">Stephen A. Wynn, as </w:t>
      </w:r>
      <w:r>
        <w:rPr>
          <w:rFonts w:ascii="Arial" w:cs="Arial" w:eastAsia="Arial" w:hAnsi="Arial"/>
          <w:sz w:val="18"/>
          <w:szCs w:val="18"/>
          <w:i w:val="1"/>
          <w:iCs w:val="1"/>
          <w:color w:val="auto"/>
        </w:rPr>
        <w:t>Attorney-in-Fact</w:t>
      </w:r>
    </w:p>
    <w:p>
      <w:pPr>
        <w:spacing w:after="0" w:line="24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BARON ASSET FUND, ON BEHALF OF THE BARON ASSET FUND</w:t>
      </w:r>
    </w:p>
    <w:p>
      <w:pPr>
        <w:spacing w:after="0" w:line="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SERIES</w:t>
      </w:r>
    </w:p>
    <w:p>
      <w:pPr>
        <w:spacing w:after="0" w:line="219" w:lineRule="exact"/>
        <w:rPr>
          <w:sz w:val="20"/>
          <w:szCs w:val="20"/>
          <w:color w:val="auto"/>
        </w:rPr>
      </w:pPr>
    </w:p>
    <w:p>
      <w:pPr>
        <w:ind w:left="53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77470</wp:posOffset>
            </wp:positionV>
            <wp:extent cx="3262630" cy="215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 xml:space="preserve">Stephen A. Wynn, as </w:t>
      </w:r>
      <w:r>
        <w:rPr>
          <w:rFonts w:ascii="Arial" w:cs="Arial" w:eastAsia="Arial" w:hAnsi="Arial"/>
          <w:sz w:val="18"/>
          <w:szCs w:val="18"/>
          <w:i w:val="1"/>
          <w:iCs w:val="1"/>
          <w:color w:val="auto"/>
        </w:rPr>
        <w:t>Attorney-in-Fact</w:t>
      </w:r>
    </w:p>
    <w:p>
      <w:pPr>
        <w:spacing w:after="0" w:line="246" w:lineRule="exact"/>
        <w:rPr>
          <w:sz w:val="20"/>
          <w:szCs w:val="20"/>
          <w:color w:val="auto"/>
        </w:rPr>
      </w:pPr>
    </w:p>
    <w:p>
      <w:pPr>
        <w:ind w:left="5360"/>
        <w:spacing w:after="0" w:line="275" w:lineRule="auto"/>
        <w:rPr>
          <w:sz w:val="20"/>
          <w:szCs w:val="20"/>
          <w:color w:val="auto"/>
        </w:rPr>
      </w:pPr>
      <w:r>
        <w:rPr>
          <w:rFonts w:ascii="Arial" w:cs="Arial" w:eastAsia="Arial" w:hAnsi="Arial"/>
          <w:sz w:val="18"/>
          <w:szCs w:val="18"/>
          <w:b w:val="1"/>
          <w:bCs w:val="1"/>
          <w:color w:val="auto"/>
        </w:rPr>
        <w:t>BARON ASSET FUND, ON BEHALF OF THE BARON GROWTH FUND SERIES</w:t>
      </w:r>
    </w:p>
    <w:p>
      <w:pPr>
        <w:spacing w:after="0" w:line="180" w:lineRule="exact"/>
        <w:rPr>
          <w:sz w:val="20"/>
          <w:szCs w:val="20"/>
          <w:color w:val="auto"/>
        </w:rPr>
      </w:pPr>
    </w:p>
    <w:p>
      <w:pPr>
        <w:ind w:left="53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77470</wp:posOffset>
            </wp:positionV>
            <wp:extent cx="3262630" cy="215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 xml:space="preserve">Stephen A. Wynn, as </w:t>
      </w:r>
      <w:r>
        <w:rPr>
          <w:rFonts w:ascii="Arial" w:cs="Arial" w:eastAsia="Arial" w:hAnsi="Arial"/>
          <w:sz w:val="18"/>
          <w:szCs w:val="18"/>
          <w:i w:val="1"/>
          <w:iCs w:val="1"/>
          <w:color w:val="auto"/>
        </w:rPr>
        <w:t>Attorney-in-Fact</w:t>
      </w:r>
    </w:p>
    <w:p>
      <w:pPr>
        <w:spacing w:after="0" w:line="246" w:lineRule="exact"/>
        <w:rPr>
          <w:sz w:val="20"/>
          <w:szCs w:val="20"/>
          <w:color w:val="auto"/>
        </w:rPr>
      </w:pPr>
    </w:p>
    <w:p>
      <w:pPr>
        <w:ind w:left="5360"/>
        <w:spacing w:after="0"/>
        <w:tabs>
          <w:tab w:leader="none" w:pos="10220" w:val="left"/>
        </w:tabs>
        <w:rPr>
          <w:sz w:val="20"/>
          <w:szCs w:val="20"/>
          <w:color w:val="auto"/>
        </w:rPr>
      </w:pPr>
      <w:r>
        <w:rPr>
          <w:rFonts w:ascii="Arial" w:cs="Arial" w:eastAsia="Arial" w:hAnsi="Arial"/>
          <w:sz w:val="18"/>
          <w:szCs w:val="18"/>
          <w:b w:val="1"/>
          <w:bCs w:val="1"/>
          <w:color w:val="auto"/>
        </w:rPr>
        <w:t>KENNETH R. WYNN FAMILY TRUST DATED FEBRUARY</w:t>
      </w:r>
      <w:r>
        <w:rPr>
          <w:sz w:val="20"/>
          <w:szCs w:val="20"/>
          <w:color w:val="auto"/>
        </w:rPr>
        <w:tab/>
      </w:r>
      <w:r>
        <w:rPr>
          <w:rFonts w:ascii="Arial" w:cs="Arial" w:eastAsia="Arial" w:hAnsi="Arial"/>
          <w:sz w:val="15"/>
          <w:szCs w:val="15"/>
          <w:b w:val="1"/>
          <w:bCs w:val="1"/>
          <w:color w:val="auto"/>
        </w:rPr>
        <w:t>, 1985</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-41910</wp:posOffset>
            </wp:positionV>
            <wp:extent cx="3262630" cy="215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 xml:space="preserve">Kenneth R. Wynn, </w:t>
      </w:r>
      <w:r>
        <w:rPr>
          <w:rFonts w:ascii="Arial" w:cs="Arial" w:eastAsia="Arial" w:hAnsi="Arial"/>
          <w:sz w:val="18"/>
          <w:szCs w:val="18"/>
          <w:i w:val="1"/>
          <w:iCs w:val="1"/>
          <w:color w:val="auto"/>
        </w:rPr>
        <w:t>Trustee</w:t>
      </w:r>
    </w:p>
    <w:p>
      <w:pPr>
        <w:spacing w:after="0" w:line="24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ind w:left="53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77470</wp:posOffset>
            </wp:positionV>
            <wp:extent cx="3262630" cy="215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20"/>
        <w:spacing w:after="0"/>
        <w:rPr>
          <w:sz w:val="20"/>
          <w:szCs w:val="20"/>
          <w:color w:val="auto"/>
        </w:rPr>
      </w:pPr>
      <w:r>
        <w:rPr>
          <w:rFonts w:ascii="Arial" w:cs="Arial" w:eastAsia="Arial" w:hAnsi="Arial"/>
          <w:sz w:val="18"/>
          <w:szCs w:val="18"/>
          <w:i w:val="1"/>
          <w:iCs w:val="1"/>
          <w:color w:val="auto"/>
        </w:rPr>
        <w:t>Signature Page to Contribution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Agreement to be duly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368935</wp:posOffset>
            </wp:positionV>
            <wp:extent cx="3623310" cy="215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STEPHEN A. WYNN</w:t>
      </w:r>
    </w:p>
    <w:p>
      <w:pPr>
        <w:spacing w:after="0" w:line="25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ARUZE USA, INC.</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-41910</wp:posOffset>
            </wp:positionV>
            <wp:extent cx="3262630" cy="215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4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 xml:space="preserve">Stephen A. Wynn, as </w:t>
      </w:r>
      <w:r>
        <w:rPr>
          <w:rFonts w:ascii="Arial" w:cs="Arial" w:eastAsia="Arial" w:hAnsi="Arial"/>
          <w:sz w:val="18"/>
          <w:szCs w:val="18"/>
          <w:i w:val="1"/>
          <w:iCs w:val="1"/>
          <w:color w:val="auto"/>
        </w:rPr>
        <w:t>Attorney-in-Fact</w:t>
      </w:r>
    </w:p>
    <w:p>
      <w:pPr>
        <w:sectPr>
          <w:pgSz w:w="11900" w:h="16838" w:orient="portrait"/>
          <w:cols w:equalWidth="0" w:num="1">
            <w:col w:w="11020"/>
          </w:cols>
          <w:pgMar w:left="600" w:top="347" w:right="279" w:bottom="0" w:gutter="0" w:footer="0" w:header="0"/>
        </w:sectPr>
      </w:pPr>
    </w:p>
    <w:bookmarkStart w:id="136" w:name="page137"/>
    <w:bookmarkEnd w:id="136"/>
    <w:p>
      <w:pPr>
        <w:ind w:left="5720"/>
        <w:spacing w:after="0"/>
        <w:rPr>
          <w:sz w:val="20"/>
          <w:szCs w:val="20"/>
          <w:color w:val="auto"/>
        </w:rPr>
      </w:pPr>
      <w:r>
        <w:rPr>
          <w:rFonts w:ascii="Arial" w:cs="Arial" w:eastAsia="Arial" w:hAnsi="Arial"/>
          <w:sz w:val="18"/>
          <w:szCs w:val="18"/>
          <w:b w:val="1"/>
          <w:bCs w:val="1"/>
          <w:color w:val="auto"/>
        </w:rPr>
        <w:t>BARON ASSET FUND, ON BEHALF OF THE BARON ASSET FUND</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SERIES</w:t>
      </w:r>
    </w:p>
    <w:p>
      <w:pPr>
        <w:spacing w:after="0" w:line="21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-41910</wp:posOffset>
            </wp:positionV>
            <wp:extent cx="3262630" cy="215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40" w:type="dxa"/>
            <w:vAlign w:val="bottom"/>
          </w:tcPr>
          <w:p>
            <w:pPr>
              <w:ind w:left="1220"/>
              <w:spacing w:after="0"/>
              <w:rPr>
                <w:sz w:val="20"/>
                <w:szCs w:val="20"/>
                <w:color w:val="auto"/>
              </w:rPr>
            </w:pPr>
            <w:r>
              <w:rPr>
                <w:rFonts w:ascii="Arial" w:cs="Arial" w:eastAsia="Arial" w:hAnsi="Arial"/>
                <w:sz w:val="18"/>
                <w:szCs w:val="18"/>
                <w:color w:val="auto"/>
              </w:rPr>
              <w:t xml:space="preserve">Stephen A. Wynn, as </w:t>
            </w:r>
            <w:r>
              <w:rPr>
                <w:rFonts w:ascii="Arial" w:cs="Arial" w:eastAsia="Arial" w:hAnsi="Arial"/>
                <w:sz w:val="18"/>
                <w:szCs w:val="18"/>
                <w:i w:val="1"/>
                <w:iCs w:val="1"/>
                <w:color w:val="auto"/>
              </w:rPr>
              <w:t>Attorney-in-Fact</w:t>
            </w:r>
          </w:p>
        </w:tc>
      </w:tr>
      <w:tr>
        <w:trPr>
          <w:trHeight w:val="447"/>
        </w:trPr>
        <w:tc>
          <w:tcPr>
            <w:tcW w:w="3580" w:type="dxa"/>
            <w:vAlign w:val="bottom"/>
          </w:tcPr>
          <w:p>
            <w:pPr>
              <w:spacing w:after="0"/>
              <w:rPr>
                <w:sz w:val="24"/>
                <w:szCs w:val="24"/>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b w:val="1"/>
                <w:bCs w:val="1"/>
                <w:color w:val="auto"/>
                <w:w w:val="97"/>
              </w:rPr>
              <w:t>BARON ASSET FUND, ON BEHALF OF THE BARON GROWTH FUND</w:t>
            </w:r>
          </w:p>
        </w:tc>
      </w:tr>
      <w:tr>
        <w:trPr>
          <w:trHeight w:val="228"/>
        </w:trPr>
        <w:tc>
          <w:tcPr>
            <w:tcW w:w="3580" w:type="dxa"/>
            <w:vAlign w:val="bottom"/>
          </w:tcPr>
          <w:p>
            <w:pPr>
              <w:spacing w:after="0"/>
              <w:rPr>
                <w:sz w:val="19"/>
                <w:szCs w:val="19"/>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b w:val="1"/>
                <w:bCs w:val="1"/>
                <w:color w:val="auto"/>
              </w:rPr>
              <w:t>SERIES</w:t>
            </w:r>
          </w:p>
        </w:tc>
      </w:tr>
      <w:tr>
        <w:trPr>
          <w:trHeight w:val="363"/>
        </w:trPr>
        <w:tc>
          <w:tcPr>
            <w:tcW w:w="358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808080"/>
            </w:tcBorders>
          </w:tcPr>
          <w:p>
            <w:pPr>
              <w:spacing w:after="0"/>
              <w:rPr>
                <w:sz w:val="24"/>
                <w:szCs w:val="24"/>
                <w:color w:val="auto"/>
              </w:rPr>
            </w:pPr>
          </w:p>
        </w:tc>
      </w:tr>
      <w:tr>
        <w:trPr>
          <w:trHeight w:val="319"/>
        </w:trPr>
        <w:tc>
          <w:tcPr>
            <w:tcW w:w="3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140" w:type="dxa"/>
            <w:vAlign w:val="bottom"/>
          </w:tcPr>
          <w:p>
            <w:pPr>
              <w:ind w:left="1220"/>
              <w:spacing w:after="0"/>
              <w:rPr>
                <w:sz w:val="20"/>
                <w:szCs w:val="20"/>
                <w:color w:val="auto"/>
              </w:rPr>
            </w:pPr>
            <w:r>
              <w:rPr>
                <w:rFonts w:ascii="Arial" w:cs="Arial" w:eastAsia="Arial" w:hAnsi="Arial"/>
                <w:sz w:val="18"/>
                <w:szCs w:val="18"/>
                <w:color w:val="auto"/>
              </w:rPr>
              <w:t xml:space="preserve">Stephen A. Wynn, as </w:t>
            </w:r>
            <w:r>
              <w:rPr>
                <w:rFonts w:ascii="Arial" w:cs="Arial" w:eastAsia="Arial" w:hAnsi="Arial"/>
                <w:sz w:val="18"/>
                <w:szCs w:val="18"/>
                <w:i w:val="1"/>
                <w:iCs w:val="1"/>
                <w:color w:val="auto"/>
              </w:rPr>
              <w:t>Attorney-in-Fact</w:t>
            </w:r>
          </w:p>
        </w:tc>
      </w:tr>
      <w:tr>
        <w:trPr>
          <w:trHeight w:val="459"/>
        </w:trPr>
        <w:tc>
          <w:tcPr>
            <w:tcW w:w="3580" w:type="dxa"/>
            <w:vAlign w:val="bottom"/>
          </w:tcPr>
          <w:p>
            <w:pPr>
              <w:spacing w:after="0"/>
              <w:rPr>
                <w:sz w:val="24"/>
                <w:szCs w:val="24"/>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b w:val="1"/>
                <w:bCs w:val="1"/>
                <w:color w:val="auto"/>
              </w:rPr>
              <w:t>KENNETH R. WYNN FAMILY TRUST DATED FEBRUARY  , 1985</w:t>
            </w:r>
          </w:p>
        </w:tc>
      </w:tr>
      <w:tr>
        <w:trPr>
          <w:trHeight w:val="432"/>
        </w:trPr>
        <w:tc>
          <w:tcPr>
            <w:tcW w:w="358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Pr>
          <w:p>
            <w:pPr>
              <w:ind w:left="1500"/>
              <w:spacing w:after="0"/>
              <w:rPr>
                <w:sz w:val="20"/>
                <w:szCs w:val="20"/>
                <w:color w:val="auto"/>
              </w:rPr>
            </w:pPr>
            <w:r>
              <w:rPr>
                <w:rFonts w:ascii="Arial" w:cs="Arial" w:eastAsia="Arial" w:hAnsi="Arial"/>
                <w:sz w:val="18"/>
                <w:szCs w:val="18"/>
                <w:color w:val="auto"/>
              </w:rPr>
              <w:t>/s/ KENNETH R. WYNN</w:t>
            </w:r>
          </w:p>
        </w:tc>
      </w:tr>
      <w:tr>
        <w:trPr>
          <w:trHeight w:val="120"/>
        </w:trPr>
        <w:tc>
          <w:tcPr>
            <w:tcW w:w="35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r>
        <w:trPr>
          <w:trHeight w:val="319"/>
        </w:trPr>
        <w:tc>
          <w:tcPr>
            <w:tcW w:w="3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xml:space="preserve">Kenneth R. Wynn, </w:t>
            </w:r>
            <w:r>
              <w:rPr>
                <w:rFonts w:ascii="Arial" w:cs="Arial" w:eastAsia="Arial" w:hAnsi="Arial"/>
                <w:sz w:val="18"/>
                <w:szCs w:val="18"/>
                <w:i w:val="1"/>
                <w:iCs w:val="1"/>
                <w:color w:val="auto"/>
              </w:rPr>
              <w:t>Trustee</w:t>
            </w:r>
          </w:p>
        </w:tc>
      </w:tr>
      <w:tr>
        <w:trPr>
          <w:trHeight w:val="459"/>
        </w:trPr>
        <w:tc>
          <w:tcPr>
            <w:tcW w:w="3580" w:type="dxa"/>
            <w:vAlign w:val="bottom"/>
          </w:tcPr>
          <w:p>
            <w:pPr>
              <w:spacing w:after="0"/>
              <w:rPr>
                <w:sz w:val="24"/>
                <w:szCs w:val="24"/>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b w:val="1"/>
                <w:bCs w:val="1"/>
                <w:color w:val="auto"/>
              </w:rPr>
              <w:t>WYNN RESORTS, LIMITED</w:t>
            </w:r>
          </w:p>
        </w:tc>
      </w:tr>
      <w:tr>
        <w:trPr>
          <w:trHeight w:val="363"/>
        </w:trPr>
        <w:tc>
          <w:tcPr>
            <w:tcW w:w="358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808080"/>
            </w:tcBorders>
          </w:tcPr>
          <w:p>
            <w:pPr>
              <w:spacing w:after="0"/>
              <w:rPr>
                <w:sz w:val="24"/>
                <w:szCs w:val="24"/>
                <w:color w:val="auto"/>
              </w:rPr>
            </w:pPr>
          </w:p>
        </w:tc>
      </w:tr>
      <w:tr>
        <w:trPr>
          <w:trHeight w:val="313"/>
        </w:trPr>
        <w:tc>
          <w:tcPr>
            <w:tcW w:w="3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35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432"/>
        </w:trPr>
        <w:tc>
          <w:tcPr>
            <w:tcW w:w="3580" w:type="dxa"/>
            <w:vAlign w:val="bottom"/>
          </w:tcPr>
          <w:p>
            <w:pPr>
              <w:spacing w:after="0"/>
              <w:rPr>
                <w:sz w:val="24"/>
                <w:szCs w:val="24"/>
                <w:color w:val="auto"/>
              </w:rPr>
            </w:pPr>
          </w:p>
        </w:tc>
        <w:tc>
          <w:tcPr>
            <w:tcW w:w="2700" w:type="dxa"/>
            <w:vAlign w:val="bottom"/>
          </w:tcPr>
          <w:p>
            <w:pPr>
              <w:jc w:val="center"/>
              <w:ind w:left="1492"/>
              <w:spacing w:after="0"/>
              <w:rPr>
                <w:sz w:val="20"/>
                <w:szCs w:val="20"/>
                <w:color w:val="auto"/>
              </w:rPr>
            </w:pPr>
            <w:r>
              <w:rPr>
                <w:rFonts w:ascii="Arial" w:cs="Arial" w:eastAsia="Arial" w:hAnsi="Arial"/>
                <w:sz w:val="18"/>
                <w:szCs w:val="18"/>
                <w:color w:val="auto"/>
                <w:w w:val="79"/>
              </w:rPr>
              <w:t>6</w:t>
            </w:r>
          </w:p>
        </w:tc>
        <w:tc>
          <w:tcPr>
            <w:tcW w:w="5140" w:type="dxa"/>
            <w:vAlign w:val="bottom"/>
          </w:tcPr>
          <w:p>
            <w:pPr>
              <w:spacing w:after="0"/>
              <w:rPr>
                <w:sz w:val="24"/>
                <w:szCs w:val="24"/>
                <w:color w:val="auto"/>
              </w:rPr>
            </w:pPr>
          </w:p>
        </w:tc>
      </w:tr>
      <w:tr>
        <w:trPr>
          <w:trHeight w:val="228"/>
        </w:trPr>
        <w:tc>
          <w:tcPr>
            <w:tcW w:w="358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r>
        <w:trPr>
          <w:trHeight w:val="427"/>
        </w:trPr>
        <w:tc>
          <w:tcPr>
            <w:tcW w:w="3580" w:type="dxa"/>
            <w:vAlign w:val="bottom"/>
          </w:tcPr>
          <w:p>
            <w:pPr>
              <w:spacing w:after="0"/>
              <w:rPr>
                <w:sz w:val="24"/>
                <w:szCs w:val="24"/>
                <w:color w:val="auto"/>
              </w:rPr>
            </w:pPr>
          </w:p>
        </w:tc>
        <w:tc>
          <w:tcPr>
            <w:tcW w:w="2700" w:type="dxa"/>
            <w:vAlign w:val="bottom"/>
          </w:tcPr>
          <w:p>
            <w:pPr>
              <w:jc w:val="center"/>
              <w:ind w:left="1492"/>
              <w:spacing w:after="0"/>
              <w:rPr>
                <w:sz w:val="20"/>
                <w:szCs w:val="20"/>
                <w:color w:val="auto"/>
              </w:rPr>
            </w:pPr>
            <w:r>
              <w:rPr>
                <w:rFonts w:ascii="Arial" w:cs="Arial" w:eastAsia="Arial" w:hAnsi="Arial"/>
                <w:sz w:val="18"/>
                <w:szCs w:val="18"/>
                <w:color w:val="auto"/>
              </w:rPr>
              <w:t>EXHIBIT A</w:t>
            </w:r>
          </w:p>
        </w:tc>
        <w:tc>
          <w:tcPr>
            <w:tcW w:w="5140" w:type="dxa"/>
            <w:vAlign w:val="bottom"/>
          </w:tcPr>
          <w:p>
            <w:pPr>
              <w:spacing w:after="0"/>
              <w:rPr>
                <w:sz w:val="24"/>
                <w:szCs w:val="24"/>
                <w:color w:val="auto"/>
              </w:rPr>
            </w:pPr>
          </w:p>
        </w:tc>
      </w:tr>
      <w:tr>
        <w:trPr>
          <w:trHeight w:val="432"/>
        </w:trPr>
        <w:tc>
          <w:tcPr>
            <w:tcW w:w="3580" w:type="dxa"/>
            <w:vAlign w:val="bottom"/>
          </w:tcPr>
          <w:p>
            <w:pPr>
              <w:spacing w:after="0"/>
              <w:rPr>
                <w:sz w:val="24"/>
                <w:szCs w:val="24"/>
                <w:color w:val="auto"/>
              </w:rPr>
            </w:pPr>
          </w:p>
        </w:tc>
        <w:tc>
          <w:tcPr>
            <w:tcW w:w="7840" w:type="dxa"/>
            <w:vAlign w:val="bottom"/>
            <w:gridSpan w:val="2"/>
          </w:tcPr>
          <w:p>
            <w:pPr>
              <w:jc w:val="center"/>
              <w:ind w:right="3492"/>
              <w:spacing w:after="0"/>
              <w:rPr>
                <w:sz w:val="20"/>
                <w:szCs w:val="20"/>
                <w:color w:val="auto"/>
              </w:rPr>
            </w:pPr>
            <w:r>
              <w:rPr>
                <w:rFonts w:ascii="Arial" w:cs="Arial" w:eastAsia="Arial" w:hAnsi="Arial"/>
                <w:sz w:val="18"/>
                <w:szCs w:val="18"/>
                <w:color w:val="auto"/>
                <w:w w:val="93"/>
              </w:rPr>
              <w:t>ASSIGNMENT OF MEMBERSHIP INTEREST</w:t>
            </w:r>
          </w:p>
        </w:tc>
      </w:tr>
      <w:tr>
        <w:trPr>
          <w:trHeight w:val="432"/>
        </w:trPr>
        <w:tc>
          <w:tcPr>
            <w:tcW w:w="3580" w:type="dxa"/>
            <w:vAlign w:val="bottom"/>
          </w:tcPr>
          <w:p>
            <w:pPr>
              <w:ind w:left="360"/>
              <w:spacing w:after="0"/>
              <w:rPr>
                <w:sz w:val="20"/>
                <w:szCs w:val="20"/>
                <w:color w:val="auto"/>
              </w:rPr>
            </w:pPr>
            <w:r>
              <w:rPr>
                <w:rFonts w:ascii="Arial" w:cs="Arial" w:eastAsia="Arial" w:hAnsi="Arial"/>
                <w:sz w:val="18"/>
                <w:szCs w:val="18"/>
                <w:color w:val="auto"/>
              </w:rPr>
              <w:t>FOR VALUABLE CONSIDERATION,</w:t>
            </w:r>
          </w:p>
        </w:tc>
        <w:tc>
          <w:tcPr>
            <w:tcW w:w="7840" w:type="dxa"/>
            <w:vAlign w:val="bottom"/>
            <w:gridSpan w:val="2"/>
          </w:tcPr>
          <w:p>
            <w:pPr>
              <w:ind w:left="640"/>
              <w:spacing w:after="0"/>
              <w:rPr>
                <w:sz w:val="20"/>
                <w:szCs w:val="20"/>
                <w:color w:val="auto"/>
              </w:rPr>
            </w:pPr>
            <w:r>
              <w:rPr>
                <w:rFonts w:ascii="Arial" w:cs="Arial" w:eastAsia="Arial" w:hAnsi="Arial"/>
                <w:sz w:val="18"/>
                <w:szCs w:val="18"/>
                <w:color w:val="auto"/>
                <w:w w:val="88"/>
              </w:rPr>
              <w:t>(the "</w:t>
            </w:r>
            <w:r>
              <w:rPr>
                <w:rFonts w:ascii="Arial" w:cs="Arial" w:eastAsia="Arial" w:hAnsi="Arial"/>
                <w:sz w:val="18"/>
                <w:szCs w:val="18"/>
                <w:b w:val="1"/>
                <w:bCs w:val="1"/>
                <w:color w:val="auto"/>
                <w:w w:val="88"/>
              </w:rPr>
              <w:t>Assignor</w:t>
            </w:r>
            <w:r>
              <w:rPr>
                <w:rFonts w:ascii="Arial" w:cs="Arial" w:eastAsia="Arial" w:hAnsi="Arial"/>
                <w:sz w:val="18"/>
                <w:szCs w:val="18"/>
                <w:color w:val="auto"/>
                <w:w w:val="88"/>
              </w:rPr>
              <w:t>") hereby assigns, conveys, transfers, and delivers, as a contribution, to Wynn Resorts,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-3201035</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-3201035</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-2343785</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-2343785</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-1605915</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-1605915</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-834390</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-834390</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180"/>
        <w:spacing w:after="0" w:line="295" w:lineRule="auto"/>
        <w:rPr>
          <w:sz w:val="20"/>
          <w:szCs w:val="20"/>
          <w:color w:val="auto"/>
        </w:rPr>
      </w:pPr>
      <w:r>
        <w:rPr>
          <w:rFonts w:ascii="Arial" w:cs="Arial" w:eastAsia="Arial" w:hAnsi="Arial"/>
          <w:sz w:val="16"/>
          <w:szCs w:val="16"/>
          <w:color w:val="auto"/>
        </w:rPr>
        <w:t>Limited, a Nevada corporation (the "</w:t>
      </w:r>
      <w:r>
        <w:rPr>
          <w:rFonts w:ascii="Arial" w:cs="Arial" w:eastAsia="Arial" w:hAnsi="Arial"/>
          <w:sz w:val="16"/>
          <w:szCs w:val="16"/>
          <w:b w:val="1"/>
          <w:bCs w:val="1"/>
          <w:color w:val="auto"/>
        </w:rPr>
        <w:t>Assignee</w:t>
      </w:r>
      <w:r>
        <w:rPr>
          <w:rFonts w:ascii="Arial" w:cs="Arial" w:eastAsia="Arial" w:hAnsi="Arial"/>
          <w:sz w:val="16"/>
          <w:szCs w:val="16"/>
          <w:color w:val="auto"/>
        </w:rPr>
        <w:t>"), and the Assignee hereby acquires and accepts, as a contribution, from the Assignor, all of the right, title, and interest in and to the Assignor's LLC Interest in Valvino Lamore, LLC, a Nevada limited liability company. All capitalized terms not defined in this Assignment of Membership Interest (the "</w:t>
      </w:r>
      <w:r>
        <w:rPr>
          <w:rFonts w:ascii="Arial" w:cs="Arial" w:eastAsia="Arial" w:hAnsi="Arial"/>
          <w:sz w:val="16"/>
          <w:szCs w:val="16"/>
          <w:b w:val="1"/>
          <w:bCs w:val="1"/>
          <w:color w:val="auto"/>
        </w:rPr>
        <w:t>Assignment</w:t>
      </w:r>
      <w:r>
        <w:rPr>
          <w:rFonts w:ascii="Arial" w:cs="Arial" w:eastAsia="Arial" w:hAnsi="Arial"/>
          <w:sz w:val="16"/>
          <w:szCs w:val="16"/>
          <w:color w:val="auto"/>
        </w:rPr>
        <w:t>") shall have the meanings ascribed to them in that certain Contribution Agreement (the "</w:t>
      </w:r>
      <w:r>
        <w:rPr>
          <w:rFonts w:ascii="Arial" w:cs="Arial" w:eastAsia="Arial" w:hAnsi="Arial"/>
          <w:sz w:val="16"/>
          <w:szCs w:val="16"/>
          <w:b w:val="1"/>
          <w:bCs w:val="1"/>
          <w:color w:val="auto"/>
        </w:rPr>
        <w:t>Contribution Agreement</w:t>
      </w:r>
      <w:r>
        <w:rPr>
          <w:rFonts w:ascii="Arial" w:cs="Arial" w:eastAsia="Arial" w:hAnsi="Arial"/>
          <w:sz w:val="16"/>
          <w:szCs w:val="16"/>
          <w:color w:val="auto"/>
        </w:rPr>
        <w:t>") made and entered into effective as of June , 2002, by and among the Assignor, the Assignee, and certain other parties.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Assignor hereby represents, warrants, and covenants to the Assignee as follows:</w:t>
      </w:r>
    </w:p>
    <w:p>
      <w:pPr>
        <w:spacing w:after="0" w:line="219" w:lineRule="exact"/>
        <w:rPr>
          <w:sz w:val="20"/>
          <w:szCs w:val="20"/>
          <w:color w:val="auto"/>
        </w:rPr>
      </w:pPr>
    </w:p>
    <w:p>
      <w:pPr>
        <w:ind w:right="200" w:firstLine="359"/>
        <w:spacing w:after="0" w:line="284" w:lineRule="auto"/>
        <w:tabs>
          <w:tab w:leader="none" w:pos="655" w:val="left"/>
        </w:tabs>
        <w:numPr>
          <w:ilvl w:val="1"/>
          <w:numId w:val="190"/>
        </w:numPr>
        <w:rPr>
          <w:rFonts w:ascii="Arial" w:cs="Arial" w:eastAsia="Arial" w:hAnsi="Arial"/>
          <w:sz w:val="16"/>
          <w:szCs w:val="16"/>
          <w:color w:val="auto"/>
        </w:rPr>
      </w:pPr>
      <w:r>
        <w:rPr>
          <w:rFonts w:ascii="Arial" w:cs="Arial" w:eastAsia="Arial" w:hAnsi="Arial"/>
          <w:sz w:val="16"/>
          <w:szCs w:val="16"/>
          <w:i w:val="1"/>
          <w:iCs w:val="1"/>
          <w:color w:val="auto"/>
        </w:rPr>
        <w:t xml:space="preserve">Accredited Investor Status. </w:t>
      </w:r>
      <w:r>
        <w:rPr>
          <w:rFonts w:ascii="Arial" w:cs="Arial" w:eastAsia="Arial" w:hAnsi="Arial"/>
          <w:sz w:val="16"/>
          <w:szCs w:val="16"/>
          <w:color w:val="auto"/>
        </w:rPr>
        <w:t>The Assignor is an "accredited investor" as defined in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Rule 501(a) in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Assignor satisfies at least one of the following six criteria: (1) is an individual who is a director or executive officer of the Assignee, or (2) is an individual who has a net worth or joint net worth with his or her spouse in excess of $1 million at the time of his or her acquisition, or (3) is an individual who has an individual income in excess of $200,000 in each of the two most recent calendar years, or joint income with his or her spouse in excess of $300,000 in each of those years and has a reasonable expectation of reaching the same income level in the current year, or (4) is an entity, not formed for the specific purpose of acquiring the Common Stock, which has total assets of at least $5 million and the acquisition of the Common Stock is directed by a sophisticated person, or</w:t>
      </w:r>
    </w:p>
    <w:p>
      <w:pPr>
        <w:spacing w:after="0" w:line="2" w:lineRule="exact"/>
        <w:rPr>
          <w:rFonts w:ascii="Arial" w:cs="Arial" w:eastAsia="Arial" w:hAnsi="Arial"/>
          <w:sz w:val="16"/>
          <w:szCs w:val="16"/>
          <w:color w:val="auto"/>
        </w:rPr>
      </w:pPr>
    </w:p>
    <w:p>
      <w:pPr>
        <w:ind w:right="260" w:firstLine="8"/>
        <w:spacing w:after="0" w:line="255" w:lineRule="auto"/>
        <w:tabs>
          <w:tab w:leader="none" w:pos="24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investment company registered under the Investment Company Act of 1940 or a business development company as defined in Section 2(a)(48) of such Act, or (6) is an entity in which all of the equity owners meet the requirements of (1), (2), (3), (4), or (5) above. The Assignor has a preexisting personal or business relationship with the Assignee or any of its officers, directors, or controlling persons.</w:t>
      </w:r>
    </w:p>
    <w:p>
      <w:pPr>
        <w:spacing w:after="0" w:line="198" w:lineRule="exact"/>
        <w:rPr>
          <w:rFonts w:ascii="Arial" w:cs="Arial" w:eastAsia="Arial" w:hAnsi="Arial"/>
          <w:sz w:val="18"/>
          <w:szCs w:val="18"/>
          <w:color w:val="auto"/>
        </w:rPr>
      </w:pPr>
    </w:p>
    <w:p>
      <w:pPr>
        <w:jc w:val="both"/>
        <w:ind w:right="380" w:firstLine="359"/>
        <w:spacing w:after="0" w:line="306" w:lineRule="auto"/>
        <w:tabs>
          <w:tab w:leader="none" w:pos="658" w:val="left"/>
        </w:tabs>
        <w:numPr>
          <w:ilvl w:val="1"/>
          <w:numId w:val="191"/>
        </w:numPr>
        <w:rPr>
          <w:rFonts w:ascii="Arial" w:cs="Arial" w:eastAsia="Arial" w:hAnsi="Arial"/>
          <w:sz w:val="16"/>
          <w:szCs w:val="16"/>
          <w:color w:val="auto"/>
        </w:rPr>
      </w:pPr>
      <w:r>
        <w:rPr>
          <w:rFonts w:ascii="Arial" w:cs="Arial" w:eastAsia="Arial" w:hAnsi="Arial"/>
          <w:sz w:val="16"/>
          <w:szCs w:val="16"/>
          <w:i w:val="1"/>
          <w:iCs w:val="1"/>
          <w:color w:val="auto"/>
        </w:rPr>
        <w:t xml:space="preserve">Stock Unregistered. </w:t>
      </w:r>
      <w:r>
        <w:rPr>
          <w:rFonts w:ascii="Arial" w:cs="Arial" w:eastAsia="Arial" w:hAnsi="Arial"/>
          <w:sz w:val="16"/>
          <w:szCs w:val="16"/>
          <w:color w:val="auto"/>
        </w:rPr>
        <w:t>The Assignor acknowledges that the Common Stock has not been registered under the Securities Act of 1933, as amended, or</w:t>
      </w:r>
      <w:r>
        <w:rPr>
          <w:rFonts w:ascii="Arial" w:cs="Arial" w:eastAsia="Arial" w:hAnsi="Arial"/>
          <w:sz w:val="16"/>
          <w:szCs w:val="16"/>
          <w:i w:val="1"/>
          <w:iCs w:val="1"/>
          <w:color w:val="auto"/>
        </w:rPr>
        <w:t xml:space="preserve"> </w:t>
      </w:r>
      <w:r>
        <w:rPr>
          <w:rFonts w:ascii="Arial" w:cs="Arial" w:eastAsia="Arial" w:hAnsi="Arial"/>
          <w:sz w:val="16"/>
          <w:szCs w:val="16"/>
          <w:color w:val="auto"/>
        </w:rPr>
        <w:t>qualified under any applicable blue sky laws in reliance, in part, on the representations and warranties herein, and the following restrictive legend (or similar legend) shall be placed on the certificates representing the Common Stock issued to the Assignor:</w:t>
      </w:r>
    </w:p>
    <w:p>
      <w:pPr>
        <w:spacing w:after="0" w:line="161" w:lineRule="exact"/>
        <w:rPr>
          <w:sz w:val="20"/>
          <w:szCs w:val="20"/>
          <w:color w:val="auto"/>
        </w:rPr>
      </w:pPr>
    </w:p>
    <w:p>
      <w:pPr>
        <w:jc w:val="both"/>
        <w:ind w:left="540" w:right="280" w:firstLine="351"/>
        <w:spacing w:after="0" w:line="306" w:lineRule="auto"/>
        <w:rPr>
          <w:sz w:val="20"/>
          <w:szCs w:val="20"/>
          <w:color w:val="auto"/>
        </w:rPr>
      </w:pPr>
      <w:r>
        <w:rPr>
          <w:rFonts w:ascii="Arial" w:cs="Arial" w:eastAsia="Arial" w:hAnsi="Arial"/>
          <w:sz w:val="16"/>
          <w:szCs w:val="16"/>
          <w:color w:val="auto"/>
        </w:rPr>
        <w:t>"The securities represented by this certificate have not been registered under the Securities Act of 1933, as amended, or the securities laws of any state, and may not be sold or otherwise disposed of except pursuant to an effective registration statement under such Act and applicable state securities laws or an applicable exemption to the registration requirements of such Act and of such laws."</w:t>
      </w:r>
    </w:p>
    <w:p>
      <w:pPr>
        <w:spacing w:after="0" w:line="16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Assignor understands that the shares of Common Stock are and will be "restricted securities" under the federal securities laws in that such securities will be acquired from the Assignee in a transaction not involving a public offering, and that under such laws and applicable regulations such securities may be resold without registration under the Act only in certain limited circumstances and that otherwise such securities must be held indefinitely.</w:t>
      </w:r>
    </w:p>
    <w:p>
      <w:pPr>
        <w:spacing w:after="0" w:line="161" w:lineRule="exact"/>
        <w:rPr>
          <w:sz w:val="20"/>
          <w:szCs w:val="20"/>
          <w:color w:val="auto"/>
        </w:rPr>
      </w:pPr>
    </w:p>
    <w:p>
      <w:pPr>
        <w:ind w:right="220" w:firstLine="359"/>
        <w:spacing w:after="0" w:line="306" w:lineRule="auto"/>
        <w:tabs>
          <w:tab w:leader="none" w:pos="658"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 xml:space="preserve">Financial Resources. </w:t>
      </w:r>
      <w:r>
        <w:rPr>
          <w:rFonts w:ascii="Arial" w:cs="Arial" w:eastAsia="Arial" w:hAnsi="Arial"/>
          <w:sz w:val="16"/>
          <w:szCs w:val="16"/>
          <w:color w:val="auto"/>
        </w:rPr>
        <w:t>The Assignor's financial situation is such that the Assignor can afford to bear the economic risk of holding the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for an indefinite period of time, has no need for liquidity with respect to the Assignor's investment therein, has adequate means to provide for the Assignor's current needs and personal contingencies, and can afford to suffer the complete loss of the Assignor's investment in the Common Stock.</w:t>
      </w:r>
    </w:p>
    <w:p>
      <w:pPr>
        <w:spacing w:after="0" w:line="160" w:lineRule="exact"/>
        <w:rPr>
          <w:rFonts w:ascii="Arial" w:cs="Arial" w:eastAsia="Arial" w:hAnsi="Arial"/>
          <w:sz w:val="16"/>
          <w:szCs w:val="16"/>
          <w:color w:val="auto"/>
        </w:rPr>
      </w:pPr>
    </w:p>
    <w:p>
      <w:pPr>
        <w:ind w:right="200" w:firstLine="359"/>
        <w:spacing w:after="0" w:line="332" w:lineRule="auto"/>
        <w:tabs>
          <w:tab w:leader="none" w:pos="655"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 xml:space="preserve">Acquisition for Investment. </w:t>
      </w:r>
      <w:r>
        <w:rPr>
          <w:rFonts w:ascii="Arial" w:cs="Arial" w:eastAsia="Arial" w:hAnsi="Arial"/>
          <w:sz w:val="16"/>
          <w:szCs w:val="16"/>
          <w:color w:val="auto"/>
        </w:rPr>
        <w:t>The Assignor is acquiring the Common Stock solely for investment, for the Assignor's account and not with a view to, or</w:t>
      </w:r>
      <w:r>
        <w:rPr>
          <w:rFonts w:ascii="Arial" w:cs="Arial" w:eastAsia="Arial" w:hAnsi="Arial"/>
          <w:sz w:val="16"/>
          <w:szCs w:val="16"/>
          <w:i w:val="1"/>
          <w:iCs w:val="1"/>
          <w:color w:val="auto"/>
        </w:rPr>
        <w:t xml:space="preserve"> </w:t>
      </w:r>
      <w:r>
        <w:rPr>
          <w:rFonts w:ascii="Arial" w:cs="Arial" w:eastAsia="Arial" w:hAnsi="Arial"/>
          <w:sz w:val="16"/>
          <w:szCs w:val="16"/>
          <w:color w:val="auto"/>
        </w:rPr>
        <w:t>for resale in connection with, the distribution or other disposition thereof, except for such distributions and dispositions that are effected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compliance with the Securities Act of 1933, as amended, the rules and regulations of the SEC promulgated thereunder and all applicable state securities and blue sky laws.</w:t>
      </w:r>
    </w:p>
    <w:p>
      <w:pPr>
        <w:sectPr>
          <w:pgSz w:w="11900" w:h="16838" w:orient="portrait"/>
          <w:cols w:equalWidth="0" w:num="1">
            <w:col w:w="11420"/>
          </w:cols>
          <w:pgMar w:left="240" w:top="368" w:right="239" w:bottom="0" w:gutter="0" w:footer="0" w:header="0"/>
        </w:sectPr>
      </w:pPr>
    </w:p>
    <w:bookmarkStart w:id="137" w:name="page138"/>
    <w:bookmarkEnd w:id="137"/>
    <w:p>
      <w:pPr>
        <w:jc w:val="both"/>
        <w:ind w:firstLine="359"/>
        <w:spacing w:after="0" w:line="298" w:lineRule="auto"/>
        <w:tabs>
          <w:tab w:leader="none" w:pos="658" w:val="left"/>
        </w:tabs>
        <w:numPr>
          <w:ilvl w:val="0"/>
          <w:numId w:val="193"/>
        </w:numPr>
        <w:rPr>
          <w:rFonts w:ascii="Arial" w:cs="Arial" w:eastAsia="Arial" w:hAnsi="Arial"/>
          <w:sz w:val="16"/>
          <w:szCs w:val="16"/>
          <w:color w:val="auto"/>
        </w:rPr>
      </w:pPr>
      <w:r>
        <w:rPr>
          <w:rFonts w:ascii="Arial" w:cs="Arial" w:eastAsia="Arial" w:hAnsi="Arial"/>
          <w:sz w:val="16"/>
          <w:szCs w:val="16"/>
          <w:i w:val="1"/>
          <w:iCs w:val="1"/>
          <w:color w:val="auto"/>
        </w:rPr>
        <w:t xml:space="preserve">Title. </w:t>
      </w:r>
      <w:r>
        <w:rPr>
          <w:rFonts w:ascii="Arial" w:cs="Arial" w:eastAsia="Arial" w:hAnsi="Arial"/>
          <w:sz w:val="16"/>
          <w:szCs w:val="16"/>
          <w:color w:val="auto"/>
        </w:rPr>
        <w:t>The Assignor has good and marketable title to the LLC Interest proposed to be contributed by the Assignor hereunder and full right, power, and</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to contribute the LLC Interests hereunder, free and clear of all encumbrances (other than those imposed by the Securities Act of 1933, as amended, and the securities or blue sky laws of certain jurisdictions and the Operating Agreement); and upon delivery and exchange of the LLC Interest hereunder, the Assignee will acquire good and marketable title thereto, free and clear of all encumbrances.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Assignment is delivered pursuant to the Contribution Agreement and is subject to the terms and conditions thereof.</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1940" w:type="dxa"/>
            <w:vAlign w:val="bottom"/>
          </w:tcPr>
          <w:p>
            <w:pPr>
              <w:spacing w:after="0"/>
              <w:rPr>
                <w:sz w:val="20"/>
                <w:szCs w:val="20"/>
                <w:color w:val="auto"/>
              </w:rPr>
            </w:pPr>
            <w:r>
              <w:rPr>
                <w:rFonts w:ascii="Arial" w:cs="Arial" w:eastAsia="Arial" w:hAnsi="Arial"/>
                <w:sz w:val="18"/>
                <w:szCs w:val="18"/>
                <w:color w:val="auto"/>
              </w:rPr>
              <w:t>Dated as of the  day of</w:t>
            </w:r>
          </w:p>
        </w:tc>
        <w:tc>
          <w:tcPr>
            <w:tcW w:w="740" w:type="dxa"/>
            <w:vAlign w:val="bottom"/>
          </w:tcPr>
          <w:p>
            <w:pPr>
              <w:jc w:val="right"/>
              <w:spacing w:after="0"/>
              <w:rPr>
                <w:sz w:val="20"/>
                <w:szCs w:val="20"/>
                <w:color w:val="auto"/>
              </w:rPr>
            </w:pPr>
            <w:r>
              <w:rPr>
                <w:rFonts w:ascii="Arial" w:cs="Arial" w:eastAsia="Arial" w:hAnsi="Arial"/>
                <w:sz w:val="18"/>
                <w:szCs w:val="18"/>
                <w:color w:val="auto"/>
              </w:rPr>
              <w:t>, 2002.</w:t>
            </w:r>
          </w:p>
        </w:tc>
      </w:tr>
    </w:tbl>
    <w:p>
      <w:pPr>
        <w:spacing w:after="0" w:line="2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231775</wp:posOffset>
            </wp:positionV>
            <wp:extent cx="3623310" cy="215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of Assignor]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CONTRIBUTION AGREEMENT</w:t>
        </w:r>
      </w:hyperlink>
    </w:p>
    <w:p>
      <w:pPr>
        <w:sectPr>
          <w:pgSz w:w="11900" w:h="16838" w:orient="portrait"/>
          <w:cols w:equalWidth="0" w:num="1">
            <w:col w:w="11420"/>
          </w:cols>
          <w:pgMar w:left="240" w:top="131" w:right="239" w:bottom="1440" w:gutter="0" w:footer="0" w:header="0"/>
        </w:sectPr>
      </w:pPr>
    </w:p>
    <w:bookmarkStart w:id="138" w:name="page139"/>
    <w:bookmarkEnd w:id="138"/>
    <w:p>
      <w:pPr>
        <w:spacing w:after="0" w:line="100" w:lineRule="exact"/>
        <w:rPr>
          <w:sz w:val="20"/>
          <w:szCs w:val="20"/>
          <w:color w:val="auto"/>
        </w:rPr>
      </w:pPr>
    </w:p>
    <w:p>
      <w:pPr>
        <w:spacing w:after="0"/>
        <w:rPr>
          <w:rFonts w:ascii="Arial" w:cs="Arial" w:eastAsia="Arial" w:hAnsi="Arial"/>
          <w:sz w:val="22"/>
          <w:szCs w:val="22"/>
          <w:color w:val="0000EE"/>
        </w:rPr>
      </w:pPr>
      <w:hyperlink w:anchor="page14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Business Loan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20" w:firstLine="348"/>
        <w:spacing w:after="0" w:line="310" w:lineRule="auto"/>
        <w:rPr>
          <w:sz w:val="20"/>
          <w:szCs w:val="20"/>
          <w:color w:val="auto"/>
        </w:rPr>
      </w:pPr>
      <w:r>
        <w:rPr>
          <w:rFonts w:ascii="Arial" w:cs="Arial" w:eastAsia="Arial" w:hAnsi="Arial"/>
          <w:sz w:val="16"/>
          <w:szCs w:val="16"/>
          <w:color w:val="auto"/>
        </w:rPr>
        <w:t>This Amended and Restated Business Loan Agreement, dated as of May 30, 2002, is between BANK OF AMERICA, N.A. (the "</w:t>
      </w:r>
      <w:r>
        <w:rPr>
          <w:rFonts w:ascii="Arial" w:cs="Arial" w:eastAsia="Arial" w:hAnsi="Arial"/>
          <w:sz w:val="16"/>
          <w:szCs w:val="16"/>
          <w:b w:val="1"/>
          <w:bCs w:val="1"/>
          <w:color w:val="auto"/>
        </w:rPr>
        <w:t>Lender</w:t>
      </w:r>
      <w:r>
        <w:rPr>
          <w:rFonts w:ascii="Arial" w:cs="Arial" w:eastAsia="Arial" w:hAnsi="Arial"/>
          <w:sz w:val="16"/>
          <w:szCs w:val="16"/>
          <w:color w:val="auto"/>
        </w:rPr>
        <w:t>") and WORLD TRAVEL, LLC (the "</w:t>
      </w:r>
      <w:r>
        <w:rPr>
          <w:rFonts w:ascii="Arial" w:cs="Arial" w:eastAsia="Arial" w:hAnsi="Arial"/>
          <w:sz w:val="16"/>
          <w:szCs w:val="16"/>
          <w:b w:val="1"/>
          <w:bCs w:val="1"/>
          <w:color w:val="auto"/>
        </w:rPr>
        <w:t>Borrower</w:t>
      </w:r>
      <w:r>
        <w:rPr>
          <w:rFonts w:ascii="Arial" w:cs="Arial" w:eastAsia="Arial" w:hAnsi="Arial"/>
          <w:sz w:val="16"/>
          <w:szCs w:val="16"/>
          <w:color w:val="auto"/>
        </w:rPr>
        <w:t>") and amends and restates that certain Business Loan Agreement, dated as of February 28, 2002 between the Borrower and the Lender (the "</w:t>
      </w:r>
      <w:r>
        <w:rPr>
          <w:rFonts w:ascii="Arial" w:cs="Arial" w:eastAsia="Arial" w:hAnsi="Arial"/>
          <w:sz w:val="16"/>
          <w:szCs w:val="16"/>
          <w:b w:val="1"/>
          <w:bCs w:val="1"/>
          <w:color w:val="auto"/>
        </w:rPr>
        <w:t>Original Loan Agreement</w:t>
      </w:r>
      <w:r>
        <w:rPr>
          <w:rFonts w:ascii="Arial" w:cs="Arial" w:eastAsia="Arial" w:hAnsi="Arial"/>
          <w:sz w:val="16"/>
          <w:szCs w:val="16"/>
          <w:color w:val="auto"/>
        </w:rPr>
        <w:t>") and is not a repayment or novation of the Original Loan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25" w:lineRule="exact"/>
        <w:rPr>
          <w:sz w:val="20"/>
          <w:szCs w:val="20"/>
          <w:color w:val="auto"/>
        </w:rPr>
      </w:pPr>
    </w:p>
    <w:p>
      <w:pPr>
        <w:ind w:right="62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provided a term loan to the Borrower (the "</w:t>
      </w:r>
      <w:r>
        <w:rPr>
          <w:rFonts w:ascii="Arial" w:cs="Arial" w:eastAsia="Arial" w:hAnsi="Arial"/>
          <w:sz w:val="18"/>
          <w:szCs w:val="18"/>
          <w:b w:val="1"/>
          <w:bCs w:val="1"/>
          <w:color w:val="auto"/>
        </w:rPr>
        <w:t>Term Loan</w:t>
      </w:r>
      <w:r>
        <w:rPr>
          <w:rFonts w:ascii="Arial" w:cs="Arial" w:eastAsia="Arial" w:hAnsi="Arial"/>
          <w:sz w:val="18"/>
          <w:szCs w:val="18"/>
          <w:color w:val="auto"/>
        </w:rPr>
        <w:t>") in the original principal amount of $28,500,000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Loan Agreement;</w:t>
      </w:r>
    </w:p>
    <w:p>
      <w:pPr>
        <w:spacing w:after="0" w:line="174" w:lineRule="exact"/>
        <w:rPr>
          <w:sz w:val="20"/>
          <w:szCs w:val="20"/>
          <w:color w:val="auto"/>
        </w:rPr>
      </w:pPr>
    </w:p>
    <w:p>
      <w:pPr>
        <w:ind w:right="540" w:firstLine="351"/>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contemporaneously herewith Valvino Lamore, LLC, a Nevada limited liability company (the "</w:t>
      </w:r>
      <w:r>
        <w:rPr>
          <w:rFonts w:ascii="Arial" w:cs="Arial" w:eastAsia="Arial" w:hAnsi="Arial"/>
          <w:sz w:val="18"/>
          <w:szCs w:val="18"/>
          <w:b w:val="1"/>
          <w:bCs w:val="1"/>
          <w:color w:val="auto"/>
        </w:rPr>
        <w:t>Guarantor</w:t>
      </w:r>
      <w:r>
        <w:rPr>
          <w:rFonts w:ascii="Arial" w:cs="Arial" w:eastAsia="Arial" w:hAnsi="Arial"/>
          <w:sz w:val="18"/>
          <w:szCs w:val="18"/>
          <w:color w:val="auto"/>
        </w:rPr>
        <w:t>") is purchasing (the "</w:t>
      </w:r>
      <w:r>
        <w:rPr>
          <w:rFonts w:ascii="Arial" w:cs="Arial" w:eastAsia="Arial" w:hAnsi="Arial"/>
          <w:sz w:val="18"/>
          <w:szCs w:val="18"/>
          <w:b w:val="1"/>
          <w:bCs w:val="1"/>
          <w:color w:val="auto"/>
        </w:rPr>
        <w:t>Valvino Purchase</w:t>
      </w:r>
      <w:r>
        <w:rPr>
          <w:rFonts w:ascii="Arial" w:cs="Arial" w:eastAsia="Arial" w:hAnsi="Arial"/>
          <w:sz w:val="18"/>
          <w:szCs w:val="18"/>
          <w:color w:val="auto"/>
        </w:rPr>
        <w:t>") all of the outstanding membership interests in the Borrower and will be the sole member of the Borrower; and</w:t>
      </w:r>
    </w:p>
    <w:p>
      <w:pPr>
        <w:spacing w:after="0" w:line="174" w:lineRule="exact"/>
        <w:rPr>
          <w:sz w:val="20"/>
          <w:szCs w:val="20"/>
          <w:color w:val="auto"/>
        </w:rPr>
      </w:pPr>
    </w:p>
    <w:p>
      <w:pPr>
        <w:ind w:right="640" w:firstLine="351"/>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Borrower and the Lender desire to amend and restate the Original Loan Agreement to provide for, among other things, the Valvino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in connection therewith, the release and replacement of the Continuing Guaranty of Stephen A. Wynn in favor of the Lender (the "</w:t>
      </w:r>
      <w:r>
        <w:rPr>
          <w:rFonts w:ascii="Arial" w:cs="Arial" w:eastAsia="Arial" w:hAnsi="Arial"/>
          <w:sz w:val="16"/>
          <w:szCs w:val="16"/>
          <w:b w:val="1"/>
          <w:bCs w:val="1"/>
          <w:color w:val="auto"/>
        </w:rPr>
        <w:t>Wynn</w:t>
      </w:r>
      <w:r>
        <w:rPr>
          <w:rFonts w:ascii="Arial" w:cs="Arial" w:eastAsia="Arial" w:hAnsi="Arial"/>
          <w:sz w:val="16"/>
          <w:szCs w:val="16"/>
          <w:color w:val="auto"/>
        </w:rPr>
        <w:t xml:space="preserve"> </w:t>
      </w:r>
      <w:r>
        <w:rPr>
          <w:rFonts w:ascii="Arial" w:cs="Arial" w:eastAsia="Arial" w:hAnsi="Arial"/>
          <w:sz w:val="16"/>
          <w:szCs w:val="16"/>
          <w:b w:val="1"/>
          <w:bCs w:val="1"/>
          <w:color w:val="auto"/>
        </w:rPr>
        <w:t>Guaranty</w:t>
      </w:r>
      <w:r>
        <w:rPr>
          <w:rFonts w:ascii="Arial" w:cs="Arial" w:eastAsia="Arial" w:hAnsi="Arial"/>
          <w:sz w:val="16"/>
          <w:szCs w:val="16"/>
          <w:color w:val="auto"/>
        </w:rPr>
        <w:t>") with a Continuing Guaranty from Guarantor in favor of the Lender (the "</w:t>
      </w:r>
      <w:r>
        <w:rPr>
          <w:rFonts w:ascii="Arial" w:cs="Arial" w:eastAsia="Arial" w:hAnsi="Arial"/>
          <w:sz w:val="16"/>
          <w:szCs w:val="16"/>
          <w:b w:val="1"/>
          <w:bCs w:val="1"/>
          <w:color w:val="auto"/>
        </w:rPr>
        <w:t>Valvino Guaranty</w:t>
      </w:r>
      <w:r>
        <w:rPr>
          <w:rFonts w:ascii="Arial" w:cs="Arial" w:eastAsia="Arial" w:hAnsi="Arial"/>
          <w:sz w:val="16"/>
          <w:szCs w:val="16"/>
          <w:color w:val="auto"/>
        </w:rPr>
        <w:t>").</w:t>
      </w:r>
    </w:p>
    <w:p>
      <w:pPr>
        <w:spacing w:after="0" w:line="151" w:lineRule="exact"/>
        <w:rPr>
          <w:sz w:val="20"/>
          <w:szCs w:val="20"/>
          <w:color w:val="auto"/>
        </w:rPr>
      </w:pPr>
    </w:p>
    <w:p>
      <w:pPr>
        <w:ind w:right="480" w:firstLine="351"/>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74" w:lineRule="exact"/>
        <w:rPr>
          <w:sz w:val="20"/>
          <w:szCs w:val="20"/>
          <w:color w:val="auto"/>
        </w:rPr>
      </w:pPr>
    </w:p>
    <w:p>
      <w:pPr>
        <w:ind w:left="360" w:right="9320" w:hanging="352"/>
        <w:spacing w:after="0" w:line="563" w:lineRule="auto"/>
        <w:tabs>
          <w:tab w:leader="none" w:pos="313" w:val="left"/>
        </w:tabs>
        <w:numPr>
          <w:ilvl w:val="0"/>
          <w:numId w:val="194"/>
        </w:numPr>
        <w:rPr>
          <w:rFonts w:ascii="Arial" w:cs="Arial" w:eastAsia="Arial" w:hAnsi="Arial"/>
          <w:sz w:val="16"/>
          <w:szCs w:val="16"/>
          <w:color w:val="auto"/>
        </w:rPr>
      </w:pPr>
      <w:r>
        <w:rPr>
          <w:rFonts w:ascii="Arial" w:cs="Arial" w:eastAsia="Arial" w:hAnsi="Arial"/>
          <w:sz w:val="16"/>
          <w:szCs w:val="16"/>
          <w:b w:val="1"/>
          <w:bCs w:val="1"/>
          <w:color w:val="auto"/>
        </w:rPr>
        <w:t xml:space="preserve">TERM LOAN TERMS. </w:t>
      </w:r>
      <w:r>
        <w:rPr>
          <w:rFonts w:ascii="Arial" w:cs="Arial" w:eastAsia="Arial" w:hAnsi="Arial"/>
          <w:sz w:val="16"/>
          <w:szCs w:val="16"/>
          <w:color w:val="auto"/>
        </w:rPr>
        <w:t xml:space="preserve">1.1 </w:t>
      </w:r>
      <w:r>
        <w:rPr>
          <w:rFonts w:ascii="Arial" w:cs="Arial" w:eastAsia="Arial" w:hAnsi="Arial"/>
          <w:sz w:val="16"/>
          <w:szCs w:val="16"/>
          <w:b w:val="1"/>
          <w:bCs w:val="1"/>
          <w:color w:val="auto"/>
        </w:rPr>
        <w:t>Interest Rate.</w:t>
      </w:r>
    </w:p>
    <w:p>
      <w:pPr>
        <w:spacing w:after="0" w:line="1" w:lineRule="exact"/>
        <w:rPr>
          <w:sz w:val="20"/>
          <w:szCs w:val="20"/>
          <w:color w:val="auto"/>
        </w:rPr>
      </w:pPr>
    </w:p>
    <w:p>
      <w:pPr>
        <w:ind w:left="540" w:right="60" w:firstLine="359"/>
        <w:spacing w:after="0" w:line="275" w:lineRule="auto"/>
        <w:tabs>
          <w:tab w:leader="none" w:pos="1262"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 xml:space="preserve">Prime Rate. </w:t>
      </w:r>
      <w:r>
        <w:rPr>
          <w:rFonts w:ascii="Arial" w:cs="Arial" w:eastAsia="Arial" w:hAnsi="Arial"/>
          <w:sz w:val="18"/>
          <w:szCs w:val="18"/>
          <w:color w:val="auto"/>
        </w:rPr>
        <w:t>Unless the Borrower elects an optional interest rate as described below, the interest rate is a per annum rate equal to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Prime Rate defined below plus 0.25%.</w:t>
      </w:r>
    </w:p>
    <w:p>
      <w:pPr>
        <w:spacing w:after="0" w:line="174" w:lineRule="exact"/>
        <w:rPr>
          <w:sz w:val="20"/>
          <w:szCs w:val="20"/>
          <w:color w:val="auto"/>
        </w:rPr>
      </w:pPr>
    </w:p>
    <w:p>
      <w:pPr>
        <w:ind w:left="1080" w:right="20" w:firstLine="348"/>
        <w:spacing w:after="0" w:line="291"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Prime Rate</w:t>
      </w:r>
      <w:r>
        <w:rPr>
          <w:rFonts w:ascii="Arial" w:cs="Arial" w:eastAsia="Arial" w:hAnsi="Arial"/>
          <w:sz w:val="16"/>
          <w:szCs w:val="16"/>
          <w:color w:val="auto"/>
        </w:rPr>
        <w:t>" is the rate of interest publicly announced from time to time by the Lender as its Prime Rate (the "</w:t>
      </w:r>
      <w:r>
        <w:rPr>
          <w:rFonts w:ascii="Arial" w:cs="Arial" w:eastAsia="Arial" w:hAnsi="Arial"/>
          <w:sz w:val="16"/>
          <w:szCs w:val="16"/>
          <w:b w:val="1"/>
          <w:bCs w:val="1"/>
          <w:color w:val="auto"/>
        </w:rPr>
        <w:t>Index</w:t>
      </w:r>
      <w:r>
        <w:rPr>
          <w:rFonts w:ascii="Arial" w:cs="Arial" w:eastAsia="Arial" w:hAnsi="Arial"/>
          <w:sz w:val="16"/>
          <w:szCs w:val="16"/>
          <w:color w:val="auto"/>
        </w:rPr>
        <w:t>"). The Prime Rate is set by the Lender based on various factors, including the Lender's costs and desired return, general economic conditions and other factors, and is used as a reference point for pricing some loans. The Lender may price loans to its customers at, above or below the Prime Rate. Any change in the Prime Rate will take effect at the opening of business on the day specified in the public announcement of a change in the Lender's Prime Rate. The Index is not necessarily the lowest rate charged by the Lender on its loans and is set by the Lender in its sole discretion. If the Index becomes unavailable during the term of this loan, the Lender may designate a substitute index after notifying the Borrower. The Lender will tell the Borrower the current Index rate upon the Borrower's request.</w:t>
      </w:r>
    </w:p>
    <w:p>
      <w:pPr>
        <w:spacing w:after="0" w:line="167" w:lineRule="exact"/>
        <w:rPr>
          <w:sz w:val="20"/>
          <w:szCs w:val="20"/>
          <w:color w:val="auto"/>
        </w:rPr>
      </w:pPr>
    </w:p>
    <w:p>
      <w:pPr>
        <w:ind w:left="540" w:right="20" w:firstLine="359"/>
        <w:spacing w:after="0" w:line="256" w:lineRule="auto"/>
        <w:tabs>
          <w:tab w:leader="none" w:pos="1271"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 xml:space="preserve">Optional Interest Rates. </w:t>
      </w:r>
      <w:r>
        <w:rPr>
          <w:rFonts w:ascii="Arial" w:cs="Arial" w:eastAsia="Arial" w:hAnsi="Arial"/>
          <w:sz w:val="18"/>
          <w:szCs w:val="18"/>
          <w:color w:val="auto"/>
        </w:rPr>
        <w:t>Instead of the interest rate based on the Prime Rate, the Borrower may elect the optional interest rate(s)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for the Term Loan during interest periods agreed to by the Lender and the Borrower. The optional rate(s) shall be subject to the terms and conditions described in this Agreement. Any principal amount bearing interest at an optional rate under this Agreement is referred to as a "</w:t>
      </w:r>
      <w:r>
        <w:rPr>
          <w:rFonts w:ascii="Arial" w:cs="Arial" w:eastAsia="Arial" w:hAnsi="Arial"/>
          <w:sz w:val="18"/>
          <w:szCs w:val="18"/>
          <w:b w:val="1"/>
          <w:bCs w:val="1"/>
          <w:color w:val="auto"/>
        </w:rPr>
        <w:t>Portion</w:t>
      </w:r>
      <w:r>
        <w:rPr>
          <w:rFonts w:ascii="Arial" w:cs="Arial" w:eastAsia="Arial" w:hAnsi="Arial"/>
          <w:sz w:val="18"/>
          <w:szCs w:val="18"/>
          <w:color w:val="auto"/>
        </w:rPr>
        <w:t>". If the Borrower elects the optional rate described below, such optional rate shall continue until such time as the Borrower elects otherwise or the provisions of Section 1.3(c)(iii) are applicable.</w:t>
      </w: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540" w:right="60" w:firstLine="359"/>
        <w:spacing w:after="0" w:line="275" w:lineRule="auto"/>
        <w:tabs>
          <w:tab w:leader="none" w:pos="1262"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 xml:space="preserve">LIBOR Rate. </w:t>
      </w:r>
      <w:r>
        <w:rPr>
          <w:rFonts w:ascii="Arial" w:cs="Arial" w:eastAsia="Arial" w:hAnsi="Arial"/>
          <w:sz w:val="18"/>
          <w:szCs w:val="18"/>
          <w:color w:val="auto"/>
        </w:rPr>
        <w:t>The Borrower may elect to have all or Portions of the principal balance bear interest at a rate per year equal to the LIBOR Rate</w:t>
      </w:r>
      <w:r>
        <w:rPr>
          <w:rFonts w:ascii="Arial" w:cs="Arial" w:eastAsia="Arial" w:hAnsi="Arial"/>
          <w:sz w:val="18"/>
          <w:szCs w:val="18"/>
          <w:b w:val="1"/>
          <w:bCs w:val="1"/>
          <w:color w:val="auto"/>
        </w:rPr>
        <w:t xml:space="preserve"> </w:t>
      </w:r>
      <w:r>
        <w:rPr>
          <w:rFonts w:ascii="Arial" w:cs="Arial" w:eastAsia="Arial" w:hAnsi="Arial"/>
          <w:sz w:val="18"/>
          <w:szCs w:val="18"/>
          <w:color w:val="auto"/>
        </w:rPr>
        <w:t>plus 2.50%. Designation of a LIBOR Rate Portion is subject to the following requirements:</w:t>
      </w:r>
    </w:p>
    <w:p>
      <w:pPr>
        <w:spacing w:after="0" w:line="179" w:lineRule="exact"/>
        <w:rPr>
          <w:rFonts w:ascii="Arial" w:cs="Arial" w:eastAsia="Arial" w:hAnsi="Arial"/>
          <w:sz w:val="18"/>
          <w:szCs w:val="18"/>
          <w:color w:val="auto"/>
        </w:rPr>
      </w:pPr>
    </w:p>
    <w:p>
      <w:pPr>
        <w:ind w:left="1080" w:right="20" w:firstLine="360"/>
        <w:spacing w:after="0" w:line="256" w:lineRule="auto"/>
        <w:tabs>
          <w:tab w:leader="none" w:pos="176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interest period during which the LIBOR Rate will be in effect will be one, two, three or six months. The first day of the interest period must be a day other than a Saturday or a Sunday on which the Lender is open for business in New York and London and dealing in offshore dollars (a "</w:t>
      </w:r>
      <w:r>
        <w:rPr>
          <w:rFonts w:ascii="Arial" w:cs="Arial" w:eastAsia="Arial" w:hAnsi="Arial"/>
          <w:sz w:val="18"/>
          <w:szCs w:val="18"/>
          <w:b w:val="1"/>
          <w:bCs w:val="1"/>
          <w:color w:val="auto"/>
        </w:rPr>
        <w:t>LIBOR Banking Day</w:t>
      </w:r>
      <w:r>
        <w:rPr>
          <w:rFonts w:ascii="Arial" w:cs="Arial" w:eastAsia="Arial" w:hAnsi="Arial"/>
          <w:sz w:val="18"/>
          <w:szCs w:val="18"/>
          <w:color w:val="auto"/>
        </w:rPr>
        <w:t>"). The last day of the interest period and the actual number of days during the interest period will be determined by the Lender using the practices of the London inter-bank market.</w:t>
      </w:r>
    </w:p>
    <w:p>
      <w:pPr>
        <w:spacing w:after="0" w:line="197" w:lineRule="exact"/>
        <w:rPr>
          <w:rFonts w:ascii="Arial" w:cs="Arial" w:eastAsia="Arial" w:hAnsi="Arial"/>
          <w:sz w:val="18"/>
          <w:szCs w:val="18"/>
          <w:color w:val="auto"/>
        </w:rPr>
      </w:pPr>
    </w:p>
    <w:p>
      <w:pPr>
        <w:ind w:left="1080" w:right="600" w:firstLine="360"/>
        <w:spacing w:after="0" w:line="268" w:lineRule="auto"/>
        <w:tabs>
          <w:tab w:leader="none" w:pos="173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Each LIBOR Rate Portion will be for an amount not less than $1,000,000. No more than 3 separate LIBOR Rate Portions may be outstanding at any time.</w:t>
      </w:r>
    </w:p>
    <w:p>
      <w:pPr>
        <w:spacing w:after="0" w:line="179" w:lineRule="exact"/>
        <w:rPr>
          <w:rFonts w:ascii="Arial" w:cs="Arial" w:eastAsia="Arial" w:hAnsi="Arial"/>
          <w:sz w:val="18"/>
          <w:szCs w:val="18"/>
          <w:color w:val="auto"/>
        </w:rPr>
      </w:pPr>
    </w:p>
    <w:p>
      <w:pPr>
        <w:ind w:left="1080" w:right="200" w:firstLine="360"/>
        <w:spacing w:after="0" w:line="275" w:lineRule="auto"/>
        <w:tabs>
          <w:tab w:leader="none" w:pos="178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w:t>
      </w:r>
      <w:r>
        <w:rPr>
          <w:rFonts w:ascii="Arial" w:cs="Arial" w:eastAsia="Arial" w:hAnsi="Arial"/>
          <w:sz w:val="18"/>
          <w:szCs w:val="18"/>
          <w:color w:val="auto"/>
        </w:rPr>
        <w:t>" means the interest rate determined by the following formula, rounded upward to the nearest 1/100 of one percent. (All amounts in the calculation will be determined by the Lender as of the first day of the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-1957070</wp:posOffset>
            </wp:positionV>
            <wp:extent cx="7250430" cy="215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LIBOR Rate = London Inter-Bank Offered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77470</wp:posOffset>
            </wp:positionV>
            <wp:extent cx="2087880" cy="215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2087880" cy="21590"/>
                    </a:xfrm>
                    <a:prstGeom prst="rect">
                      <a:avLst/>
                    </a:prstGeom>
                    <a:noFill/>
                  </pic:spPr>
                </pic:pic>
              </a:graphicData>
            </a:graphic>
          </wp:anchor>
        </w:drawing>
      </w:r>
    </w:p>
    <w:p>
      <w:pPr>
        <w:spacing w:after="0" w:line="23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(1.00—Reserve Percentage)</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Where,</w:t>
      </w:r>
    </w:p>
    <w:p>
      <w:pPr>
        <w:spacing w:after="0" w:line="219" w:lineRule="exact"/>
        <w:rPr>
          <w:sz w:val="20"/>
          <w:szCs w:val="20"/>
          <w:color w:val="auto"/>
        </w:rPr>
      </w:pPr>
    </w:p>
    <w:p>
      <w:pPr>
        <w:ind w:left="1620" w:right="80" w:firstLine="360"/>
        <w:spacing w:after="0" w:line="339" w:lineRule="auto"/>
        <w:tabs>
          <w:tab w:leader="none" w:pos="2342" w:val="left"/>
        </w:tabs>
        <w:numPr>
          <w:ilvl w:val="0"/>
          <w:numId w:val="197"/>
        </w:numPr>
        <w:rPr>
          <w:rFonts w:ascii="Arial" w:cs="Arial" w:eastAsia="Arial" w:hAnsi="Arial"/>
          <w:sz w:val="15"/>
          <w:szCs w:val="15"/>
          <w:color w:val="auto"/>
        </w:rPr>
      </w:pPr>
      <w:r>
        <w:rPr>
          <w:rFonts w:ascii="Arial" w:cs="Arial" w:eastAsia="Arial" w:hAnsi="Arial"/>
          <w:sz w:val="15"/>
          <w:szCs w:val="15"/>
          <w:b w:val="1"/>
          <w:bCs w:val="1"/>
          <w:color w:val="auto"/>
        </w:rPr>
        <w:t>"London Inter-Bank Offered Rate</w:t>
      </w:r>
      <w:r>
        <w:rPr>
          <w:rFonts w:ascii="Arial" w:cs="Arial" w:eastAsia="Arial" w:hAnsi="Arial"/>
          <w:sz w:val="15"/>
          <w:szCs w:val="15"/>
          <w:color w:val="auto"/>
        </w:rPr>
        <w:t>" means the average per annum interest rate at which U.S. dollar deposits would be</w:t>
      </w:r>
      <w:r>
        <w:rPr>
          <w:rFonts w:ascii="Arial" w:cs="Arial" w:eastAsia="Arial" w:hAnsi="Arial"/>
          <w:sz w:val="15"/>
          <w:szCs w:val="15"/>
          <w:b w:val="1"/>
          <w:bCs w:val="1"/>
          <w:color w:val="auto"/>
        </w:rPr>
        <w:t xml:space="preserve"> </w:t>
      </w:r>
      <w:r>
        <w:rPr>
          <w:rFonts w:ascii="Arial" w:cs="Arial" w:eastAsia="Arial" w:hAnsi="Arial"/>
          <w:sz w:val="15"/>
          <w:szCs w:val="15"/>
          <w:color w:val="auto"/>
        </w:rPr>
        <w:t>offered for the applicable interest period by major banks in the London inter-bank market, as shown on the Telerate Page 3750 (or any successor page) at approximately 11:00 a.m. London time two (2) London Banking Days before the commencement of the interest period.</w:t>
      </w:r>
    </w:p>
    <w:p>
      <w:pPr>
        <w:sectPr>
          <w:pgSz w:w="11900" w:h="16939" w:orient="portrait"/>
          <w:cols w:equalWidth="0" w:num="1">
            <w:col w:w="11420"/>
          </w:cols>
          <w:pgMar w:left="240" w:top="361" w:right="239" w:bottom="0" w:gutter="0" w:footer="0" w:header="0"/>
        </w:sectPr>
      </w:pPr>
    </w:p>
    <w:bookmarkStart w:id="139" w:name="page140"/>
    <w:bookmarkEnd w:id="139"/>
    <w:p>
      <w:pPr>
        <w:jc w:val="both"/>
        <w:ind w:left="1612" w:right="40"/>
        <w:spacing w:after="0" w:line="259" w:lineRule="auto"/>
        <w:rPr>
          <w:sz w:val="20"/>
          <w:szCs w:val="20"/>
          <w:color w:val="auto"/>
        </w:rPr>
      </w:pPr>
      <w:r>
        <w:rPr>
          <w:rFonts w:ascii="Arial" w:cs="Arial" w:eastAsia="Arial" w:hAnsi="Arial"/>
          <w:sz w:val="18"/>
          <w:szCs w:val="18"/>
          <w:color w:val="auto"/>
        </w:rPr>
        <w:t>If such rate does not appear on the Telerate Page 3750 (or any successor page), the rate for that interest period will be determined by such alternate method as reasonably selected by Lender. A "</w:t>
      </w:r>
      <w:r>
        <w:rPr>
          <w:rFonts w:ascii="Arial" w:cs="Arial" w:eastAsia="Arial" w:hAnsi="Arial"/>
          <w:sz w:val="18"/>
          <w:szCs w:val="18"/>
          <w:b w:val="1"/>
          <w:bCs w:val="1"/>
          <w:color w:val="auto"/>
        </w:rPr>
        <w:t>London Banking Day</w:t>
      </w:r>
      <w:r>
        <w:rPr>
          <w:rFonts w:ascii="Arial" w:cs="Arial" w:eastAsia="Arial" w:hAnsi="Arial"/>
          <w:sz w:val="18"/>
          <w:szCs w:val="18"/>
          <w:color w:val="auto"/>
        </w:rPr>
        <w:t>" is a day on which Lender's London Banking Center is open for business and dealing in offshore dollars.</w:t>
      </w:r>
    </w:p>
    <w:p>
      <w:pPr>
        <w:spacing w:after="0" w:line="188" w:lineRule="exact"/>
        <w:rPr>
          <w:sz w:val="20"/>
          <w:szCs w:val="20"/>
          <w:color w:val="auto"/>
        </w:rPr>
      </w:pPr>
    </w:p>
    <w:p>
      <w:pPr>
        <w:ind w:left="1612" w:right="100" w:firstLine="360"/>
        <w:spacing w:after="0" w:line="301" w:lineRule="auto"/>
        <w:tabs>
          <w:tab w:leader="none" w:pos="2343" w:val="left"/>
        </w:tabs>
        <w:numPr>
          <w:ilvl w:val="1"/>
          <w:numId w:val="198"/>
        </w:numPr>
        <w:rPr>
          <w:rFonts w:ascii="Arial" w:cs="Arial" w:eastAsia="Arial" w:hAnsi="Arial"/>
          <w:sz w:val="16"/>
          <w:szCs w:val="16"/>
          <w:color w:val="auto"/>
        </w:rPr>
      </w:pPr>
      <w:r>
        <w:rPr>
          <w:rFonts w:ascii="Arial" w:cs="Arial" w:eastAsia="Arial" w:hAnsi="Arial"/>
          <w:sz w:val="16"/>
          <w:szCs w:val="16"/>
          <w:b w:val="1"/>
          <w:bCs w:val="1"/>
          <w:color w:val="auto"/>
        </w:rPr>
        <w:t>"Reserve Percentage</w:t>
      </w:r>
      <w:r>
        <w:rPr>
          <w:rFonts w:ascii="Arial" w:cs="Arial" w:eastAsia="Arial" w:hAnsi="Arial"/>
          <w:sz w:val="16"/>
          <w:szCs w:val="16"/>
          <w:color w:val="auto"/>
        </w:rPr>
        <w:t>" means the total of the maximum reserve percentages for determining the reserves to be maintained by</w:t>
      </w:r>
      <w:r>
        <w:rPr>
          <w:rFonts w:ascii="Arial" w:cs="Arial" w:eastAsia="Arial" w:hAnsi="Arial"/>
          <w:sz w:val="16"/>
          <w:szCs w:val="16"/>
          <w:b w:val="1"/>
          <w:bCs w:val="1"/>
          <w:color w:val="auto"/>
        </w:rPr>
        <w:t xml:space="preserve"> </w:t>
      </w:r>
      <w:r>
        <w:rPr>
          <w:rFonts w:ascii="Arial" w:cs="Arial" w:eastAsia="Arial" w:hAnsi="Arial"/>
          <w:sz w:val="16"/>
          <w:szCs w:val="16"/>
          <w:color w:val="auto"/>
        </w:rPr>
        <w:t>member banks of the Federal Reserve System for Eurocurrency Liabilities, as defined in Federal Reserve Board Regulation D, rounded upward to the nearest 1/100 of one percent. The percentage will be expressed as a decimal, and will include, but not be limited to, marginal, emergency, supplemental, special, and other reserve percentages.</w:t>
      </w:r>
    </w:p>
    <w:p>
      <w:pPr>
        <w:spacing w:after="0" w:line="163" w:lineRule="exact"/>
        <w:rPr>
          <w:rFonts w:ascii="Arial" w:cs="Arial" w:eastAsia="Arial" w:hAnsi="Arial"/>
          <w:sz w:val="16"/>
          <w:szCs w:val="16"/>
          <w:color w:val="auto"/>
        </w:rPr>
      </w:pPr>
    </w:p>
    <w:p>
      <w:pPr>
        <w:ind w:left="1072" w:right="120" w:firstLine="360"/>
        <w:spacing w:after="0" w:line="306" w:lineRule="auto"/>
        <w:tabs>
          <w:tab w:leader="none" w:pos="176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Borrower shall irrevocably request a LIBOR Rate Portion no later than 10:00 a.m. Chicago time on the LIBOR Banking Day preceding the day on which the London Inter-Bank Offered Rate will be set, as specified above. For example, if there are no intervening holidays or weekend days in any of the relevant locations, the request must be made at least three days before the LIBOR Rate takes effect.</w:t>
      </w:r>
    </w:p>
    <w:p>
      <w:pPr>
        <w:spacing w:after="0" w:line="160" w:lineRule="exact"/>
        <w:rPr>
          <w:rFonts w:ascii="Arial" w:cs="Arial" w:eastAsia="Arial" w:hAnsi="Arial"/>
          <w:sz w:val="16"/>
          <w:szCs w:val="16"/>
          <w:color w:val="auto"/>
        </w:rPr>
      </w:pPr>
    </w:p>
    <w:p>
      <w:pPr>
        <w:ind w:left="1072" w:right="580" w:firstLine="360"/>
        <w:spacing w:after="0" w:line="268" w:lineRule="auto"/>
        <w:tabs>
          <w:tab w:leader="none" w:pos="171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 may not elect a LIBOR Rate with respect to any principal which is scheduled to be repaid before the last day of the applicable interest period.</w:t>
      </w:r>
    </w:p>
    <w:p>
      <w:pPr>
        <w:spacing w:after="0" w:line="185" w:lineRule="exact"/>
        <w:rPr>
          <w:rFonts w:ascii="Arial" w:cs="Arial" w:eastAsia="Arial" w:hAnsi="Arial"/>
          <w:sz w:val="18"/>
          <w:szCs w:val="18"/>
          <w:color w:val="auto"/>
        </w:rPr>
      </w:pPr>
    </w:p>
    <w:p>
      <w:pPr>
        <w:ind w:left="1072" w:right="460" w:firstLine="360"/>
        <w:spacing w:after="0" w:line="332" w:lineRule="auto"/>
        <w:tabs>
          <w:tab w:leader="none" w:pos="176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Each prepayment of a LIBOR Rate Portion, whether voluntary, by reason of acceleration or otherwise, will be accompanied by the amount of accrued interest on the amount prepaid and a prepayment fee as described below. A "</w:t>
      </w:r>
      <w:r>
        <w:rPr>
          <w:rFonts w:ascii="Arial" w:cs="Arial" w:eastAsia="Arial" w:hAnsi="Arial"/>
          <w:sz w:val="16"/>
          <w:szCs w:val="16"/>
          <w:b w:val="1"/>
          <w:bCs w:val="1"/>
          <w:color w:val="auto"/>
        </w:rPr>
        <w:t>prepayment</w:t>
      </w:r>
      <w:r>
        <w:rPr>
          <w:rFonts w:ascii="Arial" w:cs="Arial" w:eastAsia="Arial" w:hAnsi="Arial"/>
          <w:sz w:val="16"/>
          <w:szCs w:val="16"/>
          <w:color w:val="auto"/>
        </w:rPr>
        <w:t>" is a payment of</w:t>
      </w:r>
    </w:p>
    <w:p>
      <w:pPr>
        <w:spacing w:after="0" w:line="1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72" w:right="60"/>
        <w:spacing w:after="0" w:line="268" w:lineRule="auto"/>
        <w:rPr>
          <w:sz w:val="20"/>
          <w:szCs w:val="20"/>
          <w:color w:val="auto"/>
        </w:rPr>
      </w:pPr>
      <w:r>
        <w:rPr>
          <w:rFonts w:ascii="Arial" w:cs="Arial" w:eastAsia="Arial" w:hAnsi="Arial"/>
          <w:sz w:val="18"/>
          <w:szCs w:val="18"/>
          <w:color w:val="auto"/>
        </w:rPr>
        <w:t>an amount on a date earlier than the scheduled payment date for such amount as required by this Agreement. The prepayment fee shall be equal to the amount (if any) by which:</w:t>
      </w:r>
    </w:p>
    <w:p>
      <w:pPr>
        <w:spacing w:after="0" w:line="186" w:lineRule="exact"/>
        <w:rPr>
          <w:sz w:val="20"/>
          <w:szCs w:val="20"/>
          <w:color w:val="auto"/>
        </w:rPr>
      </w:pPr>
    </w:p>
    <w:p>
      <w:pPr>
        <w:ind w:left="2252" w:hanging="280"/>
        <w:spacing w:after="0"/>
        <w:tabs>
          <w:tab w:leader="none" w:pos="2252"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additional interest which would have been payable during the interest period on the amount prepaid had it not been prepaid,</w:t>
      </w:r>
    </w:p>
    <w:p>
      <w:pPr>
        <w:spacing w:after="0" w:line="38" w:lineRule="exact"/>
        <w:rPr>
          <w:rFonts w:ascii="Arial" w:cs="Arial" w:eastAsia="Arial" w:hAnsi="Arial"/>
          <w:sz w:val="16"/>
          <w:szCs w:val="16"/>
          <w:color w:val="auto"/>
        </w:rPr>
      </w:pPr>
    </w:p>
    <w:p>
      <w:pPr>
        <w:ind w:left="1612"/>
        <w:spacing w:after="0"/>
        <w:rPr>
          <w:rFonts w:ascii="Arial" w:cs="Arial" w:eastAsia="Arial" w:hAnsi="Arial"/>
          <w:sz w:val="16"/>
          <w:szCs w:val="16"/>
          <w:color w:val="auto"/>
        </w:rPr>
      </w:pPr>
      <w:r>
        <w:rPr>
          <w:rFonts w:ascii="Arial" w:cs="Arial" w:eastAsia="Arial" w:hAnsi="Arial"/>
          <w:sz w:val="18"/>
          <w:szCs w:val="18"/>
          <w:color w:val="auto"/>
        </w:rPr>
        <w:t>exceeds</w:t>
      </w:r>
    </w:p>
    <w:p>
      <w:pPr>
        <w:spacing w:after="0" w:line="218" w:lineRule="exact"/>
        <w:rPr>
          <w:rFonts w:ascii="Arial" w:cs="Arial" w:eastAsia="Arial" w:hAnsi="Arial"/>
          <w:sz w:val="16"/>
          <w:szCs w:val="16"/>
          <w:color w:val="auto"/>
        </w:rPr>
      </w:pPr>
    </w:p>
    <w:p>
      <w:pPr>
        <w:ind w:left="1612" w:right="40" w:firstLine="360"/>
        <w:spacing w:after="0" w:line="256" w:lineRule="auto"/>
        <w:tabs>
          <w:tab w:leader="none" w:pos="225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interest which would have been recoverable by the Lender by placing the amount prepaid on deposit in the domestic certificate of deposit market, the eurodollar deposit market, or other appropriate money market selected by the Lender, for a period starting on the date on which it was prepaid and ending on the last day of the interest period for such Portion (or the scheduled payment date for the amount prepaid, if earlier).</w:t>
      </w:r>
    </w:p>
    <w:p>
      <w:pPr>
        <w:spacing w:after="0" w:line="197" w:lineRule="exact"/>
        <w:rPr>
          <w:rFonts w:ascii="Arial" w:cs="Arial" w:eastAsia="Arial" w:hAnsi="Arial"/>
          <w:sz w:val="18"/>
          <w:szCs w:val="18"/>
          <w:color w:val="auto"/>
        </w:rPr>
      </w:pPr>
    </w:p>
    <w:p>
      <w:pPr>
        <w:ind w:left="1072" w:right="40" w:firstLine="360"/>
        <w:spacing w:after="0" w:line="268" w:lineRule="auto"/>
        <w:tabs>
          <w:tab w:leader="none" w:pos="176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Lender will have no obligation to accept an election for a LIBOR Rate Portion if any of the following described events has occurred and is continuing:</w:t>
      </w:r>
    </w:p>
    <w:p>
      <w:pPr>
        <w:spacing w:after="0" w:line="185" w:lineRule="exact"/>
        <w:rPr>
          <w:rFonts w:ascii="Arial" w:cs="Arial" w:eastAsia="Arial" w:hAnsi="Arial"/>
          <w:sz w:val="18"/>
          <w:szCs w:val="18"/>
          <w:color w:val="auto"/>
        </w:rPr>
      </w:pPr>
    </w:p>
    <w:p>
      <w:pPr>
        <w:ind w:left="1612" w:right="100" w:firstLine="360"/>
        <w:spacing w:after="0" w:line="268" w:lineRule="auto"/>
        <w:tabs>
          <w:tab w:leader="none" w:pos="224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Dollar deposits in the principal amount, and for periods equal to the interest period, of a LIBOR Rate Portion are not available in the London inter-bank market; or</w:t>
      </w:r>
    </w:p>
    <w:p>
      <w:pPr>
        <w:spacing w:after="0" w:line="185" w:lineRule="exact"/>
        <w:rPr>
          <w:rFonts w:ascii="Arial" w:cs="Arial" w:eastAsia="Arial" w:hAnsi="Arial"/>
          <w:sz w:val="18"/>
          <w:szCs w:val="18"/>
          <w:color w:val="auto"/>
        </w:rPr>
      </w:pPr>
    </w:p>
    <w:p>
      <w:pPr>
        <w:ind w:left="2272" w:hanging="300"/>
        <w:spacing w:after="0"/>
        <w:tabs>
          <w:tab w:leader="none" w:pos="227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LIBOR Rate does not accurately reflect the cost of a LIBOR Rate Portion.</w:t>
      </w:r>
    </w:p>
    <w:p>
      <w:pPr>
        <w:spacing w:after="0" w:line="219" w:lineRule="exact"/>
        <w:rPr>
          <w:sz w:val="20"/>
          <w:szCs w:val="20"/>
          <w:color w:val="auto"/>
        </w:rPr>
      </w:pPr>
    </w:p>
    <w:p>
      <w:pPr>
        <w:ind w:left="352"/>
        <w:spacing w:after="0"/>
        <w:tabs>
          <w:tab w:leader="none" w:pos="73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Repayment Terms.</w:t>
      </w:r>
    </w:p>
    <w:p>
      <w:pPr>
        <w:spacing w:after="0" w:line="225" w:lineRule="exact"/>
        <w:rPr>
          <w:sz w:val="20"/>
          <w:szCs w:val="20"/>
          <w:color w:val="auto"/>
        </w:rPr>
      </w:pPr>
    </w:p>
    <w:p>
      <w:pPr>
        <w:ind w:left="532" w:right="180" w:firstLine="359"/>
        <w:spacing w:after="0" w:line="275" w:lineRule="auto"/>
        <w:tabs>
          <w:tab w:leader="none" w:pos="1254" w:val="left"/>
        </w:tabs>
        <w:numPr>
          <w:ilvl w:val="1"/>
          <w:numId w:val="202"/>
        </w:numPr>
        <w:rPr>
          <w:rFonts w:ascii="Arial" w:cs="Arial" w:eastAsia="Arial" w:hAnsi="Arial"/>
          <w:sz w:val="18"/>
          <w:szCs w:val="18"/>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The Borrower will pay interest on June 1, 2002, and then monthly thereafter on the first day of each month until payment in full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principal outstanding under the Term Loan.</w:t>
      </w:r>
    </w:p>
    <w:p>
      <w:pPr>
        <w:spacing w:after="0" w:line="173" w:lineRule="exact"/>
        <w:rPr>
          <w:rFonts w:ascii="Arial" w:cs="Arial" w:eastAsia="Arial" w:hAnsi="Arial"/>
          <w:sz w:val="18"/>
          <w:szCs w:val="18"/>
          <w:color w:val="auto"/>
        </w:rPr>
      </w:pPr>
    </w:p>
    <w:p>
      <w:pPr>
        <w:ind w:left="532" w:right="60" w:firstLine="359"/>
        <w:spacing w:after="0" w:line="310" w:lineRule="auto"/>
        <w:tabs>
          <w:tab w:leader="none" w:pos="1263" w:val="left"/>
        </w:tabs>
        <w:numPr>
          <w:ilvl w:val="1"/>
          <w:numId w:val="202"/>
        </w:numPr>
        <w:rPr>
          <w:rFonts w:ascii="Arial" w:cs="Arial" w:eastAsia="Arial" w:hAnsi="Arial"/>
          <w:sz w:val="16"/>
          <w:szCs w:val="16"/>
          <w:color w:val="auto"/>
        </w:rPr>
      </w:pPr>
      <w:r>
        <w:rPr>
          <w:rFonts w:ascii="Arial" w:cs="Arial" w:eastAsia="Arial" w:hAnsi="Arial"/>
          <w:sz w:val="16"/>
          <w:szCs w:val="16"/>
          <w:b w:val="1"/>
          <w:bCs w:val="1"/>
          <w:color w:val="auto"/>
        </w:rPr>
        <w:t xml:space="preserve">Interest—Optional Interest Rate. </w:t>
      </w:r>
      <w:r>
        <w:rPr>
          <w:rFonts w:ascii="Arial" w:cs="Arial" w:eastAsia="Arial" w:hAnsi="Arial"/>
          <w:sz w:val="16"/>
          <w:szCs w:val="16"/>
          <w:color w:val="auto"/>
        </w:rPr>
        <w:t>The Borrower will pay interest on any amount bearing interest at an optional interest rate described above</w:t>
      </w:r>
      <w:r>
        <w:rPr>
          <w:rFonts w:ascii="Arial" w:cs="Arial" w:eastAsia="Arial" w:hAnsi="Arial"/>
          <w:sz w:val="16"/>
          <w:szCs w:val="16"/>
          <w:b w:val="1"/>
          <w:bCs w:val="1"/>
          <w:color w:val="auto"/>
        </w:rPr>
        <w:t xml:space="preserve"> </w:t>
      </w:r>
      <w:r>
        <w:rPr>
          <w:rFonts w:ascii="Arial" w:cs="Arial" w:eastAsia="Arial" w:hAnsi="Arial"/>
          <w:sz w:val="16"/>
          <w:szCs w:val="16"/>
          <w:color w:val="auto"/>
        </w:rPr>
        <w:t>at the end of the applicable interest period, which will be no later than the maturity date and, if the interest period is longer than 90 days then on the day which is 90 days after the first day of the interest period, and thereafter each 90 days during the interest period.</w:t>
      </w:r>
    </w:p>
    <w:p>
      <w:pPr>
        <w:spacing w:after="0" w:line="151" w:lineRule="exact"/>
        <w:rPr>
          <w:rFonts w:ascii="Arial" w:cs="Arial" w:eastAsia="Arial" w:hAnsi="Arial"/>
          <w:sz w:val="16"/>
          <w:szCs w:val="16"/>
          <w:color w:val="auto"/>
        </w:rPr>
      </w:pPr>
    </w:p>
    <w:p>
      <w:pPr>
        <w:ind w:left="532" w:right="500" w:firstLine="359"/>
        <w:spacing w:after="0" w:line="339" w:lineRule="auto"/>
        <w:tabs>
          <w:tab w:leader="none" w:pos="1254" w:val="left"/>
        </w:tabs>
        <w:numPr>
          <w:ilvl w:val="1"/>
          <w:numId w:val="202"/>
        </w:numPr>
        <w:rPr>
          <w:rFonts w:ascii="Arial" w:cs="Arial" w:eastAsia="Arial" w:hAnsi="Arial"/>
          <w:sz w:val="16"/>
          <w:szCs w:val="16"/>
          <w:color w:val="auto"/>
        </w:rPr>
      </w:pPr>
      <w:r>
        <w:rPr>
          <w:rFonts w:ascii="Arial" w:cs="Arial" w:eastAsia="Arial" w:hAnsi="Arial"/>
          <w:sz w:val="16"/>
          <w:szCs w:val="16"/>
          <w:b w:val="1"/>
          <w:bCs w:val="1"/>
          <w:color w:val="auto"/>
        </w:rPr>
        <w:t xml:space="preserve">Principal. </w:t>
      </w:r>
      <w:r>
        <w:rPr>
          <w:rFonts w:ascii="Arial" w:cs="Arial" w:eastAsia="Arial" w:hAnsi="Arial"/>
          <w:sz w:val="16"/>
          <w:szCs w:val="16"/>
          <w:color w:val="auto"/>
        </w:rPr>
        <w:t>The Borrower will repay principal in 47 successive monthly installments of $158,333 starting March 1, 2003 and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on the first day of each month. On March 1, 2007 the Borrower will repay the remaining principal balance plus any interest then due.</w:t>
      </w:r>
    </w:p>
    <w:p>
      <w:pPr>
        <w:spacing w:after="0" w:line="128" w:lineRule="exact"/>
        <w:rPr>
          <w:rFonts w:ascii="Arial" w:cs="Arial" w:eastAsia="Arial" w:hAnsi="Arial"/>
          <w:sz w:val="16"/>
          <w:szCs w:val="16"/>
          <w:color w:val="auto"/>
        </w:rPr>
      </w:pPr>
    </w:p>
    <w:p>
      <w:pPr>
        <w:jc w:val="both"/>
        <w:ind w:left="532" w:firstLine="359"/>
        <w:spacing w:after="0" w:line="262" w:lineRule="auto"/>
        <w:tabs>
          <w:tab w:leader="none" w:pos="1263" w:val="left"/>
        </w:tabs>
        <w:numPr>
          <w:ilvl w:val="1"/>
          <w:numId w:val="202"/>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Prepayments. </w:t>
      </w:r>
      <w:r>
        <w:rPr>
          <w:rFonts w:ascii="Arial" w:cs="Arial" w:eastAsia="Arial" w:hAnsi="Arial"/>
          <w:sz w:val="18"/>
          <w:szCs w:val="18"/>
          <w:color w:val="auto"/>
        </w:rPr>
        <w:t>Subject to the payment of any "breakage" fee applicable to any interest rate swap arrangement between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Lender, the Borrower may prepay the Term Loan in full or in part at any time. Any prepayment will be applied to the installments of principal due under this Agreement in the inverse order of their maturities.</w:t>
      </w:r>
    </w:p>
    <w:p>
      <w:pPr>
        <w:spacing w:after="0" w:line="186" w:lineRule="exact"/>
        <w:rPr>
          <w:rFonts w:ascii="Arial" w:cs="Arial" w:eastAsia="Arial" w:hAnsi="Arial"/>
          <w:sz w:val="18"/>
          <w:szCs w:val="18"/>
          <w:color w:val="auto"/>
        </w:rPr>
      </w:pPr>
    </w:p>
    <w:p>
      <w:pPr>
        <w:ind w:left="532" w:right="160" w:firstLine="359"/>
        <w:spacing w:after="0" w:line="262" w:lineRule="auto"/>
        <w:tabs>
          <w:tab w:leader="none" w:pos="1254" w:val="left"/>
        </w:tabs>
        <w:numPr>
          <w:ilvl w:val="1"/>
          <w:numId w:val="202"/>
        </w:numPr>
        <w:rPr>
          <w:rFonts w:ascii="Arial" w:cs="Arial" w:eastAsia="Arial" w:hAnsi="Arial"/>
          <w:sz w:val="18"/>
          <w:szCs w:val="18"/>
          <w:color w:val="auto"/>
        </w:rPr>
      </w:pPr>
      <w:r>
        <w:rPr>
          <w:rFonts w:ascii="Arial" w:cs="Arial" w:eastAsia="Arial" w:hAnsi="Arial"/>
          <w:sz w:val="18"/>
          <w:szCs w:val="18"/>
          <w:b w:val="1"/>
          <w:bCs w:val="1"/>
          <w:color w:val="auto"/>
        </w:rPr>
        <w:t xml:space="preserve">Mandatory Prepayment. </w:t>
      </w:r>
      <w:r>
        <w:rPr>
          <w:rFonts w:ascii="Arial" w:cs="Arial" w:eastAsia="Arial" w:hAnsi="Arial"/>
          <w:sz w:val="18"/>
          <w:szCs w:val="18"/>
          <w:color w:val="auto"/>
        </w:rPr>
        <w:t>Upon the occurrence of an Event of Loss (as defined in the Aircraft Mortgage) with respect to the Aircraft,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will pay to the Lender, as a mandatory prepayment of the Term Loan, the Loss Value (as defined in the Aircraft Mortgage) to the extent and in the manner required by the terms of Section 4.1 of the Aircraft Mortgage.</w:t>
      </w:r>
    </w:p>
    <w:p>
      <w:pPr>
        <w:spacing w:after="0" w:line="186" w:lineRule="exact"/>
        <w:rPr>
          <w:rFonts w:ascii="Arial" w:cs="Arial" w:eastAsia="Arial" w:hAnsi="Arial"/>
          <w:sz w:val="18"/>
          <w:szCs w:val="18"/>
          <w:color w:val="auto"/>
        </w:rPr>
      </w:pPr>
    </w:p>
    <w:p>
      <w:pPr>
        <w:ind w:left="312" w:hanging="312"/>
        <w:spacing w:after="0"/>
        <w:tabs>
          <w:tab w:leader="none" w:pos="312"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225" w:lineRule="exact"/>
        <w:rPr>
          <w:sz w:val="20"/>
          <w:szCs w:val="20"/>
          <w:color w:val="auto"/>
        </w:rPr>
      </w:pPr>
    </w:p>
    <w:p>
      <w:pPr>
        <w:ind w:left="352"/>
        <w:spacing w:after="0"/>
        <w:tabs>
          <w:tab w:leader="none" w:pos="732" w:val="left"/>
          <w:tab w:leader="none" w:pos="163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b w:val="1"/>
          <w:bCs w:val="1"/>
          <w:color w:val="auto"/>
        </w:rPr>
        <w:t>Loan Fee.</w:t>
      </w:r>
      <w:r>
        <w:rPr>
          <w:sz w:val="20"/>
          <w:szCs w:val="20"/>
          <w:color w:val="auto"/>
        </w:rPr>
        <w:tab/>
      </w:r>
      <w:r>
        <w:rPr>
          <w:rFonts w:ascii="Arial" w:cs="Arial" w:eastAsia="Arial" w:hAnsi="Arial"/>
          <w:sz w:val="15"/>
          <w:szCs w:val="15"/>
          <w:color w:val="auto"/>
        </w:rPr>
        <w:t>The Borrower paid to the Lender a loan fee in the amount of $142,500 on the date of the initial disbursement under the Term Loan.</w:t>
      </w:r>
    </w:p>
    <w:p>
      <w:pPr>
        <w:spacing w:after="0" w:line="225" w:lineRule="exact"/>
        <w:rPr>
          <w:sz w:val="20"/>
          <w:szCs w:val="20"/>
          <w:color w:val="auto"/>
        </w:rPr>
      </w:pPr>
    </w:p>
    <w:p>
      <w:pPr>
        <w:ind w:left="352"/>
        <w:spacing w:after="0"/>
        <w:tabs>
          <w:tab w:leader="none" w:pos="732" w:val="left"/>
          <w:tab w:leader="none" w:pos="163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b w:val="1"/>
          <w:bCs w:val="1"/>
          <w:color w:val="auto"/>
        </w:rPr>
        <w:t>Expenses.</w:t>
      </w:r>
      <w:r>
        <w:rPr>
          <w:sz w:val="20"/>
          <w:szCs w:val="20"/>
          <w:color w:val="auto"/>
        </w:rPr>
        <w:tab/>
      </w:r>
      <w:r>
        <w:rPr>
          <w:rFonts w:ascii="Arial" w:cs="Arial" w:eastAsia="Arial" w:hAnsi="Arial"/>
          <w:sz w:val="15"/>
          <w:szCs w:val="15"/>
          <w:color w:val="auto"/>
        </w:rPr>
        <w:t>The Borrower agrees to reimburse the Lender upon demand, whether or not any loan is made under this Agreement, for:</w:t>
      </w:r>
    </w:p>
    <w:p>
      <w:pPr>
        <w:spacing w:after="0" w:line="231" w:lineRule="exact"/>
        <w:rPr>
          <w:sz w:val="20"/>
          <w:szCs w:val="20"/>
          <w:color w:val="auto"/>
        </w:rPr>
      </w:pPr>
    </w:p>
    <w:p>
      <w:pPr>
        <w:ind w:left="532" w:right="300" w:firstLine="359"/>
        <w:spacing w:after="0" w:line="268" w:lineRule="auto"/>
        <w:tabs>
          <w:tab w:leader="none" w:pos="116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filing, recording and search fees, appraisal fees, title report fees, documentation fees, and other similar out-of-pocket fees, costs and expenses incurred by the Lender.</w:t>
      </w:r>
    </w:p>
    <w:p>
      <w:pPr>
        <w:sectPr>
          <w:pgSz w:w="11900" w:h="16838" w:orient="portrait"/>
          <w:cols w:equalWidth="0" w:num="1">
            <w:col w:w="11412"/>
          </w:cols>
          <w:pgMar w:left="248" w:top="131" w:right="239" w:bottom="369" w:gutter="0" w:footer="0" w:header="0"/>
        </w:sectPr>
      </w:pP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175260</wp:posOffset>
            </wp:positionV>
            <wp:extent cx="7250430" cy="215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1" w:right="239" w:bottom="369" w:gutter="0" w:footer="0" w:header="0"/>
          <w:type w:val="continuous"/>
        </w:sectPr>
      </w:pPr>
    </w:p>
    <w:bookmarkStart w:id="140" w:name="page141"/>
    <w:bookmarkEnd w:id="140"/>
    <w:p>
      <w:pPr>
        <w:ind w:left="540" w:right="180" w:firstLine="359"/>
        <w:spacing w:after="0" w:line="268" w:lineRule="auto"/>
        <w:tabs>
          <w:tab w:leader="none" w:pos="1181"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expenses of the Lender for the preparation of this Agreement and any agreement or instrument required by this Agreement. Such expenses include, but are not limited to, reasonable attorneys' fees.</w:t>
      </w:r>
    </w:p>
    <w:p>
      <w:pPr>
        <w:spacing w:after="0" w:line="185" w:lineRule="exact"/>
        <w:rPr>
          <w:rFonts w:ascii="Arial" w:cs="Arial" w:eastAsia="Arial" w:hAnsi="Arial"/>
          <w:sz w:val="18"/>
          <w:szCs w:val="18"/>
          <w:color w:val="auto"/>
        </w:rPr>
      </w:pPr>
    </w:p>
    <w:p>
      <w:pPr>
        <w:ind w:left="540" w:right="620" w:firstLine="359"/>
        <w:spacing w:after="0" w:line="370" w:lineRule="auto"/>
        <w:tabs>
          <w:tab w:leader="none" w:pos="1174" w:val="left"/>
        </w:tabs>
        <w:numPr>
          <w:ilvl w:val="1"/>
          <w:numId w:val="205"/>
        </w:numPr>
        <w:rPr>
          <w:rFonts w:ascii="Arial" w:cs="Arial" w:eastAsia="Arial" w:hAnsi="Arial"/>
          <w:sz w:val="15"/>
          <w:szCs w:val="15"/>
          <w:color w:val="auto"/>
        </w:rPr>
      </w:pPr>
      <w:r>
        <w:rPr>
          <w:rFonts w:ascii="Arial" w:cs="Arial" w:eastAsia="Arial" w:hAnsi="Arial"/>
          <w:sz w:val="15"/>
          <w:szCs w:val="15"/>
          <w:color w:val="auto"/>
        </w:rPr>
        <w:t>Upon and during the continuance of an Event of Default, the cost of periodic appraisals of the collateral securing this Agreement, at such intervals as the Lender may reasonably require. The appraisals may be performed by employees of the Lender or by independent appraisers.</w:t>
      </w:r>
    </w:p>
    <w:p>
      <w:pPr>
        <w:spacing w:after="0" w:line="116" w:lineRule="exact"/>
        <w:rPr>
          <w:rFonts w:ascii="Arial" w:cs="Arial" w:eastAsia="Arial" w:hAnsi="Arial"/>
          <w:sz w:val="15"/>
          <w:szCs w:val="15"/>
          <w:color w:val="auto"/>
        </w:rPr>
      </w:pPr>
    </w:p>
    <w:p>
      <w:pPr>
        <w:ind w:left="540" w:right="420" w:firstLine="359"/>
        <w:spacing w:after="0" w:line="268" w:lineRule="auto"/>
        <w:tabs>
          <w:tab w:leader="none" w:pos="117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stamp or other taxes which may be payable with respect to the execution or delivery of this Agreement or any agreement or instrument required by this Agreement.</w:t>
      </w:r>
    </w:p>
    <w:p>
      <w:pPr>
        <w:spacing w:after="0" w:line="179" w:lineRule="exact"/>
        <w:rPr>
          <w:rFonts w:ascii="Arial" w:cs="Arial" w:eastAsia="Arial" w:hAnsi="Arial"/>
          <w:sz w:val="18"/>
          <w:szCs w:val="18"/>
          <w:color w:val="auto"/>
        </w:rPr>
      </w:pPr>
    </w:p>
    <w:p>
      <w:pPr>
        <w:ind w:left="320" w:hanging="312"/>
        <w:spacing w:after="0"/>
        <w:tabs>
          <w:tab w:leader="none" w:pos="32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DISBURSEMENTS, PAYMENTS AND COSTS</w:t>
      </w:r>
    </w:p>
    <w:p>
      <w:pPr>
        <w:spacing w:after="0" w:line="225" w:lineRule="exact"/>
        <w:rPr>
          <w:sz w:val="20"/>
          <w:szCs w:val="20"/>
          <w:color w:val="auto"/>
        </w:rPr>
      </w:pPr>
    </w:p>
    <w:p>
      <w:pPr>
        <w:ind w:right="60" w:firstLine="351"/>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Disbursements and Payments.</w:t>
      </w:r>
      <w:r>
        <w:rPr>
          <w:rFonts w:ascii="Arial" w:cs="Arial" w:eastAsia="Arial" w:hAnsi="Arial"/>
          <w:sz w:val="16"/>
          <w:szCs w:val="16"/>
          <w:color w:val="auto"/>
        </w:rPr>
        <w:t xml:space="preserve"> The disbursement by the Lender will be made in immediately available funds and will be evidenced by records kept by the Lender. In addition, the Lender may, at its discretion, require the Borrower to sign a promissory note evidencing the Term Loan. Each payment made by the Borrower will be made without set-off or counterclaim in immediately available funds not later than 2:00 p.m., Chicago time, on the date called for under this Agreement at the Lender's office at 231 South LaSalle Street, Chicago, Illinois 60697. Funds received on any day after such time will be deemed to have been received on the next Banking Day. Whenever any payment to be made under this Agreement is stated to be due on a day which is not a Banking Day, such payment will be made on the next succeeding Banking Day and such extension of time will be included in the computation of any interest.</w:t>
      </w:r>
    </w:p>
    <w:p>
      <w:pPr>
        <w:spacing w:after="0" w:line="16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b w:val="1"/>
          <w:bCs w:val="1"/>
          <w:color w:val="auto"/>
        </w:rPr>
        <w:t>Telephone and Telefax Authorization.</w:t>
      </w:r>
    </w:p>
    <w:p>
      <w:pPr>
        <w:spacing w:after="0" w:line="231" w:lineRule="exact"/>
        <w:rPr>
          <w:sz w:val="20"/>
          <w:szCs w:val="20"/>
          <w:color w:val="auto"/>
        </w:rPr>
      </w:pPr>
    </w:p>
    <w:p>
      <w:pPr>
        <w:ind w:left="540" w:right="220" w:firstLine="359"/>
        <w:spacing w:after="0" w:line="259" w:lineRule="auto"/>
        <w:tabs>
          <w:tab w:leader="none" w:pos="117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Lender may honor telephone or telefax instructions for advances or repayments or the designation of optional interest rates given or purported to be given by any one of the individuals authorized to sign loan agreements on behalf of the Borrower, or any other individual designated by any one of such authorized signers.</w:t>
      </w:r>
    </w:p>
    <w:p>
      <w:pPr>
        <w:spacing w:after="0" w:line="194" w:lineRule="exact"/>
        <w:rPr>
          <w:rFonts w:ascii="Arial" w:cs="Arial" w:eastAsia="Arial" w:hAnsi="Arial"/>
          <w:sz w:val="18"/>
          <w:szCs w:val="18"/>
          <w:color w:val="auto"/>
        </w:rPr>
      </w:pPr>
    </w:p>
    <w:p>
      <w:pPr>
        <w:ind w:left="540" w:right="100" w:firstLine="359"/>
        <w:spacing w:after="0" w:line="306" w:lineRule="auto"/>
        <w:tabs>
          <w:tab w:leader="none" w:pos="118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Borrower will indemnify and hold the Lender harmless from all liability, loss, and costs in connection with any act resulting from telephone or telefax instructions the Lender reasonably believes are made by any individual authorized by the Borrower to give such instructions. This paragraph will survive this Agreement's termination, and will benefit the Lender and its officers, employees, and agents.</w:t>
      </w:r>
    </w:p>
    <w:p>
      <w:pPr>
        <w:spacing w:after="0" w:line="155" w:lineRule="exact"/>
        <w:rPr>
          <w:sz w:val="20"/>
          <w:szCs w:val="20"/>
          <w:color w:val="auto"/>
        </w:rPr>
      </w:pPr>
    </w:p>
    <w:p>
      <w:pPr>
        <w:ind w:right="140" w:firstLine="351"/>
        <w:spacing w:after="0" w:line="310"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color w:val="auto"/>
        </w:rPr>
        <w:t>Banking Days.</w:t>
      </w:r>
      <w:r>
        <w:rPr>
          <w:rFonts w:ascii="Arial" w:cs="Arial" w:eastAsia="Arial" w:hAnsi="Arial"/>
          <w:sz w:val="16"/>
          <w:szCs w:val="16"/>
          <w:color w:val="auto"/>
        </w:rPr>
        <w:t xml:space="preserve"> Unless otherwise provided in this Agreement, a "</w:t>
      </w:r>
      <w:r>
        <w:rPr>
          <w:rFonts w:ascii="Arial" w:cs="Arial" w:eastAsia="Arial" w:hAnsi="Arial"/>
          <w:sz w:val="16"/>
          <w:szCs w:val="16"/>
          <w:b w:val="1"/>
          <w:bCs w:val="1"/>
          <w:color w:val="auto"/>
        </w:rPr>
        <w:t>Banking Day</w:t>
      </w:r>
      <w:r>
        <w:rPr>
          <w:rFonts w:ascii="Arial" w:cs="Arial" w:eastAsia="Arial" w:hAnsi="Arial"/>
          <w:sz w:val="16"/>
          <w:szCs w:val="16"/>
          <w:color w:val="auto"/>
        </w:rPr>
        <w:t>" is a day other than a Saturday, Sunday or other day on which commercial banks are authorized to close, or are in fact closed, in Chicago, Illinois. All payments which would be due on a day which is not a Banking Day will be due on the next Banking Day. All payments received on a day which is not a Banking Day will be applied to the credit on the next Banking Day.</w:t>
      </w:r>
    </w:p>
    <w:p>
      <w:pPr>
        <w:spacing w:after="0" w:line="151" w:lineRule="exact"/>
        <w:rPr>
          <w:sz w:val="20"/>
          <w:szCs w:val="20"/>
          <w:color w:val="auto"/>
        </w:rPr>
      </w:pPr>
    </w:p>
    <w:p>
      <w:pPr>
        <w:ind w:right="20" w:firstLine="351"/>
        <w:spacing w:after="0" w:line="310"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color w:val="auto"/>
        </w:rPr>
        <w:t>Additional Costs.</w:t>
      </w:r>
      <w:r>
        <w:rPr>
          <w:rFonts w:ascii="Arial" w:cs="Arial" w:eastAsia="Arial" w:hAnsi="Arial"/>
          <w:sz w:val="16"/>
          <w:szCs w:val="16"/>
          <w:color w:val="auto"/>
        </w:rPr>
        <w:t xml:space="preserve"> The Borrower will pay the Lender, on demand, for the Lender's costs or losses arising from any statute or regulation, or any request or requirement of a regulatory agency which is applicable to all national banks or a class of all national banks. The costs and losses will be allocated to the Term Loan in a manner determined by the Lender, using any reasonable method. The costs include the following:</w:t>
      </w:r>
    </w:p>
    <w:p>
      <w:pPr>
        <w:spacing w:after="0" w:line="157" w:lineRule="exact"/>
        <w:rPr>
          <w:sz w:val="20"/>
          <w:szCs w:val="20"/>
          <w:color w:val="auto"/>
        </w:rPr>
      </w:pPr>
    </w:p>
    <w:p>
      <w:pPr>
        <w:ind w:left="1180" w:hanging="281"/>
        <w:spacing w:after="0"/>
        <w:tabs>
          <w:tab w:leader="none" w:pos="11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reserve or deposit requirements; and</w:t>
      </w:r>
    </w:p>
    <w:p>
      <w:pPr>
        <w:spacing w:after="0" w:line="225" w:lineRule="exact"/>
        <w:rPr>
          <w:rFonts w:ascii="Arial" w:cs="Arial" w:eastAsia="Arial" w:hAnsi="Arial"/>
          <w:sz w:val="18"/>
          <w:szCs w:val="18"/>
          <w:color w:val="auto"/>
        </w:rPr>
      </w:pPr>
    </w:p>
    <w:p>
      <w:pPr>
        <w:ind w:left="5680" w:right="4360" w:hanging="4781"/>
        <w:spacing w:after="0" w:line="613" w:lineRule="auto"/>
        <w:tabs>
          <w:tab w:leader="none" w:pos="120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capital requirements relating to the Lender's assets and commitments for credit.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42" w:lineRule="exact"/>
        <w:rPr>
          <w:sz w:val="20"/>
          <w:szCs w:val="20"/>
          <w:color w:val="auto"/>
        </w:rPr>
      </w:pPr>
    </w:p>
    <w:p>
      <w:pPr>
        <w:ind w:right="120" w:firstLine="351"/>
        <w:spacing w:after="0" w:line="339"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b w:val="1"/>
          <w:bCs w:val="1"/>
          <w:color w:val="auto"/>
        </w:rPr>
        <w:t>Interest Calculation.</w:t>
      </w:r>
      <w:r>
        <w:rPr>
          <w:rFonts w:ascii="Arial" w:cs="Arial" w:eastAsia="Arial" w:hAnsi="Arial"/>
          <w:sz w:val="16"/>
          <w:szCs w:val="16"/>
          <w:color w:val="auto"/>
        </w:rPr>
        <w:t xml:space="preserve"> Except as otherwise stated in this Agreement, all interest and fees, if any, will be computed on the basis of a 360 day year and the actual number of days elapsed. Installments of principal which are not paid when due under this Agreement shall continue to bear interest until paid.</w:t>
      </w:r>
    </w:p>
    <w:p>
      <w:pPr>
        <w:spacing w:after="0" w:line="128"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Upon the occurrence and during the continuation of any Event of Default under this Agreement, advances under this Agreement will at the option of the Lender bear interest at a rate per annum which is 4% higher than the Lender's Prime Rate. This will not constitute a waiver of any Event of Default.</w:t>
      </w:r>
    </w:p>
    <w:p>
      <w:pPr>
        <w:spacing w:after="0" w:line="186"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Interest Compounding.</w:t>
      </w:r>
      <w:r>
        <w:rPr>
          <w:rFonts w:ascii="Arial" w:cs="Arial" w:eastAsia="Arial" w:hAnsi="Arial"/>
          <w:sz w:val="18"/>
          <w:szCs w:val="18"/>
          <w:color w:val="auto"/>
        </w:rPr>
        <w:t xml:space="preserve"> At the Lender's sole option in each instance, any interest, fees or costs which are not paid when due under this Agreement shall bear interest from the due date at the Lender's Prime Rate plus 4%. This may result in compounding of interest.</w:t>
      </w:r>
    </w:p>
    <w:p>
      <w:pPr>
        <w:spacing w:after="0" w:line="174" w:lineRule="exact"/>
        <w:rPr>
          <w:sz w:val="20"/>
          <w:szCs w:val="20"/>
          <w:color w:val="auto"/>
        </w:rPr>
      </w:pPr>
    </w:p>
    <w:p>
      <w:pPr>
        <w:ind w:left="320" w:hanging="312"/>
        <w:spacing w:after="0"/>
        <w:tabs>
          <w:tab w:leader="none" w:pos="32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COLLATERAL.</w:t>
      </w:r>
    </w:p>
    <w:p>
      <w:pPr>
        <w:spacing w:after="0" w:line="225" w:lineRule="exact"/>
        <w:rPr>
          <w:sz w:val="20"/>
          <w:szCs w:val="20"/>
          <w:color w:val="auto"/>
        </w:rPr>
      </w:pPr>
    </w:p>
    <w:p>
      <w:pPr>
        <w:ind w:right="100" w:firstLine="351"/>
        <w:spacing w:after="0" w:line="30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Borrower's Obligations.</w:t>
      </w:r>
      <w:r>
        <w:rPr>
          <w:rFonts w:ascii="Arial" w:cs="Arial" w:eastAsia="Arial" w:hAnsi="Arial"/>
          <w:sz w:val="16"/>
          <w:szCs w:val="16"/>
          <w:color w:val="auto"/>
        </w:rPr>
        <w:t xml:space="preserve"> The Borrower's obligations to the Lender under this Agreement will be secured by the Bombardier Global Express aircraft (the "</w:t>
      </w:r>
      <w:r>
        <w:rPr>
          <w:rFonts w:ascii="Arial" w:cs="Arial" w:eastAsia="Arial" w:hAnsi="Arial"/>
          <w:sz w:val="16"/>
          <w:szCs w:val="16"/>
          <w:b w:val="1"/>
          <w:bCs w:val="1"/>
          <w:color w:val="auto"/>
        </w:rPr>
        <w:t>Aircraft</w:t>
      </w:r>
      <w:r>
        <w:rPr>
          <w:rFonts w:ascii="Arial" w:cs="Arial" w:eastAsia="Arial" w:hAnsi="Arial"/>
          <w:sz w:val="16"/>
          <w:szCs w:val="16"/>
          <w:color w:val="auto"/>
        </w:rPr>
        <w:t>") referred to in the Mortgage, Security Agreement and Assignment between the Borrower and the Lender, as assigned by the Borrower to Wells Fargo Bank North West, National Association, not in its individual capacity but solely as Owner Trustee under that certain Trust Agreement, dated as of May 10, 2002 ("</w:t>
      </w:r>
      <w:r>
        <w:rPr>
          <w:rFonts w:ascii="Arial" w:cs="Arial" w:eastAsia="Arial" w:hAnsi="Arial"/>
          <w:sz w:val="16"/>
          <w:szCs w:val="16"/>
          <w:b w:val="1"/>
          <w:bCs w:val="1"/>
          <w:color w:val="auto"/>
        </w:rPr>
        <w:t>Owner Trustee</w:t>
      </w:r>
      <w:r>
        <w:rPr>
          <w:rFonts w:ascii="Arial" w:cs="Arial" w:eastAsia="Arial" w:hAnsi="Arial"/>
          <w:sz w:val="16"/>
          <w:szCs w:val="16"/>
          <w:color w:val="auto"/>
        </w:rPr>
        <w:t>") pursuant to that certain Assignment and Assumption Agreement dated May 10, 2002 (collectively, the "</w:t>
      </w:r>
      <w:r>
        <w:rPr>
          <w:rFonts w:ascii="Arial" w:cs="Arial" w:eastAsia="Arial" w:hAnsi="Arial"/>
          <w:sz w:val="16"/>
          <w:szCs w:val="16"/>
          <w:b w:val="1"/>
          <w:bCs w:val="1"/>
          <w:color w:val="auto"/>
        </w:rPr>
        <w:t>Aircraft Mortgage</w:t>
      </w:r>
      <w:r>
        <w:rPr>
          <w:rFonts w:ascii="Arial" w:cs="Arial" w:eastAsia="Arial" w:hAnsi="Arial"/>
          <w:sz w:val="16"/>
          <w:szCs w:val="16"/>
          <w:color w:val="auto"/>
        </w:rPr>
        <w:t>").</w:t>
      </w:r>
    </w:p>
    <w:p>
      <w:pPr>
        <w:spacing w:after="0" w:line="157" w:lineRule="exact"/>
        <w:rPr>
          <w:sz w:val="20"/>
          <w:szCs w:val="20"/>
          <w:color w:val="auto"/>
        </w:rPr>
      </w:pPr>
    </w:p>
    <w:p>
      <w:pPr>
        <w:ind w:left="320" w:hanging="312"/>
        <w:spacing w:after="0"/>
        <w:tabs>
          <w:tab w:leader="none" w:pos="32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CONDITIONS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Lender must receive the following items, in form and content acceptable to the Lender, before it is required to extend any credit to the Borrower under this Agreement:</w:t>
      </w:r>
    </w:p>
    <w:p>
      <w:pPr>
        <w:spacing w:after="0" w:line="180"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Authorizations.</w:t>
      </w:r>
      <w:r>
        <w:rPr>
          <w:rFonts w:ascii="Arial" w:cs="Arial" w:eastAsia="Arial" w:hAnsi="Arial"/>
          <w:sz w:val="18"/>
          <w:szCs w:val="18"/>
          <w:color w:val="auto"/>
        </w:rPr>
        <w:t xml:space="preserve"> Evidence that the execution, delivery and performance by the Borrower (and any guarantor) of this Agreement and any instrument or agreement required under this Agreement have been duly authorized.</w:t>
      </w:r>
    </w:p>
    <w:p>
      <w:pPr>
        <w:spacing w:after="0" w:line="174" w:lineRule="exact"/>
        <w:rPr>
          <w:sz w:val="20"/>
          <w:szCs w:val="20"/>
          <w:color w:val="auto"/>
        </w:rPr>
      </w:pPr>
    </w:p>
    <w:p>
      <w:pPr>
        <w:ind w:left="360"/>
        <w:spacing w:after="0"/>
        <w:tabs>
          <w:tab w:leader="none" w:pos="740" w:val="left"/>
          <w:tab w:leader="none" w:pos="2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color w:val="auto"/>
        </w:rPr>
        <w:t>Governing Documents.</w:t>
      </w:r>
      <w:r>
        <w:rPr>
          <w:sz w:val="20"/>
          <w:szCs w:val="20"/>
          <w:color w:val="auto"/>
        </w:rPr>
        <w:tab/>
      </w:r>
      <w:r>
        <w:rPr>
          <w:rFonts w:ascii="Arial" w:cs="Arial" w:eastAsia="Arial" w:hAnsi="Arial"/>
          <w:sz w:val="15"/>
          <w:szCs w:val="15"/>
          <w:color w:val="auto"/>
        </w:rPr>
        <w:t>A copy of the Borrower's articles of organization and operating agreement.</w:t>
      </w:r>
    </w:p>
    <w:p>
      <w:pPr>
        <w:spacing w:after="0" w:line="225"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Good Standing.</w:t>
      </w:r>
      <w:r>
        <w:rPr>
          <w:rFonts w:ascii="Arial" w:cs="Arial" w:eastAsia="Arial" w:hAnsi="Arial"/>
          <w:sz w:val="18"/>
          <w:szCs w:val="18"/>
          <w:color w:val="auto"/>
        </w:rPr>
        <w:t xml:space="preserve"> Certificates of good standing for the Borrower from its state of organization and from any other state in which the Borrower is required to qualify to conduct its business.</w:t>
      </w:r>
    </w:p>
    <w:p>
      <w:pPr>
        <w:spacing w:after="0" w:line="174" w:lineRule="exact"/>
        <w:rPr>
          <w:sz w:val="20"/>
          <w:szCs w:val="20"/>
          <w:color w:val="auto"/>
        </w:rPr>
      </w:pPr>
    </w:p>
    <w:p>
      <w:pPr>
        <w:ind w:left="360"/>
        <w:spacing w:after="0"/>
        <w:tabs>
          <w:tab w:leader="none" w:pos="720" w:val="left"/>
          <w:tab w:leader="none" w:pos="23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color w:val="auto"/>
        </w:rPr>
        <w:t>Aircraft Mortgage.</w:t>
      </w:r>
      <w:r>
        <w:rPr>
          <w:sz w:val="20"/>
          <w:szCs w:val="20"/>
          <w:color w:val="auto"/>
        </w:rPr>
        <w:tab/>
      </w:r>
      <w:r>
        <w:rPr>
          <w:rFonts w:ascii="Arial" w:cs="Arial" w:eastAsia="Arial" w:hAnsi="Arial"/>
          <w:sz w:val="16"/>
          <w:szCs w:val="16"/>
          <w:color w:val="auto"/>
        </w:rPr>
        <w:t>A signed original Aircraft Mortgage, together with a UCC-1 Financing Statement.</w:t>
      </w:r>
    </w:p>
    <w:p>
      <w:pPr>
        <w:sectPr>
          <w:pgSz w:w="11900" w:h="16838" w:orient="portrait"/>
          <w:cols w:equalWidth="0" w:num="1">
            <w:col w:w="11420"/>
          </w:cols>
          <w:pgMar w:left="240" w:top="131" w:right="239" w:bottom="140" w:gutter="0" w:footer="0" w:header="0"/>
        </w:sectPr>
      </w:pPr>
    </w:p>
    <w:bookmarkStart w:id="141" w:name="page142"/>
    <w:bookmarkEnd w:id="141"/>
    <w:p>
      <w:pPr>
        <w:ind w:right="560" w:firstLine="351"/>
        <w:spacing w:after="0" w:line="27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Evidence of Priority.</w:t>
      </w:r>
      <w:r>
        <w:rPr>
          <w:rFonts w:ascii="Arial" w:cs="Arial" w:eastAsia="Arial" w:hAnsi="Arial"/>
          <w:sz w:val="18"/>
          <w:szCs w:val="18"/>
          <w:color w:val="auto"/>
        </w:rPr>
        <w:t xml:space="preserve"> Evidence that security interests and liens in favor of the Lender are valid, enforceable, and prior to all others' rights and interests, except those the Lender consents to in writing.</w:t>
      </w:r>
    </w:p>
    <w:p>
      <w:pPr>
        <w:spacing w:after="0" w:line="174" w:lineRule="exact"/>
        <w:rPr>
          <w:sz w:val="20"/>
          <w:szCs w:val="20"/>
          <w:color w:val="auto"/>
        </w:rPr>
      </w:pPr>
    </w:p>
    <w:p>
      <w:pPr>
        <w:ind w:left="360"/>
        <w:spacing w:after="0"/>
        <w:tabs>
          <w:tab w:leader="none" w:pos="740" w:val="left"/>
          <w:tab w:leader="none" w:pos="17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b w:val="1"/>
          <w:bCs w:val="1"/>
          <w:color w:val="auto"/>
        </w:rPr>
        <w:t>Insurance.</w:t>
      </w:r>
      <w:r>
        <w:rPr>
          <w:sz w:val="20"/>
          <w:szCs w:val="20"/>
          <w:color w:val="auto"/>
        </w:rPr>
        <w:tab/>
      </w:r>
      <w:r>
        <w:rPr>
          <w:rFonts w:ascii="Arial" w:cs="Arial" w:eastAsia="Arial" w:hAnsi="Arial"/>
          <w:sz w:val="15"/>
          <w:szCs w:val="15"/>
          <w:color w:val="auto"/>
        </w:rPr>
        <w:t>Evidence of insurance coverage, as required in the "</w:t>
      </w:r>
      <w:r>
        <w:rPr>
          <w:rFonts w:ascii="Arial" w:cs="Arial" w:eastAsia="Arial" w:hAnsi="Arial"/>
          <w:sz w:val="15"/>
          <w:szCs w:val="15"/>
          <w:b w:val="1"/>
          <w:bCs w:val="1"/>
          <w:color w:val="auto"/>
        </w:rPr>
        <w:t>Covenants</w:t>
      </w:r>
      <w:r>
        <w:rPr>
          <w:rFonts w:ascii="Arial" w:cs="Arial" w:eastAsia="Arial" w:hAnsi="Arial"/>
          <w:sz w:val="15"/>
          <w:szCs w:val="15"/>
          <w:color w:val="auto"/>
        </w:rPr>
        <w:t>" section of this Agreement.</w:t>
      </w:r>
    </w:p>
    <w:p>
      <w:pPr>
        <w:spacing w:after="0" w:line="225" w:lineRule="exact"/>
        <w:rPr>
          <w:sz w:val="20"/>
          <w:szCs w:val="20"/>
          <w:color w:val="auto"/>
        </w:rPr>
      </w:pPr>
    </w:p>
    <w:p>
      <w:pPr>
        <w:ind w:left="360"/>
        <w:spacing w:after="0"/>
        <w:tabs>
          <w:tab w:leader="none" w:pos="740" w:val="left"/>
          <w:tab w:leader="none" w:pos="16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b w:val="1"/>
          <w:bCs w:val="1"/>
          <w:color w:val="auto"/>
        </w:rPr>
        <w:t>Guaranty.</w:t>
      </w:r>
      <w:r>
        <w:rPr>
          <w:sz w:val="20"/>
          <w:szCs w:val="20"/>
          <w:color w:val="auto"/>
        </w:rPr>
        <w:tab/>
      </w:r>
      <w:r>
        <w:rPr>
          <w:rFonts w:ascii="Arial" w:cs="Arial" w:eastAsia="Arial" w:hAnsi="Arial"/>
          <w:sz w:val="15"/>
          <w:szCs w:val="15"/>
          <w:color w:val="auto"/>
        </w:rPr>
        <w:t>The Valvino Guaranty signed by the Guarantor.</w:t>
      </w:r>
    </w:p>
    <w:p>
      <w:pPr>
        <w:spacing w:after="0" w:line="225" w:lineRule="exact"/>
        <w:rPr>
          <w:sz w:val="20"/>
          <w:szCs w:val="20"/>
          <w:color w:val="auto"/>
        </w:rPr>
      </w:pPr>
    </w:p>
    <w:p>
      <w:pPr>
        <w:ind w:left="360"/>
        <w:spacing w:after="0"/>
        <w:tabs>
          <w:tab w:leader="none" w:pos="740" w:val="left"/>
          <w:tab w:leader="none" w:pos="20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b w:val="1"/>
          <w:bCs w:val="1"/>
          <w:color w:val="auto"/>
        </w:rPr>
        <w:t>Legal Opinion.</w:t>
      </w:r>
      <w:r>
        <w:rPr>
          <w:sz w:val="20"/>
          <w:szCs w:val="20"/>
          <w:color w:val="auto"/>
        </w:rPr>
        <w:tab/>
      </w:r>
      <w:r>
        <w:rPr>
          <w:rFonts w:ascii="Arial" w:cs="Arial" w:eastAsia="Arial" w:hAnsi="Arial"/>
          <w:sz w:val="16"/>
          <w:szCs w:val="16"/>
          <w:color w:val="auto"/>
        </w:rPr>
        <w:t>A written opinion from the Lender's FAA counsel, covering such matters as the Lender may require.</w:t>
      </w:r>
    </w:p>
    <w:p>
      <w:pPr>
        <w:spacing w:after="0" w:line="225"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color w:val="auto"/>
        </w:rPr>
        <w:t>Payment of Fees.</w:t>
      </w:r>
      <w:r>
        <w:rPr>
          <w:rFonts w:ascii="Arial" w:cs="Arial" w:eastAsia="Arial" w:hAnsi="Arial"/>
          <w:sz w:val="18"/>
          <w:szCs w:val="18"/>
          <w:color w:val="auto"/>
        </w:rPr>
        <w:t xml:space="preserve"> Payment of all accrued and unpaid expenses incurred by the Lender as required by the Section of this Agreement entitled "Fees and Expenses".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spacing w:after="0"/>
        <w:tabs>
          <w:tab w:leader="none" w:pos="820" w:val="left"/>
          <w:tab w:leader="none" w:pos="194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b w:val="1"/>
          <w:bCs w:val="1"/>
          <w:color w:val="auto"/>
        </w:rPr>
        <w:t>Other Items.</w:t>
      </w:r>
      <w:r>
        <w:rPr>
          <w:sz w:val="20"/>
          <w:szCs w:val="20"/>
          <w:color w:val="auto"/>
        </w:rPr>
        <w:tab/>
      </w:r>
      <w:r>
        <w:rPr>
          <w:rFonts w:ascii="Arial" w:cs="Arial" w:eastAsia="Arial" w:hAnsi="Arial"/>
          <w:sz w:val="15"/>
          <w:szCs w:val="15"/>
          <w:color w:val="auto"/>
        </w:rPr>
        <w:t>Any other items that the Lender reasonably requires.</w:t>
      </w:r>
    </w:p>
    <w:p>
      <w:pPr>
        <w:spacing w:after="0" w:line="225" w:lineRule="exact"/>
        <w:rPr>
          <w:sz w:val="20"/>
          <w:szCs w:val="20"/>
          <w:color w:val="auto"/>
        </w:rPr>
      </w:pPr>
    </w:p>
    <w:p>
      <w:pPr>
        <w:ind w:left="320" w:hanging="312"/>
        <w:spacing w:after="0"/>
        <w:tabs>
          <w:tab w:leader="none" w:pos="32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When the Borrower signs this Agreement, and until the Lender is repaid in full, the Borrower makes the following representations and warranties. Each request for an extension of credit constitutes a renewed representation.</w:t>
      </w:r>
    </w:p>
    <w:p>
      <w:pPr>
        <w:spacing w:after="0" w:line="180" w:lineRule="exact"/>
        <w:rPr>
          <w:sz w:val="20"/>
          <w:szCs w:val="20"/>
          <w:color w:val="auto"/>
        </w:rPr>
      </w:pPr>
    </w:p>
    <w:p>
      <w:pPr>
        <w:ind w:left="360"/>
        <w:spacing w:after="0"/>
        <w:tabs>
          <w:tab w:leader="none" w:pos="740" w:val="left"/>
          <w:tab w:leader="none" w:pos="29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b w:val="1"/>
          <w:bCs w:val="1"/>
          <w:color w:val="auto"/>
        </w:rPr>
        <w:t>Organization of Borrower.</w:t>
      </w:r>
      <w:r>
        <w:rPr>
          <w:sz w:val="20"/>
          <w:szCs w:val="20"/>
          <w:color w:val="auto"/>
        </w:rPr>
        <w:tab/>
      </w:r>
      <w:r>
        <w:rPr>
          <w:rFonts w:ascii="Arial" w:cs="Arial" w:eastAsia="Arial" w:hAnsi="Arial"/>
          <w:sz w:val="16"/>
          <w:szCs w:val="16"/>
          <w:color w:val="auto"/>
        </w:rPr>
        <w:t>The Borrower is a limited liability company duly formed and existing under the laws of the state where organized.</w:t>
      </w:r>
    </w:p>
    <w:p>
      <w:pPr>
        <w:spacing w:after="0" w:line="225" w:lineRule="exact"/>
        <w:rPr>
          <w:sz w:val="20"/>
          <w:szCs w:val="20"/>
          <w:color w:val="auto"/>
        </w:rPr>
      </w:pPr>
    </w:p>
    <w:p>
      <w:pPr>
        <w:jc w:val="both"/>
        <w:ind w:right="100" w:firstLine="351"/>
        <w:spacing w:after="0" w:line="27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Authorization.</w:t>
      </w:r>
      <w:r>
        <w:rPr>
          <w:rFonts w:ascii="Arial" w:cs="Arial" w:eastAsia="Arial" w:hAnsi="Arial"/>
          <w:sz w:val="18"/>
          <w:szCs w:val="18"/>
          <w:color w:val="auto"/>
        </w:rPr>
        <w:t xml:space="preserve"> This Agreement, and any instrument or agreement required hereunder, are within the Borrower's powers, have been duly authorized, and do not violate any provision of its organizational papers.</w:t>
      </w:r>
    </w:p>
    <w:p>
      <w:pPr>
        <w:spacing w:after="0" w:line="174" w:lineRule="exact"/>
        <w:rPr>
          <w:sz w:val="20"/>
          <w:szCs w:val="20"/>
          <w:color w:val="auto"/>
        </w:rPr>
      </w:pPr>
    </w:p>
    <w:p>
      <w:pPr>
        <w:jc w:val="both"/>
        <w:ind w:right="120" w:firstLine="351"/>
        <w:spacing w:after="0" w:line="26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Enforceable Agreement.</w:t>
      </w:r>
      <w:r>
        <w:rPr>
          <w:rFonts w:ascii="Arial" w:cs="Arial" w:eastAsia="Arial" w:hAnsi="Arial"/>
          <w:sz w:val="18"/>
          <w:szCs w:val="18"/>
          <w:color w:val="auto"/>
        </w:rPr>
        <w:t xml:space="preserve"> This Agreement is a legal, valid and binding agreement of the Borrower, enforceable against the Borrower in accordance with its terms, and any instrument or agreement required hereunder, when executed and delivered, will be similarly legal, valid, binding and enforceable, in each case subject to applicable bankruptcy laws.</w:t>
      </w:r>
    </w:p>
    <w:p>
      <w:pPr>
        <w:spacing w:after="0" w:line="186" w:lineRule="exact"/>
        <w:rPr>
          <w:sz w:val="20"/>
          <w:szCs w:val="20"/>
          <w:color w:val="auto"/>
        </w:rPr>
      </w:pPr>
    </w:p>
    <w:p>
      <w:pPr>
        <w:jc w:val="both"/>
        <w:ind w:right="120" w:firstLine="351"/>
        <w:spacing w:after="0" w:line="27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Good Standing.</w:t>
      </w:r>
      <w:r>
        <w:rPr>
          <w:rFonts w:ascii="Arial" w:cs="Arial" w:eastAsia="Arial" w:hAnsi="Arial"/>
          <w:sz w:val="18"/>
          <w:szCs w:val="18"/>
          <w:color w:val="auto"/>
        </w:rPr>
        <w:t xml:space="preserve"> In each state in which the Borrower does business, it is properly licensed, in good standing, and in compliance with fictitious name statutes, in each case as required by each such state.</w:t>
      </w:r>
    </w:p>
    <w:p>
      <w:pPr>
        <w:spacing w:after="0" w:line="174" w:lineRule="exact"/>
        <w:rPr>
          <w:sz w:val="20"/>
          <w:szCs w:val="20"/>
          <w:color w:val="auto"/>
        </w:rPr>
      </w:pPr>
    </w:p>
    <w:p>
      <w:pPr>
        <w:ind w:left="360"/>
        <w:spacing w:after="0"/>
        <w:tabs>
          <w:tab w:leader="none" w:pos="740" w:val="left"/>
          <w:tab w:leader="none" w:pos="18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b w:val="1"/>
          <w:bCs w:val="1"/>
          <w:color w:val="auto"/>
        </w:rPr>
        <w:t>No Conflicts.</w:t>
      </w:r>
      <w:r>
        <w:rPr>
          <w:sz w:val="20"/>
          <w:szCs w:val="20"/>
          <w:color w:val="auto"/>
        </w:rPr>
        <w:tab/>
      </w:r>
      <w:r>
        <w:rPr>
          <w:rFonts w:ascii="Arial" w:cs="Arial" w:eastAsia="Arial" w:hAnsi="Arial"/>
          <w:sz w:val="16"/>
          <w:szCs w:val="16"/>
          <w:color w:val="auto"/>
        </w:rPr>
        <w:t>This Agreement does not violate any law, agreement, or obligation by which the Borrower is bound.</w:t>
      </w:r>
    </w:p>
    <w:p>
      <w:pPr>
        <w:spacing w:after="0" w:line="225" w:lineRule="exact"/>
        <w:rPr>
          <w:sz w:val="20"/>
          <w:szCs w:val="20"/>
          <w:color w:val="auto"/>
        </w:rPr>
      </w:pPr>
    </w:p>
    <w:p>
      <w:pPr>
        <w:ind w:left="360"/>
        <w:spacing w:after="0"/>
        <w:tabs>
          <w:tab w:leader="none" w:pos="740" w:val="left"/>
          <w:tab w:leader="none" w:pos="26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b w:val="1"/>
          <w:bCs w:val="1"/>
          <w:color w:val="auto"/>
        </w:rPr>
        <w:t>Financial Information.</w:t>
      </w:r>
      <w:r>
        <w:rPr>
          <w:sz w:val="20"/>
          <w:szCs w:val="20"/>
          <w:color w:val="auto"/>
        </w:rPr>
        <w:tab/>
      </w:r>
      <w:r>
        <w:rPr>
          <w:rFonts w:ascii="Arial" w:cs="Arial" w:eastAsia="Arial" w:hAnsi="Arial"/>
          <w:sz w:val="16"/>
          <w:szCs w:val="16"/>
          <w:color w:val="auto"/>
        </w:rPr>
        <w:t>All financial and other information that has been or will be supplied to the Lender is:</w:t>
      </w:r>
    </w:p>
    <w:p>
      <w:pPr>
        <w:spacing w:after="0" w:line="231" w:lineRule="exact"/>
        <w:rPr>
          <w:sz w:val="20"/>
          <w:szCs w:val="20"/>
          <w:color w:val="auto"/>
        </w:rPr>
      </w:pPr>
    </w:p>
    <w:p>
      <w:pPr>
        <w:ind w:left="540" w:right="280" w:firstLine="359"/>
        <w:spacing w:after="0" w:line="268" w:lineRule="auto"/>
        <w:tabs>
          <w:tab w:leader="none" w:pos="117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sufficiently complete to give the Lender accurate knowledge of the Borrower's (and the Guarantor's) financial condition including all material contingent liabilities.</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compliance with all government regulations that apply.</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Since the date of the financial statement specified above, there has been no material adverse change in the assets or the financial condition of the Borrower (or the Guarantor).</w:t>
      </w:r>
    </w:p>
    <w:p>
      <w:pPr>
        <w:spacing w:after="0" w:line="180" w:lineRule="exact"/>
        <w:rPr>
          <w:sz w:val="20"/>
          <w:szCs w:val="20"/>
          <w:color w:val="auto"/>
        </w:rPr>
      </w:pPr>
    </w:p>
    <w:p>
      <w:pPr>
        <w:ind w:right="360" w:firstLine="351"/>
        <w:spacing w:after="0" w:line="275"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color w:val="auto"/>
        </w:rPr>
        <w:t>Lawsuits.</w:t>
      </w:r>
      <w:r>
        <w:rPr>
          <w:rFonts w:ascii="Arial" w:cs="Arial" w:eastAsia="Arial" w:hAnsi="Arial"/>
          <w:sz w:val="18"/>
          <w:szCs w:val="18"/>
          <w:color w:val="auto"/>
        </w:rPr>
        <w:t xml:space="preserve"> There is no lawsuit, tax claim or other dispute pending or threatened against the Borrower, which, if lost, would impair the Borrower's financial condition or ability to repay the Term Loan.</w:t>
      </w:r>
    </w:p>
    <w:p>
      <w:pPr>
        <w:spacing w:after="0" w:line="174"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All collateral required in this Agreement is owned by the grantor of the security interest free of any title defects or any liens or interests of others.</w:t>
      </w:r>
    </w:p>
    <w:p>
      <w:pPr>
        <w:spacing w:after="0" w:line="174" w:lineRule="exact"/>
        <w:rPr>
          <w:sz w:val="20"/>
          <w:szCs w:val="20"/>
          <w:color w:val="auto"/>
        </w:rPr>
      </w:pPr>
    </w:p>
    <w:p>
      <w:pPr>
        <w:ind w:right="240" w:firstLine="351"/>
        <w:spacing w:after="0" w:line="339"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b w:val="1"/>
          <w:bCs w:val="1"/>
          <w:color w:val="auto"/>
        </w:rPr>
        <w:t>Permits, Franchises.</w:t>
      </w:r>
      <w:r>
        <w:rPr>
          <w:rFonts w:ascii="Arial" w:cs="Arial" w:eastAsia="Arial" w:hAnsi="Arial"/>
          <w:sz w:val="16"/>
          <w:szCs w:val="16"/>
          <w:color w:val="auto"/>
        </w:rPr>
        <w:t xml:space="preserve"> The Borrower possesses all permits, memberships, franchises, contracts and licenses required and all trademark rights, trade name rights, patent rights and fictitious name rights necessary to enable it to conduct the business in which it is now engaged.</w:t>
      </w:r>
    </w:p>
    <w:p>
      <w:pPr>
        <w:spacing w:after="0" w:line="128"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b w:val="1"/>
          <w:bCs w:val="1"/>
          <w:color w:val="auto"/>
        </w:rPr>
        <w:t>Other Obligations.</w:t>
      </w:r>
      <w:r>
        <w:rPr>
          <w:rFonts w:ascii="Arial" w:cs="Arial" w:eastAsia="Arial" w:hAnsi="Arial"/>
          <w:sz w:val="18"/>
          <w:szCs w:val="18"/>
          <w:color w:val="auto"/>
        </w:rPr>
        <w:t xml:space="preserve"> The Borrower is not in default on any obligation for borrowed money, any purchase money obligation or any other material lease, commitment, contract, instrument or obligation.</w:t>
      </w:r>
    </w:p>
    <w:p>
      <w:pPr>
        <w:spacing w:after="0" w:line="174"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b w:val="1"/>
          <w:bCs w:val="1"/>
          <w:color w:val="auto"/>
        </w:rPr>
        <w:t>Income Taxes.</w:t>
      </w:r>
      <w:r>
        <w:rPr>
          <w:rFonts w:ascii="Arial" w:cs="Arial" w:eastAsia="Arial" w:hAnsi="Arial"/>
          <w:sz w:val="18"/>
          <w:szCs w:val="18"/>
          <w:color w:val="auto"/>
        </w:rPr>
        <w:t xml:space="preserve"> The Borrower has filed all tax returns required to be filed and has paid, or made adequate provisions for the payment of, all taxes due and payable pursuant to such returns and pursuant to any assessments made against it or any of its property. No tax liens have been filed and no material claims are being asserted with respect to any such taxes. The reserves on the books of the Borrower in respect of taxes are adequate. The Borrower is not aware of any proposed assessment or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additional taxes (or any basis for any such assessment) which might be material to the Borrower.</w:t>
      </w:r>
    </w:p>
    <w:p>
      <w:pPr>
        <w:spacing w:after="0" w:line="219" w:lineRule="exact"/>
        <w:rPr>
          <w:sz w:val="20"/>
          <w:szCs w:val="20"/>
          <w:color w:val="auto"/>
        </w:rPr>
      </w:pPr>
    </w:p>
    <w:p>
      <w:pPr>
        <w:ind w:left="360"/>
        <w:spacing w:after="0"/>
        <w:tabs>
          <w:tab w:leader="none" w:pos="820" w:val="left"/>
          <w:tab w:leader="none" w:pos="252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b w:val="1"/>
          <w:bCs w:val="1"/>
          <w:color w:val="auto"/>
        </w:rPr>
        <w:t>No Event of Default.</w:t>
      </w:r>
      <w:r>
        <w:rPr>
          <w:sz w:val="20"/>
          <w:szCs w:val="20"/>
          <w:color w:val="auto"/>
        </w:rPr>
        <w:tab/>
      </w:r>
      <w:r>
        <w:rPr>
          <w:rFonts w:ascii="Arial" w:cs="Arial" w:eastAsia="Arial" w:hAnsi="Arial"/>
          <w:sz w:val="16"/>
          <w:szCs w:val="16"/>
          <w:color w:val="auto"/>
        </w:rPr>
        <w:t>There is no event which is, or with notice or lapse of time or both would be, an Event of Default under this Agreement.</w:t>
      </w:r>
    </w:p>
    <w:p>
      <w:pPr>
        <w:spacing w:after="0" w:line="225" w:lineRule="exact"/>
        <w:rPr>
          <w:sz w:val="20"/>
          <w:szCs w:val="20"/>
          <w:color w:val="auto"/>
        </w:rPr>
      </w:pPr>
    </w:p>
    <w:p>
      <w:pPr>
        <w:ind w:left="360"/>
        <w:spacing w:after="0"/>
        <w:tabs>
          <w:tab w:leader="none" w:pos="820" w:val="left"/>
          <w:tab w:leader="none" w:pos="17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8"/>
          <w:szCs w:val="18"/>
          <w:b w:val="1"/>
          <w:bCs w:val="1"/>
          <w:color w:val="auto"/>
        </w:rPr>
        <w:t>Insurance.</w:t>
      </w:r>
      <w:r>
        <w:rPr>
          <w:sz w:val="20"/>
          <w:szCs w:val="20"/>
          <w:color w:val="auto"/>
        </w:rPr>
        <w:tab/>
      </w:r>
      <w:r>
        <w:rPr>
          <w:rFonts w:ascii="Arial" w:cs="Arial" w:eastAsia="Arial" w:hAnsi="Arial"/>
          <w:sz w:val="15"/>
          <w:szCs w:val="15"/>
          <w:color w:val="auto"/>
        </w:rPr>
        <w:t>The Borrower has obtained, and maintained in effect, the insurance coverage required in the "Covenants" section of this Agreement.</w:t>
      </w:r>
    </w:p>
    <w:p>
      <w:pPr>
        <w:sectPr>
          <w:pgSz w:w="11900" w:h="16838" w:orient="portrait"/>
          <w:cols w:equalWidth="0" w:num="1">
            <w:col w:w="11420"/>
          </w:cols>
          <w:pgMar w:left="240" w:top="125" w:right="239" w:bottom="59" w:gutter="0" w:footer="0" w:header="0"/>
        </w:sectPr>
      </w:pPr>
    </w:p>
    <w:bookmarkStart w:id="142" w:name="page143"/>
    <w:bookmarkEnd w:id="142"/>
    <w:p>
      <w:pPr>
        <w:ind w:right="240" w:firstLine="351"/>
        <w:spacing w:after="0" w:line="275"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b w:val="1"/>
          <w:bCs w:val="1"/>
          <w:color w:val="auto"/>
        </w:rPr>
        <w:t>Jurisdiction of Organization.</w:t>
      </w:r>
      <w:r>
        <w:rPr>
          <w:rFonts w:ascii="Arial" w:cs="Arial" w:eastAsia="Arial" w:hAnsi="Arial"/>
          <w:sz w:val="18"/>
          <w:szCs w:val="18"/>
          <w:color w:val="auto"/>
        </w:rPr>
        <w:t xml:space="preserve"> The Borrower is organized under the laws of the State of Nevada and the Borrower's organizational identification number is LLC860-2002.</w:t>
      </w:r>
    </w:p>
    <w:p>
      <w:pPr>
        <w:spacing w:after="0" w:line="174"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b w:val="1"/>
          <w:bCs w:val="1"/>
          <w:color w:val="auto"/>
        </w:rPr>
        <w:t>U.S. Citizenship.</w:t>
      </w:r>
      <w:r>
        <w:rPr>
          <w:rFonts w:ascii="Arial" w:cs="Arial" w:eastAsia="Arial" w:hAnsi="Arial"/>
          <w:sz w:val="18"/>
          <w:szCs w:val="18"/>
          <w:color w:val="auto"/>
        </w:rPr>
        <w:t xml:space="preserve"> The Owner Trustee is a citizen of the United States (as defined in 49 U.S.C. Section 40102(a)(15)) and is eligible to register the Aircraft with the Federal Aviation Administration pursuant to Part 47 of the Federal Aviation Regulations.</w:t>
      </w:r>
    </w:p>
    <w:p>
      <w:pPr>
        <w:spacing w:after="0" w:line="174" w:lineRule="exact"/>
        <w:rPr>
          <w:sz w:val="20"/>
          <w:szCs w:val="20"/>
          <w:color w:val="auto"/>
        </w:rPr>
      </w:pPr>
    </w:p>
    <w:p>
      <w:pPr>
        <w:ind w:left="320" w:hanging="312"/>
        <w:spacing w:after="0"/>
        <w:tabs>
          <w:tab w:leader="none" w:pos="320"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Borrower agrees, so long as credit is available under this Agreement and until the Lender is repaid in full:</w:t>
      </w:r>
    </w:p>
    <w:p>
      <w:pPr>
        <w:spacing w:after="0" w:line="219"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Financial Information.</w:t>
      </w:r>
      <w:r>
        <w:rPr>
          <w:rFonts w:ascii="Arial" w:cs="Arial" w:eastAsia="Arial" w:hAnsi="Arial"/>
          <w:sz w:val="18"/>
          <w:szCs w:val="18"/>
          <w:color w:val="auto"/>
        </w:rPr>
        <w:t xml:space="preserve"> To provide the following financial information and statements and such additional information as requested by the Lender from time to time:</w:t>
      </w:r>
    </w:p>
    <w:p>
      <w:pPr>
        <w:spacing w:after="0" w:line="180" w:lineRule="exact"/>
        <w:rPr>
          <w:sz w:val="20"/>
          <w:szCs w:val="20"/>
          <w:color w:val="auto"/>
        </w:rPr>
      </w:pPr>
    </w:p>
    <w:p>
      <w:pPr>
        <w:ind w:left="540" w:right="200" w:firstLine="359"/>
        <w:spacing w:after="0" w:line="259" w:lineRule="auto"/>
        <w:tabs>
          <w:tab w:leader="none" w:pos="117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The Guarantor's quarterly financial statements within forty-five (45) days of the last day of each calendar quarter in a form and content reasonably acceptable to the Lender; </w:t>
      </w:r>
      <w:r>
        <w:rPr>
          <w:rFonts w:ascii="Arial" w:cs="Arial" w:eastAsia="Arial" w:hAnsi="Arial"/>
          <w:sz w:val="18"/>
          <w:szCs w:val="18"/>
          <w:i w:val="1"/>
          <w:iCs w:val="1"/>
          <w:color w:val="auto"/>
        </w:rPr>
        <w:t>provided</w:t>
      </w:r>
      <w:r>
        <w:rPr>
          <w:rFonts w:ascii="Arial" w:cs="Arial" w:eastAsia="Arial" w:hAnsi="Arial"/>
          <w:sz w:val="18"/>
          <w:szCs w:val="18"/>
          <w:color w:val="auto"/>
        </w:rPr>
        <w:t>, that in the event that the Guarantor becomes subject to any SEC reporting requirements for either public debt or equity, such financial reports shall be deemed acceptable by the Lender.</w:t>
      </w:r>
    </w:p>
    <w:p>
      <w:pPr>
        <w:spacing w:after="0" w:line="194" w:lineRule="exact"/>
        <w:rPr>
          <w:rFonts w:ascii="Arial" w:cs="Arial" w:eastAsia="Arial" w:hAnsi="Arial"/>
          <w:sz w:val="18"/>
          <w:szCs w:val="18"/>
          <w:color w:val="auto"/>
        </w:rPr>
      </w:pPr>
    </w:p>
    <w:p>
      <w:pPr>
        <w:ind w:left="540" w:firstLine="359"/>
        <w:spacing w:after="0" w:line="259" w:lineRule="auto"/>
        <w:tabs>
          <w:tab w:leader="none" w:pos="118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Commencing with the calendar year ending December 31, 2002 and annually thereafter within one hundred twenty (120) days of calendar year end, the Guarantor's annual audited financial statements on a consolidated basis with an unqualified opinion from a CPA firm reasonably acceptable to the Lender.</w:t>
      </w:r>
    </w:p>
    <w:p>
      <w:pPr>
        <w:spacing w:after="0" w:line="194" w:lineRule="exact"/>
        <w:rPr>
          <w:rFonts w:ascii="Arial" w:cs="Arial" w:eastAsia="Arial" w:hAnsi="Arial"/>
          <w:sz w:val="18"/>
          <w:szCs w:val="18"/>
          <w:color w:val="auto"/>
        </w:rPr>
      </w:pPr>
    </w:p>
    <w:p>
      <w:pPr>
        <w:jc w:val="both"/>
        <w:ind w:left="540" w:right="100" w:firstLine="359"/>
        <w:spacing w:after="0" w:line="298" w:lineRule="auto"/>
        <w:tabs>
          <w:tab w:leader="none" w:pos="1164"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A compliance certificate of the Guarantor, substantially in the form of </w:t>
      </w:r>
      <w:r>
        <w:rPr>
          <w:rFonts w:ascii="Arial" w:cs="Arial" w:eastAsia="Arial" w:hAnsi="Arial"/>
          <w:sz w:val="16"/>
          <w:szCs w:val="16"/>
          <w:i w:val="1"/>
          <w:iCs w:val="1"/>
          <w:color w:val="auto"/>
        </w:rPr>
        <w:t>Exhibit "A"</w:t>
      </w:r>
      <w:r>
        <w:rPr>
          <w:rFonts w:ascii="Arial" w:cs="Arial" w:eastAsia="Arial" w:hAnsi="Arial"/>
          <w:sz w:val="16"/>
          <w:szCs w:val="16"/>
          <w:color w:val="auto"/>
        </w:rPr>
        <w:t xml:space="preserve"> attached to the Valvino Guaranty, within forty-five (45) days of the last day of each calendar year end that the Term Loan is outstanding, in form and content satisfactory to the Lender, and certified in writing as true and correct by the Guarantor, evidencing the Guarantor's compliance with the terms of the Guaranty as of the last day of such period, and providing such additional financial or other information as Lender may reasonably request from time to time.</w:t>
      </w:r>
    </w:p>
    <w:p>
      <w:pPr>
        <w:spacing w:after="0" w:line="161" w:lineRule="exact"/>
        <w:rPr>
          <w:sz w:val="20"/>
          <w:szCs w:val="20"/>
          <w:color w:val="auto"/>
        </w:rPr>
      </w:pPr>
    </w:p>
    <w:p>
      <w:pPr>
        <w:ind w:left="360"/>
        <w:spacing w:after="0"/>
        <w:tabs>
          <w:tab w:leader="none" w:pos="740" w:val="left"/>
          <w:tab w:leader="none" w:pos="18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b w:val="1"/>
          <w:bCs w:val="1"/>
          <w:color w:val="auto"/>
        </w:rPr>
        <w:t>Other Liens.</w:t>
      </w:r>
      <w:r>
        <w:rPr>
          <w:sz w:val="20"/>
          <w:szCs w:val="20"/>
          <w:color w:val="auto"/>
        </w:rPr>
        <w:tab/>
      </w:r>
      <w:r>
        <w:rPr>
          <w:rFonts w:ascii="Arial" w:cs="Arial" w:eastAsia="Arial" w:hAnsi="Arial"/>
          <w:sz w:val="16"/>
          <w:szCs w:val="16"/>
          <w:color w:val="auto"/>
        </w:rPr>
        <w:t>Not to create, assume, or allow any security interest or lien (including judicial liens) on the Aircraft, except:</w:t>
      </w:r>
    </w:p>
    <w:p>
      <w:pPr>
        <w:spacing w:after="0" w:line="231" w:lineRule="exact"/>
        <w:rPr>
          <w:sz w:val="20"/>
          <w:szCs w:val="20"/>
          <w:color w:val="auto"/>
        </w:rPr>
      </w:pPr>
    </w:p>
    <w:p>
      <w:pPr>
        <w:ind w:left="1180" w:hanging="281"/>
        <w:spacing w:after="0"/>
        <w:tabs>
          <w:tab w:leader="none" w:pos="11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Mortgages, deeds of trust and security agreements in favor of the Lender.</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Liens permitted by the Aircraft Mortgage including liens for taxes not yet due.</w:t>
      </w:r>
    </w:p>
    <w:p>
      <w:pPr>
        <w:spacing w:after="0" w:line="219" w:lineRule="exact"/>
        <w:rPr>
          <w:sz w:val="20"/>
          <w:szCs w:val="20"/>
          <w:color w:val="auto"/>
        </w:rPr>
      </w:pPr>
    </w:p>
    <w:p>
      <w:pPr>
        <w:ind w:left="360"/>
        <w:spacing w:after="0"/>
        <w:tabs>
          <w:tab w:leader="none" w:pos="740" w:val="left"/>
          <w:tab w:leader="none" w:pos="37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b w:val="1"/>
          <w:bCs w:val="1"/>
          <w:color w:val="auto"/>
        </w:rPr>
        <w:t>Change of Ownership of the Aircraft.</w:t>
      </w:r>
      <w:r>
        <w:rPr>
          <w:sz w:val="20"/>
          <w:szCs w:val="20"/>
          <w:color w:val="auto"/>
        </w:rPr>
        <w:tab/>
      </w:r>
      <w:r>
        <w:rPr>
          <w:rFonts w:ascii="Arial" w:cs="Arial" w:eastAsia="Arial" w:hAnsi="Arial"/>
          <w:sz w:val="16"/>
          <w:szCs w:val="16"/>
          <w:color w:val="auto"/>
        </w:rPr>
        <w:t>Not to cause, permit, or suffer any beneficial change in the Guarantor's ownership of the Aircraft.</w:t>
      </w:r>
    </w:p>
    <w:p>
      <w:pPr>
        <w:spacing w:after="0" w:line="225"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Change of Ownership of the Guarantor.</w:t>
      </w:r>
      <w:r>
        <w:rPr>
          <w:rFonts w:ascii="Arial" w:cs="Arial" w:eastAsia="Arial" w:hAnsi="Arial"/>
          <w:sz w:val="18"/>
          <w:szCs w:val="18"/>
          <w:color w:val="auto"/>
        </w:rPr>
        <w:t xml:space="preserve"> Not to cause, permit, or suffer Stephen A. Wynn ("</w:t>
      </w:r>
      <w:r>
        <w:rPr>
          <w:rFonts w:ascii="Arial" w:cs="Arial" w:eastAsia="Arial" w:hAnsi="Arial"/>
          <w:sz w:val="18"/>
          <w:szCs w:val="18"/>
          <w:b w:val="1"/>
          <w:bCs w:val="1"/>
          <w:color w:val="auto"/>
        </w:rPr>
        <w:t>Wynn</w:t>
      </w:r>
      <w:r>
        <w:rPr>
          <w:rFonts w:ascii="Arial" w:cs="Arial" w:eastAsia="Arial" w:hAnsi="Arial"/>
          <w:sz w:val="18"/>
          <w:szCs w:val="18"/>
          <w:color w:val="auto"/>
        </w:rPr>
        <w:t>") to cease to own, directly or indirectly, 30% of the capital ownership of the Guarantor and to cause Wynn to be Chief Executive Officer of the Guarantor.</w:t>
      </w:r>
    </w:p>
    <w:p>
      <w:pPr>
        <w:spacing w:after="0" w:line="174" w:lineRule="exact"/>
        <w:rPr>
          <w:sz w:val="20"/>
          <w:szCs w:val="20"/>
          <w:color w:val="auto"/>
        </w:rPr>
      </w:pPr>
    </w:p>
    <w:p>
      <w:pPr>
        <w:ind w:right="520" w:firstLine="351"/>
        <w:spacing w:after="0" w:line="339"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color w:val="auto"/>
        </w:rPr>
        <w:t>Parent of Borrower.</w:t>
      </w:r>
      <w:r>
        <w:rPr>
          <w:rFonts w:ascii="Arial" w:cs="Arial" w:eastAsia="Arial" w:hAnsi="Arial"/>
          <w:sz w:val="16"/>
          <w:szCs w:val="16"/>
          <w:color w:val="auto"/>
        </w:rPr>
        <w:t xml:space="preserve"> In the event that Guarantor is not the Borrower's parent and the owner, directly or indirectly, of all of the Nevada related operations of the Borrower's publicly held parent, including, without limitation, all related real property and all operations related to Le Reve,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then the Borrower shall promptly cause the entity which controls such Nevada related operations of the Borrower's publicly held parent to issue a guaranty in form and content satisfactory to the Lender in substitution of the Valvino Guaranty.</w:t>
      </w:r>
    </w:p>
    <w:p>
      <w:pPr>
        <w:spacing w:after="0" w:line="180" w:lineRule="exact"/>
        <w:rPr>
          <w:sz w:val="20"/>
          <w:szCs w:val="20"/>
          <w:color w:val="auto"/>
        </w:rPr>
      </w:pPr>
    </w:p>
    <w:p>
      <w:pPr>
        <w:ind w:left="360"/>
        <w:spacing w:after="0"/>
        <w:tabs>
          <w:tab w:leader="none" w:pos="740" w:val="left"/>
          <w:tab w:leader="none" w:pos="22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b w:val="1"/>
          <w:bCs w:val="1"/>
          <w:color w:val="auto"/>
        </w:rPr>
        <w:t>Notices to Lender.</w:t>
      </w:r>
      <w:r>
        <w:rPr>
          <w:sz w:val="20"/>
          <w:szCs w:val="20"/>
          <w:color w:val="auto"/>
        </w:rPr>
        <w:tab/>
      </w:r>
      <w:r>
        <w:rPr>
          <w:rFonts w:ascii="Arial" w:cs="Arial" w:eastAsia="Arial" w:hAnsi="Arial"/>
          <w:sz w:val="16"/>
          <w:szCs w:val="16"/>
          <w:color w:val="auto"/>
        </w:rPr>
        <w:t>To promptly notify the Lender in writing of:</w:t>
      </w:r>
    </w:p>
    <w:p>
      <w:pPr>
        <w:spacing w:after="0" w:line="231" w:lineRule="exact"/>
        <w:rPr>
          <w:sz w:val="20"/>
          <w:szCs w:val="20"/>
          <w:color w:val="auto"/>
        </w:rPr>
      </w:pPr>
    </w:p>
    <w:p>
      <w:pPr>
        <w:ind w:left="1180" w:hanging="281"/>
        <w:spacing w:after="0"/>
        <w:tabs>
          <w:tab w:leader="none" w:pos="11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Event of Default under this Agreement, or any event which, with notice or lapse of time or both, would constitute an Event of Default.</w:t>
      </w:r>
    </w:p>
    <w:p>
      <w:pPr>
        <w:spacing w:after="0" w:line="248" w:lineRule="exact"/>
        <w:rPr>
          <w:rFonts w:ascii="Arial" w:cs="Arial" w:eastAsia="Arial" w:hAnsi="Arial"/>
          <w:sz w:val="16"/>
          <w:szCs w:val="16"/>
          <w:color w:val="auto"/>
        </w:rPr>
      </w:pPr>
    </w:p>
    <w:p>
      <w:pPr>
        <w:ind w:left="1200" w:hanging="301"/>
        <w:spacing w:after="0"/>
        <w:tabs>
          <w:tab w:leader="none" w:pos="12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material adverse change in the Borrower's ability to repay the Term Loan.</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change in the Borrower's name, legal structure, or jurisdiction of organization.</w:t>
      </w:r>
    </w:p>
    <w:p>
      <w:pPr>
        <w:spacing w:after="0" w:line="219" w:lineRule="exact"/>
        <w:rPr>
          <w:sz w:val="20"/>
          <w:szCs w:val="20"/>
          <w:color w:val="auto"/>
        </w:rPr>
      </w:pPr>
    </w:p>
    <w:p>
      <w:pPr>
        <w:ind w:left="360"/>
        <w:spacing w:after="0"/>
        <w:tabs>
          <w:tab w:leader="none" w:pos="740" w:val="left"/>
          <w:tab w:leader="none" w:pos="24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b w:val="1"/>
          <w:bCs w:val="1"/>
          <w:color w:val="auto"/>
        </w:rPr>
        <w:t>Books and Records.</w:t>
      </w:r>
      <w:r>
        <w:rPr>
          <w:sz w:val="20"/>
          <w:szCs w:val="20"/>
          <w:color w:val="auto"/>
        </w:rPr>
        <w:tab/>
      </w:r>
      <w:r>
        <w:rPr>
          <w:rFonts w:ascii="Arial" w:cs="Arial" w:eastAsia="Arial" w:hAnsi="Arial"/>
          <w:sz w:val="15"/>
          <w:szCs w:val="15"/>
          <w:color w:val="auto"/>
        </w:rPr>
        <w:t>To maintain adequate books and records.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b w:val="1"/>
          <w:bCs w:val="1"/>
          <w:color w:val="auto"/>
        </w:rPr>
        <w:t>Audits.</w:t>
      </w:r>
      <w:r>
        <w:rPr>
          <w:rFonts w:ascii="Arial" w:cs="Arial" w:eastAsia="Arial" w:hAnsi="Arial"/>
          <w:sz w:val="16"/>
          <w:szCs w:val="16"/>
          <w:color w:val="auto"/>
        </w:rPr>
        <w:t xml:space="preserve"> To allow the Lender and its agents to inspect the Aircraft and examine, audit and make copies of books and records relating to the Aircraft at any reasonable time. If the Aircraft or the books or records relating thereto are in the possession of a third party, the Borrower authorizes that third party to permit the Lender or its agents to have access to perform inspections or audits and to respond to the Lender's requests for information concerning the Aircraft and the books and records relating thereto. The Lender has no duty to inspect the Aircraft or to examine, audit or copy books and records and the Lender shall not incur any obligation or liability by reason of not making any such inspection or inquiry. In the event that the Lender inspects the Aircraft or examines, audits or copies books and records relating thereto, the Lender will be acting solely for the purposes of protecting the Lender's security and preserving the Lender's rights under this Agreement. Neither the Borrower nor any other party is entitled to rely on any inspection or other inquiry by the Lender. The Lender owes no duty of care to protect the Borrower or any other party against, or to inform the Borrower or any other party of, any adverse condition that may be observed as affecting the Aircraft, or the Borrower's business. The Lender may in its discretion disclose to the Borrower or any other party any findings made as a result of, or in connection with, any inspection of the Aircraft.</w:t>
      </w:r>
    </w:p>
    <w:p>
      <w:pPr>
        <w:spacing w:after="0" w:line="169"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b w:val="1"/>
          <w:bCs w:val="1"/>
          <w:color w:val="auto"/>
        </w:rPr>
        <w:t>Compliance with Laws.</w:t>
      </w:r>
      <w:r>
        <w:rPr>
          <w:rFonts w:ascii="Arial" w:cs="Arial" w:eastAsia="Arial" w:hAnsi="Arial"/>
          <w:sz w:val="18"/>
          <w:szCs w:val="18"/>
          <w:color w:val="auto"/>
        </w:rPr>
        <w:t xml:space="preserve"> To materially comply with the laws (including any fictitious name statute), regulations, and orders of any government body with authority over the Borrower's business.</w:t>
      </w:r>
    </w:p>
    <w:p>
      <w:pPr>
        <w:spacing w:after="0" w:line="174" w:lineRule="exact"/>
        <w:rPr>
          <w:sz w:val="20"/>
          <w:szCs w:val="20"/>
          <w:color w:val="auto"/>
        </w:rPr>
      </w:pPr>
    </w:p>
    <w:p>
      <w:pPr>
        <w:ind w:left="360"/>
        <w:spacing w:after="0"/>
        <w:tabs>
          <w:tab w:leader="none" w:pos="820" w:val="left"/>
          <w:tab w:leader="none" w:pos="27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8"/>
          <w:szCs w:val="18"/>
          <w:b w:val="1"/>
          <w:bCs w:val="1"/>
          <w:color w:val="auto"/>
        </w:rPr>
        <w:t>Preservation of Rights.</w:t>
      </w:r>
      <w:r>
        <w:rPr>
          <w:sz w:val="20"/>
          <w:szCs w:val="20"/>
          <w:color w:val="auto"/>
        </w:rPr>
        <w:tab/>
      </w:r>
      <w:r>
        <w:rPr>
          <w:rFonts w:ascii="Arial" w:cs="Arial" w:eastAsia="Arial" w:hAnsi="Arial"/>
          <w:sz w:val="15"/>
          <w:szCs w:val="15"/>
          <w:color w:val="auto"/>
        </w:rPr>
        <w:t>To maintain its existence except as otherwise provided herein.</w:t>
      </w:r>
    </w:p>
    <w:p>
      <w:pPr>
        <w:spacing w:after="0" w:line="225"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color w:val="auto"/>
        </w:rPr>
        <w:t>Perfection of Liens.</w:t>
      </w:r>
      <w:r>
        <w:rPr>
          <w:rFonts w:ascii="Arial" w:cs="Arial" w:eastAsia="Arial" w:hAnsi="Arial"/>
          <w:sz w:val="18"/>
          <w:szCs w:val="18"/>
          <w:color w:val="auto"/>
        </w:rPr>
        <w:t xml:space="preserve"> To help the Lender perfect and protect its security interests and liens, and reimburse it for related costs it incurs to perfect its security interests and liens.</w:t>
      </w:r>
    </w:p>
    <w:p>
      <w:pPr>
        <w:sectPr>
          <w:pgSz w:w="11900" w:h="16838" w:orient="portrait"/>
          <w:cols w:equalWidth="0" w:num="1">
            <w:col w:w="11380"/>
          </w:cols>
          <w:pgMar w:left="240" w:top="125" w:right="279" w:bottom="0" w:gutter="0" w:footer="0" w:header="0"/>
        </w:sectPr>
      </w:pPr>
    </w:p>
    <w:bookmarkStart w:id="143" w:name="page144"/>
    <w:bookmarkEnd w:id="143"/>
    <w:p>
      <w:pPr>
        <w:ind w:left="360"/>
        <w:spacing w:after="0"/>
        <w:tabs>
          <w:tab w:leader="none" w:pos="820" w:val="left"/>
          <w:tab w:leader="none" w:pos="19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b w:val="1"/>
          <w:bCs w:val="1"/>
          <w:color w:val="auto"/>
        </w:rPr>
        <w:t>Cooperation.</w:t>
      </w:r>
      <w:r>
        <w:rPr>
          <w:sz w:val="20"/>
          <w:szCs w:val="20"/>
          <w:color w:val="auto"/>
        </w:rPr>
        <w:tab/>
      </w:r>
      <w:r>
        <w:rPr>
          <w:rFonts w:ascii="Arial" w:cs="Arial" w:eastAsia="Arial" w:hAnsi="Arial"/>
          <w:sz w:val="15"/>
          <w:szCs w:val="15"/>
          <w:color w:val="auto"/>
        </w:rPr>
        <w:t>To take any action reasonably requested by the Lender to carry out the terms of this Agreement.</w:t>
      </w:r>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5"/>
          <w:szCs w:val="15"/>
          <w:b w:val="1"/>
          <w:bCs w:val="1"/>
          <w:color w:val="auto"/>
        </w:rPr>
        <w:t>Insurance.</w:t>
      </w:r>
    </w:p>
    <w:p>
      <w:pPr>
        <w:spacing w:after="0" w:line="225" w:lineRule="exact"/>
        <w:rPr>
          <w:sz w:val="20"/>
          <w:szCs w:val="20"/>
          <w:color w:val="auto"/>
        </w:rPr>
      </w:pPr>
    </w:p>
    <w:p>
      <w:pPr>
        <w:ind w:left="540" w:right="340" w:firstLine="359"/>
        <w:spacing w:after="0" w:line="275" w:lineRule="auto"/>
        <w:tabs>
          <w:tab w:leader="none" w:pos="1262"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 xml:space="preserve">Insurance Covering Collateral. </w:t>
      </w:r>
      <w:r>
        <w:rPr>
          <w:rFonts w:ascii="Arial" w:cs="Arial" w:eastAsia="Arial" w:hAnsi="Arial"/>
          <w:sz w:val="18"/>
          <w:szCs w:val="18"/>
          <w:color w:val="auto"/>
        </w:rPr>
        <w:t>To maintain all risk property damage insurance policies covering the Aircraft as required by the Aircraft</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w:t>
      </w:r>
    </w:p>
    <w:p>
      <w:pPr>
        <w:spacing w:after="0" w:line="173" w:lineRule="exact"/>
        <w:rPr>
          <w:rFonts w:ascii="Arial" w:cs="Arial" w:eastAsia="Arial" w:hAnsi="Arial"/>
          <w:sz w:val="18"/>
          <w:szCs w:val="18"/>
          <w:color w:val="auto"/>
        </w:rPr>
      </w:pPr>
    </w:p>
    <w:p>
      <w:pPr>
        <w:ind w:left="540" w:firstLine="359"/>
        <w:spacing w:after="0" w:line="275" w:lineRule="auto"/>
        <w:tabs>
          <w:tab w:leader="none" w:pos="1271"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 xml:space="preserve">General Business Insurance. </w:t>
      </w:r>
      <w:r>
        <w:rPr>
          <w:rFonts w:ascii="Arial" w:cs="Arial" w:eastAsia="Arial" w:hAnsi="Arial"/>
          <w:sz w:val="18"/>
          <w:szCs w:val="18"/>
          <w:color w:val="auto"/>
        </w:rPr>
        <w:t>To maintain insurance as is usual for the business it is in, including, but not limited to the insurance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Aircraft Mortgage.</w:t>
      </w:r>
    </w:p>
    <w:p>
      <w:pPr>
        <w:spacing w:after="0" w:line="173" w:lineRule="exact"/>
        <w:rPr>
          <w:rFonts w:ascii="Arial" w:cs="Arial" w:eastAsia="Arial" w:hAnsi="Arial"/>
          <w:sz w:val="18"/>
          <w:szCs w:val="18"/>
          <w:color w:val="auto"/>
        </w:rPr>
      </w:pPr>
    </w:p>
    <w:p>
      <w:pPr>
        <w:ind w:left="540" w:right="480" w:firstLine="359"/>
        <w:spacing w:after="0" w:line="275" w:lineRule="auto"/>
        <w:tabs>
          <w:tab w:leader="none" w:pos="1262"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 xml:space="preserve">Evidence of Insurance. </w:t>
      </w:r>
      <w:r>
        <w:rPr>
          <w:rFonts w:ascii="Arial" w:cs="Arial" w:eastAsia="Arial" w:hAnsi="Arial"/>
          <w:sz w:val="18"/>
          <w:szCs w:val="18"/>
          <w:color w:val="auto"/>
        </w:rPr>
        <w:t>Upon the request of the Lender, to deliver to the Lender a copy of each insurance policy, or, if permitted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 certificate of insurance listing all insurance in force.</w:t>
      </w:r>
    </w:p>
    <w:p>
      <w:pPr>
        <w:spacing w:after="0" w:line="174" w:lineRule="exact"/>
        <w:rPr>
          <w:sz w:val="20"/>
          <w:szCs w:val="20"/>
          <w:color w:val="auto"/>
        </w:rPr>
      </w:pPr>
    </w:p>
    <w:p>
      <w:pPr>
        <w:ind w:left="360"/>
        <w:spacing w:after="0"/>
        <w:tabs>
          <w:tab w:leader="none" w:pos="820" w:val="left"/>
          <w:tab w:leader="none" w:pos="336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8"/>
          <w:szCs w:val="18"/>
          <w:b w:val="1"/>
          <w:bCs w:val="1"/>
          <w:color w:val="auto"/>
        </w:rPr>
        <w:t>Additional Negative Covenants.</w:t>
      </w:r>
      <w:r>
        <w:rPr>
          <w:sz w:val="20"/>
          <w:szCs w:val="20"/>
          <w:color w:val="auto"/>
        </w:rPr>
        <w:tab/>
      </w:r>
      <w:r>
        <w:rPr>
          <w:rFonts w:ascii="Arial" w:cs="Arial" w:eastAsia="Arial" w:hAnsi="Arial"/>
          <w:sz w:val="16"/>
          <w:szCs w:val="16"/>
          <w:color w:val="auto"/>
        </w:rPr>
        <w:t>Not to, without the Lender's written consent:</w:t>
      </w:r>
    </w:p>
    <w:p>
      <w:pPr>
        <w:spacing w:after="0" w:line="231" w:lineRule="exact"/>
        <w:rPr>
          <w:sz w:val="20"/>
          <w:szCs w:val="20"/>
          <w:color w:val="auto"/>
        </w:rPr>
      </w:pPr>
    </w:p>
    <w:p>
      <w:pPr>
        <w:ind w:left="1180" w:hanging="281"/>
        <w:spacing w:after="0"/>
        <w:tabs>
          <w:tab w:leader="none" w:pos="1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liquidate or dissolve the Borrower's business.</w:t>
      </w:r>
    </w:p>
    <w:p>
      <w:pPr>
        <w:spacing w:after="0" w:line="225" w:lineRule="exact"/>
        <w:rPr>
          <w:rFonts w:ascii="Arial" w:cs="Arial" w:eastAsia="Arial" w:hAnsi="Arial"/>
          <w:sz w:val="18"/>
          <w:szCs w:val="18"/>
          <w:color w:val="auto"/>
        </w:rPr>
      </w:pPr>
    </w:p>
    <w:p>
      <w:pPr>
        <w:ind w:left="540" w:right="280" w:firstLine="359"/>
        <w:spacing w:after="0" w:line="268" w:lineRule="auto"/>
        <w:tabs>
          <w:tab w:leader="none" w:pos="118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enter into any consolidation, merger, pool, joint venture, syndicate, or other combination, or become a partner in a partnership, a member of a joint venture or a member of a limited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80"/>
        <w:spacing w:after="0" w:line="332" w:lineRule="auto"/>
        <w:rPr>
          <w:sz w:val="20"/>
          <w:szCs w:val="20"/>
          <w:color w:val="auto"/>
        </w:rPr>
      </w:pPr>
      <w:r>
        <w:rPr>
          <w:rFonts w:ascii="Arial" w:cs="Arial" w:eastAsia="Arial" w:hAnsi="Arial"/>
          <w:sz w:val="16"/>
          <w:szCs w:val="16"/>
          <w:color w:val="auto"/>
        </w:rPr>
        <w:t>liability company unless the Guarantor retains the power to direct the management of the resulting entity and the resulting entity assumes all obligations of Borrower hereunder and executes all required documents, including, without limitation a new Aircraft Mortgage.</w:t>
      </w:r>
    </w:p>
    <w:p>
      <w:pPr>
        <w:spacing w:after="0" w:line="139" w:lineRule="exact"/>
        <w:rPr>
          <w:sz w:val="20"/>
          <w:szCs w:val="20"/>
          <w:color w:val="auto"/>
        </w:rPr>
      </w:pPr>
    </w:p>
    <w:p>
      <w:pPr>
        <w:ind w:left="540" w:right="40" w:firstLine="359"/>
        <w:spacing w:after="0" w:line="268" w:lineRule="auto"/>
        <w:tabs>
          <w:tab w:leader="none" w:pos="117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sell, assign, lease, transfer or otherwise dispose of the Aircraft or any interest therein, except for a lease of the Aircraft to any entity controlled by Guarantor.</w:t>
      </w:r>
    </w:p>
    <w:p>
      <w:pPr>
        <w:spacing w:after="0" w:line="179" w:lineRule="exact"/>
        <w:rPr>
          <w:rFonts w:ascii="Arial" w:cs="Arial" w:eastAsia="Arial" w:hAnsi="Arial"/>
          <w:sz w:val="18"/>
          <w:szCs w:val="18"/>
          <w:color w:val="auto"/>
        </w:rPr>
      </w:pPr>
    </w:p>
    <w:p>
      <w:pPr>
        <w:ind w:left="320" w:hanging="312"/>
        <w:spacing w:after="0"/>
        <w:tabs>
          <w:tab w:leader="none" w:pos="32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DEFAULT.</w:t>
      </w:r>
    </w:p>
    <w:p>
      <w:pPr>
        <w:spacing w:after="0" w:line="225" w:lineRule="exact"/>
        <w:rPr>
          <w:sz w:val="20"/>
          <w:szCs w:val="20"/>
          <w:color w:val="auto"/>
        </w:rPr>
      </w:pPr>
    </w:p>
    <w:p>
      <w:pPr>
        <w:ind w:right="160" w:firstLine="351"/>
        <w:spacing w:after="0" w:line="310" w:lineRule="auto"/>
        <w:rPr>
          <w:sz w:val="20"/>
          <w:szCs w:val="20"/>
          <w:color w:val="auto"/>
        </w:rPr>
      </w:pPr>
      <w:r>
        <w:rPr>
          <w:rFonts w:ascii="Arial" w:cs="Arial" w:eastAsia="Arial" w:hAnsi="Arial"/>
          <w:sz w:val="16"/>
          <w:szCs w:val="16"/>
          <w:color w:val="auto"/>
        </w:rPr>
        <w:t>If any of the following events ("</w:t>
      </w:r>
      <w:r>
        <w:rPr>
          <w:rFonts w:ascii="Arial" w:cs="Arial" w:eastAsia="Arial" w:hAnsi="Arial"/>
          <w:sz w:val="16"/>
          <w:szCs w:val="16"/>
          <w:b w:val="1"/>
          <w:bCs w:val="1"/>
          <w:color w:val="auto"/>
        </w:rPr>
        <w:t>Events of Default</w:t>
      </w:r>
      <w:r>
        <w:rPr>
          <w:rFonts w:ascii="Arial" w:cs="Arial" w:eastAsia="Arial" w:hAnsi="Arial"/>
          <w:sz w:val="16"/>
          <w:szCs w:val="16"/>
          <w:color w:val="auto"/>
        </w:rPr>
        <w:t>") occurs, the Lender may do one or more of the following: declare the Borrower in default, stop making any additional credit available to the Borrower, and require the Borrower to repay the entire Term Loan immediately and without prior notice. If an Event of Default occurs under the Section entitled "</w:t>
      </w:r>
      <w:r>
        <w:rPr>
          <w:rFonts w:ascii="Arial" w:cs="Arial" w:eastAsia="Arial" w:hAnsi="Arial"/>
          <w:sz w:val="16"/>
          <w:szCs w:val="16"/>
          <w:b w:val="1"/>
          <w:bCs w:val="1"/>
          <w:color w:val="auto"/>
        </w:rPr>
        <w:t>Bankruptcy</w:t>
      </w:r>
      <w:r>
        <w:rPr>
          <w:rFonts w:ascii="Arial" w:cs="Arial" w:eastAsia="Arial" w:hAnsi="Arial"/>
          <w:sz w:val="16"/>
          <w:szCs w:val="16"/>
          <w:color w:val="auto"/>
        </w:rPr>
        <w:t>," then the entire Term Loan outstanding under this Agreement will automatically be due immediately.</w:t>
      </w:r>
    </w:p>
    <w:p>
      <w:pPr>
        <w:spacing w:after="0" w:line="151" w:lineRule="exact"/>
        <w:rPr>
          <w:sz w:val="20"/>
          <w:szCs w:val="20"/>
          <w:color w:val="auto"/>
        </w:rPr>
      </w:pPr>
    </w:p>
    <w:p>
      <w:pPr>
        <w:ind w:left="360"/>
        <w:spacing w:after="0"/>
        <w:tabs>
          <w:tab w:leader="none" w:pos="740" w:val="left"/>
          <w:tab w:leader="none" w:pos="20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b w:val="1"/>
          <w:bCs w:val="1"/>
          <w:color w:val="auto"/>
        </w:rPr>
        <w:t>Failure to Pay.</w:t>
      </w:r>
      <w:r>
        <w:rPr>
          <w:sz w:val="20"/>
          <w:szCs w:val="20"/>
          <w:color w:val="auto"/>
        </w:rPr>
        <w:tab/>
      </w:r>
      <w:r>
        <w:rPr>
          <w:rFonts w:ascii="Arial" w:cs="Arial" w:eastAsia="Arial" w:hAnsi="Arial"/>
          <w:sz w:val="15"/>
          <w:szCs w:val="15"/>
          <w:color w:val="auto"/>
        </w:rPr>
        <w:t>The Borrower fails to make a payment under this Agreement when due.</w:t>
      </w:r>
    </w:p>
    <w:p>
      <w:pPr>
        <w:spacing w:after="0" w:line="225" w:lineRule="exact"/>
        <w:rPr>
          <w:sz w:val="20"/>
          <w:szCs w:val="20"/>
          <w:color w:val="auto"/>
        </w:rPr>
      </w:pPr>
    </w:p>
    <w:p>
      <w:pPr>
        <w:ind w:right="520" w:firstLine="351"/>
        <w:spacing w:after="0" w:line="27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Lien Priority.</w:t>
      </w:r>
      <w:r>
        <w:rPr>
          <w:rFonts w:ascii="Arial" w:cs="Arial" w:eastAsia="Arial" w:hAnsi="Arial"/>
          <w:sz w:val="18"/>
          <w:szCs w:val="18"/>
          <w:color w:val="auto"/>
        </w:rPr>
        <w:t xml:space="preserve"> The Lender fails to have an enforceable first lien (except for any prior liens to which the Lender has consented in writing) on or security interest in any property given as security for the Term Loan.</w:t>
      </w:r>
    </w:p>
    <w:p>
      <w:pPr>
        <w:spacing w:after="0" w:line="174" w:lineRule="exact"/>
        <w:rPr>
          <w:sz w:val="20"/>
          <w:szCs w:val="20"/>
          <w:color w:val="auto"/>
        </w:rPr>
      </w:pPr>
    </w:p>
    <w:p>
      <w:pPr>
        <w:ind w:left="360"/>
        <w:spacing w:after="0"/>
        <w:tabs>
          <w:tab w:leader="none" w:pos="740" w:val="left"/>
          <w:tab w:leader="none" w:pos="23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b w:val="1"/>
          <w:bCs w:val="1"/>
          <w:color w:val="auto"/>
        </w:rPr>
        <w:t>False Information.</w:t>
      </w:r>
      <w:r>
        <w:rPr>
          <w:sz w:val="20"/>
          <w:szCs w:val="20"/>
          <w:color w:val="auto"/>
        </w:rPr>
        <w:tab/>
      </w:r>
      <w:r>
        <w:rPr>
          <w:rFonts w:ascii="Arial" w:cs="Arial" w:eastAsia="Arial" w:hAnsi="Arial"/>
          <w:sz w:val="15"/>
          <w:szCs w:val="15"/>
          <w:color w:val="auto"/>
        </w:rPr>
        <w:t>The Borrower (or the Guarantor) has given the Lender false or misleading information or representations.</w:t>
      </w:r>
    </w:p>
    <w:p>
      <w:pPr>
        <w:spacing w:after="0" w:line="225" w:lineRule="exact"/>
        <w:rPr>
          <w:sz w:val="20"/>
          <w:szCs w:val="20"/>
          <w:color w:val="auto"/>
        </w:rPr>
      </w:pPr>
    </w:p>
    <w:p>
      <w:pPr>
        <w:ind w:right="60" w:firstLine="351"/>
        <w:spacing w:after="0" w:line="258"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Bankruptcy.</w:t>
      </w:r>
      <w:r>
        <w:rPr>
          <w:rFonts w:ascii="Arial" w:cs="Arial" w:eastAsia="Arial" w:hAnsi="Arial"/>
          <w:sz w:val="18"/>
          <w:szCs w:val="18"/>
          <w:color w:val="auto"/>
        </w:rPr>
        <w:t xml:space="preserve"> The Borrower (or the Guarantor) files a bankruptcy petition, a bankruptcy petition is filed against the Borrower (or the Guarantor), or the Borrower (or the Guarantor) makes a general assignment for the benefit of creditors. The default will be deemed cured if any bankruptcy petition filed against the Borrower (or the Guarantor) is dismissed within a period of 45 days after the filing;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Lender will not be obligated to extend any additional credit to the Borrower during that period.</w:t>
      </w:r>
    </w:p>
    <w:p>
      <w:pPr>
        <w:spacing w:after="0" w:line="190" w:lineRule="exact"/>
        <w:rPr>
          <w:sz w:val="20"/>
          <w:szCs w:val="20"/>
          <w:color w:val="auto"/>
        </w:rPr>
      </w:pPr>
    </w:p>
    <w:p>
      <w:pPr>
        <w:ind w:left="360"/>
        <w:spacing w:after="0"/>
        <w:tabs>
          <w:tab w:leader="none" w:pos="740" w:val="left"/>
          <w:tab w:leader="none" w:pos="270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b w:val="1"/>
          <w:bCs w:val="1"/>
          <w:color w:val="auto"/>
        </w:rPr>
        <w:t>Receivers; Termination.</w:t>
      </w:r>
      <w:r>
        <w:rPr>
          <w:sz w:val="20"/>
          <w:szCs w:val="20"/>
          <w:color w:val="auto"/>
        </w:rPr>
        <w:tab/>
      </w:r>
      <w:r>
        <w:rPr>
          <w:rFonts w:ascii="Arial" w:cs="Arial" w:eastAsia="Arial" w:hAnsi="Arial"/>
          <w:sz w:val="16"/>
          <w:szCs w:val="16"/>
          <w:color w:val="auto"/>
        </w:rPr>
        <w:t>A receiver or similar official is appointed for the Borrower's (or the Guarantor's) business, or the business is terminated.</w:t>
      </w:r>
    </w:p>
    <w:p>
      <w:pPr>
        <w:spacing w:after="0" w:line="225" w:lineRule="exact"/>
        <w:rPr>
          <w:sz w:val="20"/>
          <w:szCs w:val="20"/>
          <w:color w:val="auto"/>
        </w:rPr>
      </w:pPr>
    </w:p>
    <w:p>
      <w:pPr>
        <w:ind w:right="480" w:firstLine="351"/>
        <w:spacing w:after="0" w:line="339"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b w:val="1"/>
          <w:bCs w:val="1"/>
          <w:color w:val="auto"/>
        </w:rPr>
        <w:t>Judgments.</w:t>
      </w:r>
      <w:r>
        <w:rPr>
          <w:rFonts w:ascii="Arial" w:cs="Arial" w:eastAsia="Arial" w:hAnsi="Arial"/>
          <w:sz w:val="16"/>
          <w:szCs w:val="16"/>
          <w:color w:val="auto"/>
        </w:rPr>
        <w:t xml:space="preserve"> Any judgments or arbitration awards are entered against the Borrower, or the Borrower enters into any settlement agreements with respect to any litigation or arbitration, in an aggregate amount of $2,000,000 or more in excess of any insurance coverage.</w:t>
      </w:r>
    </w:p>
    <w:p>
      <w:pPr>
        <w:spacing w:after="0" w:line="128"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Government Action.</w:t>
      </w:r>
      <w:r>
        <w:rPr>
          <w:rFonts w:ascii="Arial" w:cs="Arial" w:eastAsia="Arial" w:hAnsi="Arial"/>
          <w:sz w:val="18"/>
          <w:szCs w:val="18"/>
          <w:color w:val="auto"/>
        </w:rPr>
        <w:t xml:space="preserve"> Any government authority takes action that the Lender believes materially adversely affects the Borrower's (or the Guarantor's) ability to repay the Term Loan.</w:t>
      </w:r>
    </w:p>
    <w:p>
      <w:pPr>
        <w:spacing w:after="0" w:line="174" w:lineRule="exact"/>
        <w:rPr>
          <w:sz w:val="20"/>
          <w:szCs w:val="20"/>
          <w:color w:val="auto"/>
        </w:rPr>
      </w:pPr>
    </w:p>
    <w:p>
      <w:pPr>
        <w:ind w:left="360"/>
        <w:spacing w:after="0"/>
        <w:tabs>
          <w:tab w:leader="none" w:pos="740" w:val="left"/>
          <w:tab w:leader="none" w:pos="28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b w:val="1"/>
          <w:bCs w:val="1"/>
          <w:color w:val="auto"/>
        </w:rPr>
        <w:t>Material Adverse Change.</w:t>
      </w:r>
      <w:r>
        <w:rPr>
          <w:sz w:val="20"/>
          <w:szCs w:val="20"/>
          <w:color w:val="auto"/>
        </w:rPr>
        <w:tab/>
      </w:r>
      <w:r>
        <w:rPr>
          <w:rFonts w:ascii="Arial" w:cs="Arial" w:eastAsia="Arial" w:hAnsi="Arial"/>
          <w:sz w:val="15"/>
          <w:szCs w:val="15"/>
          <w:color w:val="auto"/>
        </w:rPr>
        <w:t>A material adverse change occurs in the Borrower's (or the Guarantor's) ability to repay the Term Loan.</w:t>
      </w:r>
    </w:p>
    <w:p>
      <w:pPr>
        <w:spacing w:after="0" w:line="225" w:lineRule="exact"/>
        <w:rPr>
          <w:sz w:val="20"/>
          <w:szCs w:val="20"/>
          <w:color w:val="auto"/>
        </w:rPr>
      </w:pPr>
    </w:p>
    <w:p>
      <w:pPr>
        <w:ind w:right="580" w:firstLine="351"/>
        <w:spacing w:after="0" w:line="275"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color w:val="auto"/>
        </w:rPr>
        <w:t>Default Under Related Documents.</w:t>
      </w:r>
      <w:r>
        <w:rPr>
          <w:rFonts w:ascii="Arial" w:cs="Arial" w:eastAsia="Arial" w:hAnsi="Arial"/>
          <w:sz w:val="18"/>
          <w:szCs w:val="18"/>
          <w:color w:val="auto"/>
        </w:rPr>
        <w:t xml:space="preserve"> Any guaranty, subordination agreement, security agreement, mortgage, deed of trust, or other document required by this Agreement is violated or no longer in effect.</w:t>
      </w:r>
    </w:p>
    <w:p>
      <w:pPr>
        <w:spacing w:after="0" w:line="174"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b w:val="1"/>
          <w:bCs w:val="1"/>
          <w:color w:val="auto"/>
        </w:rPr>
        <w:t>Other Bank Agreements.</w:t>
      </w:r>
      <w:r>
        <w:rPr>
          <w:rFonts w:ascii="Arial" w:cs="Arial" w:eastAsia="Arial" w:hAnsi="Arial"/>
          <w:sz w:val="16"/>
          <w:szCs w:val="16"/>
          <w:color w:val="auto"/>
        </w:rPr>
        <w:t xml:space="preserve"> The Borrower (or the Guarantor) fails to meet the conditions of, or fails to perform any obligation under any other agreement the Borrower (or the Guarantor) has with the Lender or any affiliate of the Lender, or demand is made by the Lender or any affiliate of the Lender on any obligation owing to the Lender or such affiliate under any other agreement the Borrower (or the Guarantor) has with the Lender or any affiliate of the Lender if such failure materially and adversely affects the Borrower's (or the Guarantor's) ability to repay the Term Loan.</w:t>
      </w:r>
    </w:p>
    <w:p>
      <w:pPr>
        <w:spacing w:after="0" w:line="157" w:lineRule="exact"/>
        <w:rPr>
          <w:sz w:val="20"/>
          <w:szCs w:val="20"/>
          <w:color w:val="auto"/>
        </w:rPr>
      </w:pPr>
    </w:p>
    <w:p>
      <w:pPr>
        <w:ind w:right="780" w:firstLine="351"/>
        <w:spacing w:after="0" w:line="275"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b w:val="1"/>
          <w:bCs w:val="1"/>
          <w:color w:val="auto"/>
        </w:rPr>
        <w:t>Other Breach Under Agreement.</w:t>
      </w:r>
      <w:r>
        <w:rPr>
          <w:rFonts w:ascii="Arial" w:cs="Arial" w:eastAsia="Arial" w:hAnsi="Arial"/>
          <w:sz w:val="18"/>
          <w:szCs w:val="18"/>
          <w:color w:val="auto"/>
        </w:rPr>
        <w:t xml:space="preserve"> The Borrower fails to meet the conditions of, or fails to perform any obligation under, any term of this Agreement not specifically referred to in this Article 8.</w:t>
      </w:r>
    </w:p>
    <w:p>
      <w:pPr>
        <w:sectPr>
          <w:pgSz w:w="11900" w:h="16838" w:orient="portrait"/>
          <w:cols w:equalWidth="0" w:num="1">
            <w:col w:w="11420"/>
          </w:cols>
          <w:pgMar w:left="240" w:top="125" w:right="239" w:bottom="801"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801" w:gutter="0" w:footer="0" w:header="0"/>
          <w:type w:val="continuous"/>
        </w:sectPr>
      </w:pPr>
    </w:p>
    <w:bookmarkStart w:id="144" w:name="page145"/>
    <w:bookmarkEnd w:id="144"/>
    <w:p>
      <w:pPr>
        <w:jc w:val="both"/>
        <w:ind w:right="220"/>
        <w:spacing w:after="0" w:line="259" w:lineRule="auto"/>
        <w:rPr>
          <w:sz w:val="20"/>
          <w:szCs w:val="20"/>
          <w:color w:val="auto"/>
        </w:rPr>
      </w:pPr>
      <w:r>
        <w:rPr>
          <w:rFonts w:ascii="Arial" w:cs="Arial" w:eastAsia="Arial" w:hAnsi="Arial"/>
          <w:sz w:val="18"/>
          <w:szCs w:val="18"/>
          <w:color w:val="auto"/>
        </w:rPr>
        <w:t>If the breach is capable of being remedied, the breach will not be considered an Event of Default under this Agreement for a period of 30 days after the date on which the Lender gives written notice of the breach to the Borrower; provided, however, that the Lender will not be obligated to extend any additional credit to the Borrower during that period.</w:t>
      </w:r>
    </w:p>
    <w:p>
      <w:pPr>
        <w:spacing w:after="0" w:line="188" w:lineRule="exact"/>
        <w:rPr>
          <w:sz w:val="20"/>
          <w:szCs w:val="20"/>
          <w:color w:val="auto"/>
        </w:rPr>
      </w:pPr>
    </w:p>
    <w:p>
      <w:pPr>
        <w:ind w:left="320" w:hanging="312"/>
        <w:spacing w:after="0"/>
        <w:tabs>
          <w:tab w:leader="none" w:pos="320"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ENFORCING THIS AGREEMENT; MISCELLANEOUS.</w:t>
      </w:r>
    </w:p>
    <w:p>
      <w:pPr>
        <w:spacing w:after="0" w:line="225" w:lineRule="exact"/>
        <w:rPr>
          <w:sz w:val="20"/>
          <w:szCs w:val="20"/>
          <w:color w:val="auto"/>
        </w:rPr>
      </w:pPr>
    </w:p>
    <w:p>
      <w:pPr>
        <w:ind w:left="360"/>
        <w:spacing w:after="0"/>
        <w:tabs>
          <w:tab w:leader="none" w:pos="740" w:val="left"/>
          <w:tab w:leader="none" w:pos="18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b w:val="1"/>
          <w:bCs w:val="1"/>
          <w:color w:val="auto"/>
        </w:rPr>
        <w:t>Illinois Law.</w:t>
      </w:r>
      <w:r>
        <w:rPr>
          <w:sz w:val="20"/>
          <w:szCs w:val="20"/>
          <w:color w:val="auto"/>
        </w:rPr>
        <w:tab/>
      </w:r>
      <w:r>
        <w:rPr>
          <w:rFonts w:ascii="Arial" w:cs="Arial" w:eastAsia="Arial" w:hAnsi="Arial"/>
          <w:sz w:val="16"/>
          <w:szCs w:val="16"/>
          <w:b w:val="1"/>
          <w:bCs w:val="1"/>
          <w:color w:val="auto"/>
        </w:rPr>
        <w:t>THIS AGREEMENT IS GOVERNED BY THE INTERNAL LAWS OF THE STATE OF ILLINOIS.</w:t>
      </w:r>
    </w:p>
    <w:p>
      <w:pPr>
        <w:spacing w:after="0" w:line="225" w:lineRule="exact"/>
        <w:rPr>
          <w:sz w:val="20"/>
          <w:szCs w:val="20"/>
          <w:color w:val="auto"/>
        </w:rPr>
      </w:pPr>
    </w:p>
    <w:p>
      <w:pPr>
        <w:jc w:val="both"/>
        <w:ind w:right="40" w:firstLine="351"/>
        <w:spacing w:after="0" w:line="310"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Successors and Assigns. This Agreement is binding on the Borrower's and the Lender's Successors and Assignees. The Borrower agrees that</w:t>
      </w:r>
      <w:r>
        <w:rPr>
          <w:rFonts w:ascii="Arial" w:cs="Arial" w:eastAsia="Arial" w:hAnsi="Arial"/>
          <w:sz w:val="16"/>
          <w:szCs w:val="16"/>
          <w:color w:val="auto"/>
        </w:rPr>
        <w:t xml:space="preserve"> </w:t>
      </w:r>
      <w:r>
        <w:rPr>
          <w:rFonts w:ascii="Arial" w:cs="Arial" w:eastAsia="Arial" w:hAnsi="Arial"/>
          <w:sz w:val="16"/>
          <w:szCs w:val="16"/>
          <w:b w:val="1"/>
          <w:bCs w:val="1"/>
          <w:color w:val="auto"/>
        </w:rPr>
        <w:t>it may not assign this Agreement without the Lender's prior consent. The Lender may sell Participations in or assign the Term Loan, and may exchange financial information about the Borrower with actual or potential Participants or Assignees.</w:t>
      </w:r>
    </w:p>
    <w:p>
      <w:pPr>
        <w:spacing w:after="0" w:line="151" w:lineRule="exact"/>
        <w:rPr>
          <w:sz w:val="20"/>
          <w:szCs w:val="20"/>
          <w:color w:val="auto"/>
        </w:rPr>
      </w:pPr>
    </w:p>
    <w:p>
      <w:pPr>
        <w:ind w:firstLine="351"/>
        <w:spacing w:after="0" w:line="339"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b w:val="1"/>
          <w:bCs w:val="1"/>
          <w:color w:val="auto"/>
        </w:rPr>
        <w:t>Severability; Waivers.</w:t>
      </w:r>
      <w:r>
        <w:rPr>
          <w:rFonts w:ascii="Arial" w:cs="Arial" w:eastAsia="Arial" w:hAnsi="Arial"/>
          <w:sz w:val="16"/>
          <w:szCs w:val="16"/>
          <w:color w:val="auto"/>
        </w:rPr>
        <w:t xml:space="preserve"> If any part of this Agreement is not enforceable, the rest of the Agreement may be enforced. The Lender retains all rights, even if it makes a loan after default. If the Lender waives a default, it may enforce a later default. Any consent or waiver under this Agreement must be in writing.</w:t>
      </w:r>
    </w:p>
    <w:p>
      <w:pPr>
        <w:spacing w:after="0" w:line="12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Attorneys' Fees.</w:t>
      </w:r>
      <w:r>
        <w:rPr>
          <w:rFonts w:ascii="Arial" w:cs="Arial" w:eastAsia="Arial" w:hAnsi="Arial"/>
          <w:sz w:val="18"/>
          <w:szCs w:val="18"/>
          <w:color w:val="auto"/>
        </w:rPr>
        <w:t xml:space="preserve"> The Borrower shall reimburse the Lender for any reasonable out-of-pocket costs and attorneys' fees incurred by the Lender in connection with the enforcement of any rights or remedies under this Agreement and any other documents executed in connection with this Agreement, and in connection with any amendment, waiver, "workout" or restructuring under this Agreement. In the event of a lawsuit or arbitration proceeding, the prevailing party is entitled to recover costs and reasonable attorneys' fees incurred in connection with the lawsuit or arbitration proceeding, as determined by the court or arbitrator. In the event that any case is commenced by or against the Borrower under the Bankruptcy Code (Title 11, United States Code) or any similar or successor statute, the Lender is entitled to recover costs and reasonable attorneys' fees incurred by the Lender related to the preservation, protection, or enforcement of any rights of the Lender in such a case.</w:t>
      </w:r>
    </w:p>
    <w:p>
      <w:pPr>
        <w:spacing w:after="0" w:line="195" w:lineRule="exact"/>
        <w:rPr>
          <w:sz w:val="20"/>
          <w:szCs w:val="20"/>
          <w:color w:val="auto"/>
        </w:rPr>
      </w:pPr>
    </w:p>
    <w:p>
      <w:pPr>
        <w:ind w:left="360"/>
        <w:spacing w:after="0"/>
        <w:tabs>
          <w:tab w:leader="none" w:pos="740" w:val="left"/>
          <w:tab w:leader="none" w:pos="21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b w:val="1"/>
          <w:bCs w:val="1"/>
          <w:color w:val="auto"/>
        </w:rPr>
        <w:t>One Agreement.</w:t>
      </w:r>
      <w:r>
        <w:rPr>
          <w:sz w:val="20"/>
          <w:szCs w:val="20"/>
          <w:color w:val="auto"/>
        </w:rPr>
        <w:tab/>
      </w:r>
      <w:r>
        <w:rPr>
          <w:rFonts w:ascii="Arial" w:cs="Arial" w:eastAsia="Arial" w:hAnsi="Arial"/>
          <w:sz w:val="15"/>
          <w:szCs w:val="15"/>
          <w:color w:val="auto"/>
        </w:rPr>
        <w:t>This Agreement and any related security or other agreements required by this Agreement, collectively:</w:t>
      </w:r>
    </w:p>
    <w:p>
      <w:pPr>
        <w:spacing w:after="0" w:line="231" w:lineRule="exact"/>
        <w:rPr>
          <w:sz w:val="20"/>
          <w:szCs w:val="20"/>
          <w:color w:val="auto"/>
        </w:rPr>
      </w:pPr>
    </w:p>
    <w:p>
      <w:pPr>
        <w:ind w:left="1180" w:hanging="281"/>
        <w:spacing w:after="0"/>
        <w:tabs>
          <w:tab w:leader="none" w:pos="11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represent the sum of the understandings and agreements between the Lender and the Borrower concerning this credit; and</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replace any prior oral or written agreements between the Lender and the Borrower concerning this credit; and</w:t>
      </w:r>
    </w:p>
    <w:p>
      <w:pPr>
        <w:spacing w:after="0" w:line="225" w:lineRule="exact"/>
        <w:rPr>
          <w:rFonts w:ascii="Arial" w:cs="Arial" w:eastAsia="Arial" w:hAnsi="Arial"/>
          <w:sz w:val="18"/>
          <w:szCs w:val="18"/>
          <w:color w:val="auto"/>
        </w:rPr>
      </w:pPr>
    </w:p>
    <w:p>
      <w:pPr>
        <w:ind w:right="1560" w:firstLine="899"/>
        <w:spacing w:after="0" w:line="597" w:lineRule="auto"/>
        <w:tabs>
          <w:tab w:leader="none" w:pos="1174" w:val="left"/>
        </w:tabs>
        <w:numPr>
          <w:ilvl w:val="0"/>
          <w:numId w:val="222"/>
        </w:numPr>
        <w:rPr>
          <w:rFonts w:ascii="Arial" w:cs="Arial" w:eastAsia="Arial" w:hAnsi="Arial"/>
          <w:sz w:val="15"/>
          <w:szCs w:val="15"/>
          <w:color w:val="auto"/>
        </w:rPr>
      </w:pPr>
      <w:r>
        <w:rPr>
          <w:rFonts w:ascii="Arial" w:cs="Arial" w:eastAsia="Arial" w:hAnsi="Arial"/>
          <w:sz w:val="15"/>
          <w:szCs w:val="15"/>
          <w:color w:val="auto"/>
        </w:rPr>
        <w:t>are intended by the Lender and the Borrower as the final, complete and exclusive statement of the terms agreed to by them. In the event of any conflict between this Agreement and any other agreements required by this Agreement, this Agreement will prevail.</w:t>
      </w:r>
    </w:p>
    <w:p>
      <w:pPr>
        <w:ind w:firstLine="351"/>
        <w:spacing w:after="0" w:line="291"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b w:val="1"/>
          <w:bCs w:val="1"/>
          <w:color w:val="auto"/>
        </w:rPr>
        <w:t>Indemnification.</w:t>
      </w:r>
      <w:r>
        <w:rPr>
          <w:rFonts w:ascii="Arial" w:cs="Arial" w:eastAsia="Arial" w:hAnsi="Arial"/>
          <w:sz w:val="16"/>
          <w:szCs w:val="16"/>
          <w:color w:val="auto"/>
        </w:rPr>
        <w:t xml:space="preserve"> The Borrower will indemnify and hold the Lender harmless from any loss, liability, damages, judgments, and costs of any kind relating to or arising directly or indirectly out of (a) this Agreement or any document required hereunder, (b) any credit extended or committed by the Lender to the Borrower hereunder, and (c) any litigation or proceeding related to or arising out of this Agreement, any such document, or any such credit; provided, however, that Borrower shall not be required to provide any indemnity hereunder (i) for any indemnified party's gross negligence or willful misconduct, including failure to materially comply with applicable law or (ii) any matter settled without Borrower's consent, which consent shall not be unreasonably withheld. This indemnity includes but is not limited to attorneys' fees. This indemnity extends to the Lender, its parent, subsidiaries and all of their directors, officers, employees, agents, successors, attorneys, and assigns. This indemnity will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survive repayment of the Borrower's obligations to the Lender. All sums due to the Lender hereunder shall be obligations of the Borrower, due and payable immediately without demand.</w:t>
      </w:r>
    </w:p>
    <w:p>
      <w:pPr>
        <w:spacing w:after="0" w:line="180"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No Future Commitment.</w:t>
      </w:r>
      <w:r>
        <w:rPr>
          <w:rFonts w:ascii="Arial" w:cs="Arial" w:eastAsia="Arial" w:hAnsi="Arial"/>
          <w:sz w:val="18"/>
          <w:szCs w:val="18"/>
          <w:color w:val="auto"/>
        </w:rPr>
        <w:t xml:space="preserve"> The Borrower acknowledges that the Lender has made no commitment to extend any additional credit to the Borrower or to continue the credit provided hereunder after this Agreement expires or is terminated as provided herein.</w:t>
      </w:r>
    </w:p>
    <w:p>
      <w:pPr>
        <w:spacing w:after="0" w:line="174" w:lineRule="exact"/>
        <w:rPr>
          <w:sz w:val="20"/>
          <w:szCs w:val="20"/>
          <w:color w:val="auto"/>
        </w:rPr>
      </w:pPr>
    </w:p>
    <w:p>
      <w:pPr>
        <w:ind w:right="60" w:firstLine="351"/>
        <w:spacing w:after="0" w:line="258"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b w:val="1"/>
          <w:bCs w:val="1"/>
          <w:color w:val="auto"/>
        </w:rPr>
        <w:t>Notices.</w:t>
      </w:r>
      <w:r>
        <w:rPr>
          <w:rFonts w:ascii="Arial" w:cs="Arial" w:eastAsia="Arial" w:hAnsi="Arial"/>
          <w:sz w:val="18"/>
          <w:szCs w:val="18"/>
          <w:color w:val="auto"/>
        </w:rPr>
        <w:t xml:space="preserve"> All notices required under this Agreement shall be personally delivered or sent by first class mail, postage prepaid, or by overnight courier, to the addresses on the signature page of this Agreement, or sent by facsimile to the fax numbers listed on the signature page, or to such other addresses as the Lender and the Borrower may specify from time to time in writing. Notices sent by first class mail shall be deemed delivered on the earlier of actual receipt or on the fourth business day after deposit in the U.S. mail.</w:t>
      </w:r>
    </w:p>
    <w:p>
      <w:pPr>
        <w:spacing w:after="0" w:line="190" w:lineRule="exact"/>
        <w:rPr>
          <w:sz w:val="20"/>
          <w:szCs w:val="20"/>
          <w:color w:val="auto"/>
        </w:rPr>
      </w:pPr>
    </w:p>
    <w:p>
      <w:pPr>
        <w:ind w:left="360"/>
        <w:spacing w:after="0"/>
        <w:tabs>
          <w:tab w:leader="none" w:pos="740" w:val="left"/>
          <w:tab w:leader="none" w:pos="16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b w:val="1"/>
          <w:bCs w:val="1"/>
          <w:color w:val="auto"/>
        </w:rPr>
        <w:t>Headings.</w:t>
      </w:r>
      <w:r>
        <w:rPr>
          <w:sz w:val="20"/>
          <w:szCs w:val="20"/>
          <w:color w:val="auto"/>
        </w:rPr>
        <w:tab/>
      </w:r>
      <w:r>
        <w:rPr>
          <w:rFonts w:ascii="Arial" w:cs="Arial" w:eastAsia="Arial" w:hAnsi="Arial"/>
          <w:sz w:val="16"/>
          <w:szCs w:val="16"/>
          <w:color w:val="auto"/>
        </w:rPr>
        <w:t>Article and Section headings are for reference only and will not affect the interpretation or meaning of any provisions of this Agreement.</w:t>
      </w:r>
    </w:p>
    <w:p>
      <w:pPr>
        <w:spacing w:after="0" w:line="225" w:lineRule="exact"/>
        <w:rPr>
          <w:sz w:val="20"/>
          <w:szCs w:val="20"/>
          <w:color w:val="auto"/>
        </w:rPr>
      </w:pPr>
    </w:p>
    <w:p>
      <w:pPr>
        <w:ind w:right="520" w:firstLine="351"/>
        <w:spacing w:after="0" w:line="339"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b w:val="1"/>
          <w:bCs w:val="1"/>
          <w:color w:val="auto"/>
        </w:rPr>
        <w:t>Counterparts.</w:t>
      </w:r>
      <w:r>
        <w:rPr>
          <w:rFonts w:ascii="Arial" w:cs="Arial" w:eastAsia="Arial" w:hAnsi="Arial"/>
          <w:sz w:val="16"/>
          <w:szCs w:val="16"/>
          <w:color w:val="auto"/>
        </w:rPr>
        <w:t xml:space="preserve"> This Agreement may be executed in as many counterparts as necessary or convenient, and by the different parties on separate counterparts each of which, when so executed, will be deemed an original but all such counterparts will constitute but one and the same agreement.</w:t>
      </w:r>
    </w:p>
    <w:p>
      <w:pPr>
        <w:spacing w:after="0" w:line="128" w:lineRule="exact"/>
        <w:rPr>
          <w:sz w:val="20"/>
          <w:szCs w:val="20"/>
          <w:color w:val="auto"/>
        </w:rPr>
      </w:pPr>
    </w:p>
    <w:p>
      <w:pPr>
        <w:ind w:right="340" w:firstLine="351"/>
        <w:spacing w:after="0" w:line="289"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b w:val="1"/>
          <w:bCs w:val="1"/>
          <w:color w:val="auto"/>
        </w:rPr>
        <w:t>Consent to Jurisdiction.</w:t>
      </w:r>
      <w:r>
        <w:rPr>
          <w:rFonts w:ascii="Arial" w:cs="Arial" w:eastAsia="Arial" w:hAnsi="Arial"/>
          <w:sz w:val="16"/>
          <w:szCs w:val="16"/>
          <w:color w:val="auto"/>
        </w:rPr>
        <w:t xml:space="preserve"> To induce the Lender to accept this Agreement, the Borrower irrevocably agrees that, subject to the Lender's sole and absolute election, </w:t>
      </w:r>
      <w:r>
        <w:rPr>
          <w:rFonts w:ascii="Arial" w:cs="Arial" w:eastAsia="Arial" w:hAnsi="Arial"/>
          <w:sz w:val="16"/>
          <w:szCs w:val="16"/>
          <w:b w:val="1"/>
          <w:bCs w:val="1"/>
          <w:color w:val="auto"/>
        </w:rPr>
        <w:t>THE BORROWER HEREBY WAIVES PERSONAL SERVICE OF PROCESS UPON THE BORROWER, AND AGREES THAT</w:t>
      </w:r>
    </w:p>
    <w:p>
      <w:pPr>
        <w:spacing w:after="0" w:line="1"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b w:val="1"/>
          <w:bCs w:val="1"/>
          <w:color w:val="auto"/>
        </w:rPr>
        <w:t>ALL SUCH SERVICE OF PROCESS MAY BE MADE BY REGISTERED MAIL DIRECTED TO THE BORROWER AT THE ADDRESS STATED ON THE SIGNATURE PAGE HEREOF AND SERVICE SO MADE WILL BE DEEMED TO BE COMPLETED UPON ACTUAL RECEIPT.</w:t>
      </w:r>
    </w:p>
    <w:p>
      <w:pPr>
        <w:spacing w:after="0" w:line="14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b w:val="1"/>
          <w:bCs w:val="1"/>
          <w:color w:val="auto"/>
        </w:rPr>
        <w:t>Waiver of Jury Trial. THE BORROWER AND THE LENDER EACH WAIVES ANY RIGHT TO A TRIAL BY JURY IN ANY ACTION</w:t>
      </w:r>
      <w:r>
        <w:rPr>
          <w:rFonts w:ascii="Arial" w:cs="Arial" w:eastAsia="Arial" w:hAnsi="Arial"/>
          <w:sz w:val="18"/>
          <w:szCs w:val="18"/>
          <w:color w:val="auto"/>
        </w:rPr>
        <w:t xml:space="preserve"> </w:t>
      </w:r>
      <w:r>
        <w:rPr>
          <w:rFonts w:ascii="Arial" w:cs="Arial" w:eastAsia="Arial" w:hAnsi="Arial"/>
          <w:sz w:val="18"/>
          <w:szCs w:val="18"/>
          <w:b w:val="1"/>
          <w:bCs w:val="1"/>
          <w:color w:val="auto"/>
        </w:rPr>
        <w:t>OR PROCEEDING TO ENFORCE OR DEFEND ANY RIGHTS (a) UNDER THIS AGREEMENT OR ANY RELATED AGREEMENT OR UNDER ANY AMENDMENT, INSTRUMENT, DOCUMENT OR AGREEMENT DELIVERED OR WHICH MAY IN THE FUTURE BE DELIVERED IN CONNECTION WITH THIS AGREEMENT OR (b) ARISING FROM ANY BANKING RELATIONSHIP EXISTING IN CONNECTION WITH THIS AGREEMENT, AND AGREES THAT ANY SUCH ACTION OR PROCEEDING WILL BE TRIED BEFORE A COURT AND NOT BEFORE A JURY. THE BORROWER AGREES THAT IT WILL NOT ASSERT ANY CLAIM AGAINST THE LENDER OR ANY OTHER PERSON INDEMNIFIED UNDER THIS AGREEMENT ON ANY THEORY OF LIABILITY FOR SPECIAL, INDIRECT, CONSEQUENTIAL, INCIDENTAL OR PUNITIVE DAMAGES.</w:t>
      </w:r>
    </w:p>
    <w:p>
      <w:pPr>
        <w:sectPr>
          <w:pgSz w:w="11900" w:h="16838" w:orient="portrait"/>
          <w:cols w:equalWidth="0" w:num="1">
            <w:col w:w="11400"/>
          </w:cols>
          <w:pgMar w:left="240" w:top="131" w:right="259" w:bottom="0" w:gutter="0" w:footer="0" w:header="0"/>
        </w:sectPr>
      </w:pPr>
    </w:p>
    <w:bookmarkStart w:id="145" w:name="page146"/>
    <w:bookmarkEnd w:id="145"/>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executed as of the date stated at the top of the first page.</w:t>
      </w:r>
    </w:p>
    <w:p>
      <w:pPr>
        <w:spacing w:after="0" w:line="219"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b w:val="1"/>
          <w:bCs w:val="1"/>
          <w:color w:val="auto"/>
        </w:rPr>
        <w:t>BANK OF AMERICA, N.A.</w:t>
      </w:r>
      <w:r>
        <w:rPr>
          <w:sz w:val="20"/>
          <w:szCs w:val="20"/>
          <w:color w:val="auto"/>
        </w:rPr>
        <w:tab/>
      </w:r>
      <w:r>
        <w:rPr>
          <w:rFonts w:ascii="Arial" w:cs="Arial" w:eastAsia="Arial" w:hAnsi="Arial"/>
          <w:sz w:val="16"/>
          <w:szCs w:val="16"/>
          <w:b w:val="1"/>
          <w:bCs w:val="1"/>
          <w:color w:val="auto"/>
        </w:rPr>
        <w:t>WORLD TRAVEL, LLC</w:t>
      </w:r>
    </w:p>
    <w:p>
      <w:pPr>
        <w:sectPr>
          <w:pgSz w:w="11900" w:h="16838" w:orient="portrait"/>
          <w:cols w:equalWidth="0" w:num="1">
            <w:col w:w="11360"/>
          </w:cols>
          <w:pgMar w:left="240" w:top="131" w:right="299" w:bottom="1440" w:gutter="0" w:footer="0" w:header="0"/>
        </w:sectPr>
      </w:pPr>
    </w:p>
    <w:p>
      <w:pPr>
        <w:spacing w:after="0" w:line="2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77470</wp:posOffset>
            </wp:positionV>
            <wp:extent cx="3039745" cy="215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3039745" cy="21590"/>
                    </a:xfrm>
                    <a:prstGeom prst="rect">
                      <a:avLst/>
                    </a:prstGeom>
                    <a:noFill/>
                  </pic:spPr>
                </pic:pic>
              </a:graphicData>
            </a:graphic>
          </wp:anchor>
        </w:drawing>
      </w:r>
    </w:p>
    <w:p>
      <w:pPr>
        <w:spacing w:after="0" w:line="232"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J. Vitale</w:t>
      </w:r>
    </w:p>
    <w:p>
      <w:pPr>
        <w:spacing w:after="0" w:line="15"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Address where notices to the Lender are to be 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300 South Fourth Street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Peter Vitale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(702) 654-7158</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Valvino Lamore, LLC, its Sole Member</w:t>
      </w:r>
    </w:p>
    <w:p>
      <w:pPr>
        <w:spacing w:after="0" w:line="252" w:lineRule="exact"/>
        <w:rPr>
          <w:sz w:val="20"/>
          <w:szCs w:val="20"/>
          <w:color w:val="auto"/>
        </w:rPr>
      </w:pPr>
    </w:p>
    <w:p>
      <w:pPr>
        <w:ind w:left="100"/>
        <w:spacing w:after="0"/>
        <w:tabs>
          <w:tab w:leader="none" w:pos="540" w:val="left"/>
        </w:tabs>
        <w:rPr>
          <w:sz w:val="20"/>
          <w:szCs w:val="20"/>
          <w:color w:val="auto"/>
        </w:rPr>
      </w:pPr>
      <w:r>
        <w:rPr>
          <w:rFonts w:ascii="Arial" w:cs="Arial" w:eastAsia="Arial" w:hAnsi="Arial"/>
          <w:sz w:val="18"/>
          <w:szCs w:val="18"/>
          <w:color w:val="auto"/>
        </w:rPr>
        <w:t>By:</w:t>
        <w:tab/>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77470</wp:posOffset>
            </wp:positionV>
            <wp:extent cx="3134360" cy="215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3134360" cy="21590"/>
                    </a:xfrm>
                    <a:prstGeom prst="rect">
                      <a:avLst/>
                    </a:prstGeom>
                    <a:noFill/>
                  </pic:spPr>
                </pic:pic>
              </a:graphicData>
            </a:graphic>
          </wp:anchor>
        </w:drawing>
      </w:r>
    </w:p>
    <w:p>
      <w:pPr>
        <w:spacing w:after="0" w:line="232" w:lineRule="exact"/>
        <w:rPr>
          <w:sz w:val="20"/>
          <w:szCs w:val="20"/>
          <w:color w:val="auto"/>
        </w:rPr>
      </w:pPr>
    </w:p>
    <w:p>
      <w:pPr>
        <w:ind w:left="560"/>
        <w:spacing w:after="0"/>
        <w:tabs>
          <w:tab w:leader="none" w:pos="1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Stephen A. Wynn</w:t>
      </w:r>
    </w:p>
    <w:p>
      <w:pPr>
        <w:spacing w:after="0" w:line="15" w:lineRule="exact"/>
        <w:rPr>
          <w:sz w:val="20"/>
          <w:szCs w:val="20"/>
          <w:color w:val="auto"/>
        </w:rPr>
      </w:pPr>
    </w:p>
    <w:p>
      <w:pPr>
        <w:ind w:left="560"/>
        <w:spacing w:after="0"/>
        <w:tabs>
          <w:tab w:leader="none" w:pos="1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Address where notices to the Borrower are to be sent: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Stephen Wynn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(702) 733-4596</w:t>
      </w:r>
    </w:p>
    <w:p>
      <w:pPr>
        <w:spacing w:after="0" w:line="841" w:lineRule="exact"/>
        <w:rPr>
          <w:sz w:val="20"/>
          <w:szCs w:val="20"/>
          <w:color w:val="auto"/>
        </w:rPr>
      </w:pPr>
    </w:p>
    <w:p>
      <w:pPr>
        <w:sectPr>
          <w:pgSz w:w="11900" w:h="16838" w:orient="portrait"/>
          <w:cols w:equalWidth="0" w:num="2">
            <w:col w:w="5800" w:space="140"/>
            <w:col w:w="5420"/>
          </w:cols>
          <w:pgMar w:left="240" w:top="131" w:right="299" w:bottom="1440" w:gutter="0" w:footer="0" w:header="0"/>
          <w:type w:val="continuous"/>
        </w:sectPr>
      </w:pPr>
    </w:p>
    <w:p>
      <w:pPr>
        <w:spacing w:after="0" w:line="262" w:lineRule="exact"/>
        <w:rPr>
          <w:sz w:val="20"/>
          <w:szCs w:val="20"/>
          <w:color w:val="auto"/>
        </w:rPr>
      </w:pPr>
    </w:p>
    <w:p>
      <w:pPr>
        <w:ind w:left="360"/>
        <w:spacing w:after="0"/>
        <w:tabs>
          <w:tab w:leader="none" w:pos="820" w:val="left"/>
          <w:tab w:leader="none" w:pos="326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8"/>
          <w:szCs w:val="18"/>
          <w:b w:val="1"/>
          <w:bCs w:val="1"/>
          <w:color w:val="auto"/>
        </w:rPr>
        <w:t>AND NOT BEFORE A JURY.</w:t>
      </w:r>
      <w:r>
        <w:rPr>
          <w:sz w:val="20"/>
          <w:szCs w:val="20"/>
          <w:color w:val="auto"/>
        </w:rPr>
        <w:tab/>
      </w:r>
      <w:r>
        <w:rPr>
          <w:rFonts w:ascii="Arial" w:cs="Arial" w:eastAsia="Arial" w:hAnsi="Arial"/>
          <w:sz w:val="16"/>
          <w:szCs w:val="16"/>
          <w:b w:val="1"/>
          <w:bCs w:val="1"/>
          <w:color w:val="auto"/>
        </w:rPr>
        <w:t>THE BORROWER AGREES THAT IT WILL NOT ASSERT ANY CLAIM AGAINST THE LENDER OR</w:t>
      </w:r>
    </w:p>
    <w:p>
      <w:pPr>
        <w:spacing w:after="0" w:line="21"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b w:val="1"/>
          <w:bCs w:val="1"/>
          <w:color w:val="auto"/>
        </w:rPr>
        <w:t>ANY OTHER PERSON INDEMNIFIED UNDER THIS AGREEMENT ON ANY THEORY OF LIABILITY FOR SPECIAL, INDIRECT, CONSEQUENTIAL, INCIDENTAL OR PUNITIVE DAMAGES.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executed as of the date stated at the top of the first page.</w:t>
      </w:r>
    </w:p>
    <w:p>
      <w:pPr>
        <w:spacing w:after="0" w:line="219"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b w:val="1"/>
          <w:bCs w:val="1"/>
          <w:color w:val="auto"/>
        </w:rPr>
        <w:t>BANK OF AMERICA, N.A.</w:t>
      </w:r>
      <w:r>
        <w:rPr>
          <w:sz w:val="20"/>
          <w:szCs w:val="20"/>
          <w:color w:val="auto"/>
        </w:rPr>
        <w:tab/>
      </w:r>
      <w:r>
        <w:rPr>
          <w:rFonts w:ascii="Arial" w:cs="Arial" w:eastAsia="Arial" w:hAnsi="Arial"/>
          <w:sz w:val="16"/>
          <w:szCs w:val="16"/>
          <w:b w:val="1"/>
          <w:bCs w:val="1"/>
          <w:color w:val="auto"/>
        </w:rPr>
        <w:t>WORLD TRAVEL, LLC</w:t>
      </w:r>
    </w:p>
    <w:p>
      <w:pPr>
        <w:sectPr>
          <w:pgSz w:w="11900" w:h="16838" w:orient="portrait"/>
          <w:cols w:equalWidth="0" w:num="1">
            <w:col w:w="11360"/>
          </w:cols>
          <w:pgMar w:left="240" w:top="131" w:right="299" w:bottom="1440" w:gutter="0" w:footer="0" w:header="0"/>
          <w:type w:val="continuous"/>
        </w:sectPr>
      </w:pPr>
    </w:p>
    <w:p>
      <w:pPr>
        <w:spacing w:after="0" w:line="2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J.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77470</wp:posOffset>
            </wp:positionV>
            <wp:extent cx="3039745" cy="215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3039745" cy="21590"/>
                    </a:xfrm>
                    <a:prstGeom prst="rect">
                      <a:avLst/>
                    </a:prstGeom>
                    <a:noFill/>
                  </pic:spPr>
                </pic:pic>
              </a:graphicData>
            </a:graphic>
          </wp:anchor>
        </w:drawing>
      </w:r>
    </w:p>
    <w:p>
      <w:pPr>
        <w:spacing w:after="0" w:line="232"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J. Vitale</w:t>
      </w:r>
    </w:p>
    <w:p>
      <w:pPr>
        <w:spacing w:after="0" w:line="15"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Address where notices to the Lender are to be 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300 South Fourth Street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Peter Vitale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(702) 654-7158</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Valvino Lamore, LLC, its Sole Member</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77470</wp:posOffset>
            </wp:positionV>
            <wp:extent cx="3134360" cy="215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3134360" cy="21590"/>
                    </a:xfrm>
                    <a:prstGeom prst="rect">
                      <a:avLst/>
                    </a:prstGeom>
                    <a:noFill/>
                  </pic:spPr>
                </pic:pic>
              </a:graphicData>
            </a:graphic>
          </wp:anchor>
        </w:drawing>
      </w:r>
    </w:p>
    <w:p>
      <w:pPr>
        <w:spacing w:after="0" w:line="232" w:lineRule="exact"/>
        <w:rPr>
          <w:sz w:val="20"/>
          <w:szCs w:val="20"/>
          <w:color w:val="auto"/>
        </w:rPr>
      </w:pPr>
    </w:p>
    <w:p>
      <w:pPr>
        <w:ind w:left="560"/>
        <w:spacing w:after="0"/>
        <w:tabs>
          <w:tab w:leader="none" w:pos="1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Stephen A. Wynn</w:t>
      </w:r>
    </w:p>
    <w:p>
      <w:pPr>
        <w:spacing w:after="0" w:line="15" w:lineRule="exact"/>
        <w:rPr>
          <w:sz w:val="20"/>
          <w:szCs w:val="20"/>
          <w:color w:val="auto"/>
        </w:rPr>
      </w:pPr>
    </w:p>
    <w:p>
      <w:pPr>
        <w:ind w:left="560"/>
        <w:spacing w:after="0"/>
        <w:tabs>
          <w:tab w:leader="none" w:pos="1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Address where notices to the Borrower are to be sent: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Stephen Wynn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(702) 733-4596</w:t>
      </w:r>
    </w:p>
    <w:p>
      <w:pPr>
        <w:spacing w:after="0" w:line="841" w:lineRule="exact"/>
        <w:rPr>
          <w:sz w:val="20"/>
          <w:szCs w:val="20"/>
          <w:color w:val="auto"/>
        </w:rPr>
      </w:pPr>
    </w:p>
    <w:p>
      <w:pPr>
        <w:sectPr>
          <w:pgSz w:w="11900" w:h="16838" w:orient="portrait"/>
          <w:cols w:equalWidth="0" w:num="2">
            <w:col w:w="5800" w:space="140"/>
            <w:col w:w="5420"/>
          </w:cols>
          <w:pgMar w:left="240" w:top="131"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5"/>
          <w:szCs w:val="15"/>
          <w:u w:val="single" w:color="auto"/>
          <w:color w:val="0000EE"/>
        </w:rPr>
      </w:pPr>
      <w:hyperlink w:anchor="page139">
        <w:r>
          <w:rPr>
            <w:rFonts w:ascii="Arial" w:cs="Arial" w:eastAsia="Arial" w:hAnsi="Arial"/>
            <w:sz w:val="15"/>
            <w:szCs w:val="15"/>
            <w:u w:val="single" w:color="auto"/>
            <w:color w:val="0000EE"/>
          </w:rPr>
          <w:t>Amended and Restated Business Loan Agreement</w:t>
        </w:r>
      </w:hyperlink>
    </w:p>
    <w:p>
      <w:pPr>
        <w:sectPr>
          <w:pgSz w:w="11900" w:h="16838" w:orient="portrait"/>
          <w:cols w:equalWidth="0" w:num="1">
            <w:col w:w="11360"/>
          </w:cols>
          <w:pgMar w:left="240" w:top="131" w:right="299" w:bottom="1440" w:gutter="0" w:footer="0" w:header="0"/>
          <w:type w:val="continuous"/>
        </w:sectPr>
      </w:pPr>
    </w:p>
    <w:bookmarkStart w:id="146" w:name="page147"/>
    <w:bookmarkEnd w:id="146"/>
    <w:p>
      <w:pPr>
        <w:spacing w:after="0"/>
        <w:rPr>
          <w:rFonts w:ascii="Arial" w:cs="Arial" w:eastAsia="Arial" w:hAnsi="Arial"/>
          <w:sz w:val="22"/>
          <w:szCs w:val="22"/>
          <w:color w:val="0000EE"/>
        </w:rPr>
      </w:pPr>
      <w:hyperlink w:anchor="page15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Continuing Guaranty</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BORROWER: WORLD TRAVEL, LLC</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GUARANTOR: VALVINO LAMORE, LLC</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w:t>
      </w:r>
    </w:p>
    <w:p>
      <w:pPr>
        <w:spacing w:after="0" w:line="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231 South LaSalle Street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Chicago, Illinois 60697</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firstLine="359"/>
        <w:spacing w:after="0" w:line="290" w:lineRule="auto"/>
        <w:tabs>
          <w:tab w:leader="none" w:pos="658" w:val="left"/>
        </w:tabs>
        <w:numPr>
          <w:ilvl w:val="0"/>
          <w:numId w:val="223"/>
        </w:numPr>
        <w:rPr>
          <w:rFonts w:ascii="Arial" w:cs="Arial" w:eastAsia="Arial" w:hAnsi="Arial"/>
          <w:sz w:val="16"/>
          <w:szCs w:val="16"/>
          <w:color w:val="auto"/>
        </w:rPr>
      </w:pPr>
      <w:r>
        <w:rPr>
          <w:rFonts w:ascii="Arial" w:cs="Arial" w:eastAsia="Arial" w:hAnsi="Arial"/>
          <w:sz w:val="16"/>
          <w:szCs w:val="16"/>
          <w:b w:val="1"/>
          <w:bCs w:val="1"/>
          <w:color w:val="auto"/>
        </w:rPr>
        <w:t xml:space="preserve">Guaranty of Payment. </w:t>
      </w:r>
      <w:r>
        <w:rPr>
          <w:rFonts w:ascii="Arial" w:cs="Arial" w:eastAsia="Arial" w:hAnsi="Arial"/>
          <w:sz w:val="16"/>
          <w:szCs w:val="16"/>
          <w:color w:val="auto"/>
        </w:rPr>
        <w:t>For value received and in consideration of any loan or other financial accommodation heretofore, now or hereafter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made or granted to WORLD TRAVEL, LLC (the "</w:t>
      </w:r>
      <w:r>
        <w:rPr>
          <w:rFonts w:ascii="Arial" w:cs="Arial" w:eastAsia="Arial" w:hAnsi="Arial"/>
          <w:sz w:val="16"/>
          <w:szCs w:val="16"/>
          <w:b w:val="1"/>
          <w:bCs w:val="1"/>
          <w:color w:val="auto"/>
        </w:rPr>
        <w:t>Borrower</w:t>
      </w:r>
      <w:r>
        <w:rPr>
          <w:rFonts w:ascii="Arial" w:cs="Arial" w:eastAsia="Arial" w:hAnsi="Arial"/>
          <w:sz w:val="16"/>
          <w:szCs w:val="16"/>
          <w:color w:val="auto"/>
        </w:rPr>
        <w:t>") by BANK OF AMERICA, N.A. (together with its successors and assigns, the "</w:t>
      </w:r>
      <w:r>
        <w:rPr>
          <w:rFonts w:ascii="Arial" w:cs="Arial" w:eastAsia="Arial" w:hAnsi="Arial"/>
          <w:sz w:val="16"/>
          <w:szCs w:val="16"/>
          <w:b w:val="1"/>
          <w:bCs w:val="1"/>
          <w:color w:val="auto"/>
        </w:rPr>
        <w:t>Lender</w:t>
      </w:r>
      <w:r>
        <w:rPr>
          <w:rFonts w:ascii="Arial" w:cs="Arial" w:eastAsia="Arial" w:hAnsi="Arial"/>
          <w:sz w:val="16"/>
          <w:szCs w:val="16"/>
          <w:color w:val="auto"/>
        </w:rPr>
        <w:t>"), 231 South LaSalle Street, Chicago, Illinois 60697, the undersigned (the "</w:t>
      </w:r>
      <w:r>
        <w:rPr>
          <w:rFonts w:ascii="Arial" w:cs="Arial" w:eastAsia="Arial" w:hAnsi="Arial"/>
          <w:sz w:val="16"/>
          <w:szCs w:val="16"/>
          <w:b w:val="1"/>
          <w:bCs w:val="1"/>
          <w:color w:val="auto"/>
        </w:rPr>
        <w:t>Guarantor</w:t>
      </w:r>
      <w:r>
        <w:rPr>
          <w:rFonts w:ascii="Arial" w:cs="Arial" w:eastAsia="Arial" w:hAnsi="Arial"/>
          <w:sz w:val="16"/>
          <w:szCs w:val="16"/>
          <w:color w:val="auto"/>
        </w:rPr>
        <w:t>") hereby unconditionally guarantees the full and prompt payment when due, whether by acceleration or otherwise, and at all times thereafter, of all obligations of the Borrower to the Lender under that certain Business Loan Agreement dated on or about the date hereof between Borrower and Lender (the "</w:t>
      </w:r>
      <w:r>
        <w:rPr>
          <w:rFonts w:ascii="Arial" w:cs="Arial" w:eastAsia="Arial" w:hAnsi="Arial"/>
          <w:sz w:val="16"/>
          <w:szCs w:val="16"/>
          <w:b w:val="1"/>
          <w:bCs w:val="1"/>
          <w:color w:val="auto"/>
        </w:rPr>
        <w:t>Loan Agreement</w:t>
      </w:r>
      <w:r>
        <w:rPr>
          <w:rFonts w:ascii="Arial" w:cs="Arial" w:eastAsia="Arial" w:hAnsi="Arial"/>
          <w:sz w:val="16"/>
          <w:szCs w:val="16"/>
          <w:color w:val="auto"/>
        </w:rPr>
        <w:t>"), including, but not limited to, Swap Obligations, as defined in that certain Mortgage, Security Agreement and Assignment dated on or about the date hereof between Borrower and Lender (all such obligations being hereinafter collectively called the "</w:t>
      </w:r>
      <w:r>
        <w:rPr>
          <w:rFonts w:ascii="Arial" w:cs="Arial" w:eastAsia="Arial" w:hAnsi="Arial"/>
          <w:sz w:val="16"/>
          <w:szCs w:val="16"/>
          <w:b w:val="1"/>
          <w:bCs w:val="1"/>
          <w:color w:val="auto"/>
        </w:rPr>
        <w:t>Liabilities</w:t>
      </w:r>
      <w:r>
        <w:rPr>
          <w:rFonts w:ascii="Arial" w:cs="Arial" w:eastAsia="Arial" w:hAnsi="Arial"/>
          <w:sz w:val="16"/>
          <w:szCs w:val="16"/>
          <w:color w:val="auto"/>
        </w:rPr>
        <w:t>"), and the Guarantor further agrees to pay all expenses and attorneys' fees paid or incurred by the Lender in endeavoring to collect the Liabilities, or any part thereof, and in enforcing this Guaranty.</w:t>
      </w:r>
    </w:p>
    <w:p>
      <w:pPr>
        <w:spacing w:after="0" w:line="166" w:lineRule="exact"/>
        <w:rPr>
          <w:rFonts w:ascii="Arial" w:cs="Arial" w:eastAsia="Arial" w:hAnsi="Arial"/>
          <w:sz w:val="16"/>
          <w:szCs w:val="16"/>
          <w:color w:val="auto"/>
        </w:rPr>
      </w:pPr>
    </w:p>
    <w:p>
      <w:pPr>
        <w:ind w:right="20" w:firstLine="359"/>
        <w:spacing w:after="0" w:line="262" w:lineRule="auto"/>
        <w:tabs>
          <w:tab w:leader="none" w:pos="649"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Acceleration of the Time of Payment of Amount Payable Under the Guaranty. </w:t>
      </w:r>
      <w:r>
        <w:rPr>
          <w:rFonts w:ascii="Arial" w:cs="Arial" w:eastAsia="Arial" w:hAnsi="Arial"/>
          <w:sz w:val="18"/>
          <w:szCs w:val="18"/>
          <w:color w:val="auto"/>
        </w:rPr>
        <w:t>Upon acceleration of all Liabilities due to the occurrence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 of an Event of Default under the Loan Agreement, the Guarantor will pay to the Lender forthwith the full amount which would be payable hereunder by the Guarantor if all Liabilities were then due and payable.</w:t>
      </w:r>
    </w:p>
    <w:p>
      <w:pPr>
        <w:spacing w:after="0" w:line="186" w:lineRule="exact"/>
        <w:rPr>
          <w:rFonts w:ascii="Arial" w:cs="Arial" w:eastAsia="Arial" w:hAnsi="Arial"/>
          <w:sz w:val="18"/>
          <w:szCs w:val="18"/>
          <w:color w:val="auto"/>
        </w:rPr>
      </w:pPr>
    </w:p>
    <w:p>
      <w:pPr>
        <w:ind w:right="100" w:firstLine="359"/>
        <w:spacing w:after="0" w:line="288" w:lineRule="auto"/>
        <w:tabs>
          <w:tab w:leader="none" w:pos="658" w:val="left"/>
        </w:tabs>
        <w:numPr>
          <w:ilvl w:val="0"/>
          <w:numId w:val="223"/>
        </w:numPr>
        <w:rPr>
          <w:rFonts w:ascii="Arial" w:cs="Arial" w:eastAsia="Arial" w:hAnsi="Arial"/>
          <w:sz w:val="16"/>
          <w:szCs w:val="16"/>
          <w:color w:val="auto"/>
        </w:rPr>
      </w:pPr>
      <w:r>
        <w:rPr>
          <w:rFonts w:ascii="Arial" w:cs="Arial" w:eastAsia="Arial" w:hAnsi="Arial"/>
          <w:sz w:val="16"/>
          <w:szCs w:val="16"/>
          <w:b w:val="1"/>
          <w:bCs w:val="1"/>
          <w:color w:val="auto"/>
        </w:rPr>
        <w:t xml:space="preserve">Continuing Guaranty. </w:t>
      </w:r>
      <w:r>
        <w:rPr>
          <w:rFonts w:ascii="Arial" w:cs="Arial" w:eastAsia="Arial" w:hAnsi="Arial"/>
          <w:sz w:val="16"/>
          <w:szCs w:val="16"/>
          <w:color w:val="auto"/>
        </w:rPr>
        <w:t>This Guaranty is a continuing, absolute and unconditional Guaranty, and will remain in full force and effect (notwithstanding,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without limitation, the death, incompetency or dissolution of the Guarantor or that at any time or from time to time all Liabilities may have been paid in full), subject to discontinuance only upon actual receipt by the Lender of written notice from the Guarantor, or any person duly authorized and acting on behalf of the Guarantor, of the discontinuance 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notice of discontinuance will affect or impair any of the agreements and obligations of the Guarantor hereunder with respect to any and all Liabilities existing prior to the time of actual receipt of such notice by the Lender, any and all Liabilities created or acquired thereafter pursuant to any previous commitments made by the Lender, any and all extensions or renewals of any of the foregoing, any and all interest on any of the foregoing, and any and all expenses paid or incurred by the Lender in endeavoring to collect any of the foregoing and in enforcing this Guaranty against the Guarantor; and all of the agreements and obligations of the Guarantor under this Guaranty will, notwithstanding any such notice of discontinuance, remain fully in effect until all such Liabilities (including any extensions or renewals of any thereof) and all such interest and expenses have been paid in full.</w:t>
      </w:r>
    </w:p>
    <w:p>
      <w:pPr>
        <w:spacing w:after="0" w:line="169" w:lineRule="exact"/>
        <w:rPr>
          <w:rFonts w:ascii="Arial" w:cs="Arial" w:eastAsia="Arial" w:hAnsi="Arial"/>
          <w:sz w:val="16"/>
          <w:szCs w:val="16"/>
          <w:color w:val="auto"/>
        </w:rPr>
      </w:pPr>
    </w:p>
    <w:p>
      <w:pPr>
        <w:ind w:right="80" w:firstLine="359"/>
        <w:spacing w:after="0" w:line="296" w:lineRule="auto"/>
        <w:tabs>
          <w:tab w:leader="none" w:pos="658" w:val="left"/>
        </w:tabs>
        <w:numPr>
          <w:ilvl w:val="0"/>
          <w:numId w:val="223"/>
        </w:numPr>
        <w:rPr>
          <w:rFonts w:ascii="Arial" w:cs="Arial" w:eastAsia="Arial" w:hAnsi="Arial"/>
          <w:sz w:val="16"/>
          <w:szCs w:val="16"/>
          <w:color w:val="auto"/>
        </w:rPr>
      </w:pPr>
      <w:r>
        <w:rPr>
          <w:rFonts w:ascii="Arial" w:cs="Arial" w:eastAsia="Arial" w:hAnsi="Arial"/>
          <w:sz w:val="16"/>
          <w:szCs w:val="16"/>
          <w:b w:val="1"/>
          <w:bCs w:val="1"/>
          <w:color w:val="auto"/>
        </w:rPr>
        <w:t xml:space="preserve">Rescission or Return of Payment on Liabilities. </w:t>
      </w:r>
      <w:r>
        <w:rPr>
          <w:rFonts w:ascii="Arial" w:cs="Arial" w:eastAsia="Arial" w:hAnsi="Arial"/>
          <w:sz w:val="16"/>
          <w:szCs w:val="16"/>
          <w:color w:val="auto"/>
        </w:rPr>
        <w:t>The Guarantor further agrees that, if at any time all or any part of any payment theretofore applied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Lender to any of the Liabilities is or must be rescinded or returned by the Lender for any reason whatsoever (including, without limitation, the insolvency, bankruptcy or reorganization of the Borrower), such Liabilities are, for the purposes of this Guaranty, to the extent that such payment is or must be rescinded or returned, deemed to have continued in existence, notwithstanding such application by the Lender, and this Guaranty will continue to be effective or be reinstated, as the case may be, as to such Liabilities, all as though such application by the Lender had not been made.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6" w:lineRule="exact"/>
        <w:rPr>
          <w:rFonts w:ascii="Arial" w:cs="Arial" w:eastAsia="Arial" w:hAnsi="Arial"/>
          <w:sz w:val="16"/>
          <w:szCs w:val="16"/>
          <w:color w:val="auto"/>
        </w:rPr>
      </w:pPr>
    </w:p>
    <w:p>
      <w:pPr>
        <w:ind w:right="20" w:firstLine="359"/>
        <w:spacing w:after="0" w:line="288" w:lineRule="auto"/>
        <w:tabs>
          <w:tab w:leader="none" w:pos="658" w:val="left"/>
        </w:tabs>
        <w:numPr>
          <w:ilvl w:val="0"/>
          <w:numId w:val="223"/>
        </w:numPr>
        <w:rPr>
          <w:rFonts w:ascii="Arial" w:cs="Arial" w:eastAsia="Arial" w:hAnsi="Arial"/>
          <w:sz w:val="16"/>
          <w:szCs w:val="16"/>
          <w:color w:val="auto"/>
        </w:rPr>
      </w:pPr>
      <w:r>
        <w:rPr>
          <w:rFonts w:ascii="Arial" w:cs="Arial" w:eastAsia="Arial" w:hAnsi="Arial"/>
          <w:sz w:val="16"/>
          <w:szCs w:val="16"/>
          <w:b w:val="1"/>
          <w:bCs w:val="1"/>
          <w:color w:val="auto"/>
        </w:rPr>
        <w:t xml:space="preserve">Covenants of the Guarantor. </w:t>
      </w:r>
      <w:r>
        <w:rPr>
          <w:rFonts w:ascii="Arial" w:cs="Arial" w:eastAsia="Arial" w:hAnsi="Arial"/>
          <w:sz w:val="16"/>
          <w:szCs w:val="16"/>
          <w:color w:val="auto"/>
        </w:rPr>
        <w:t>The Guarantor covenants and agrees with the Lender that the Guarantor shall: (a) provide to the Lender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financial statements within forty-five (45) days of each calendar quarter in a form and content reasonably acceptable to the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Guarantor becomes subject to any SEC reporting requirements for either public debt or equity, such financial reports shall be deemed acceptable by the Lender; (b) commencing with the calendar year ending December 31, 2002 and annually thereafter within one hundred twenty (120) days of calendar year end, provide to the Lender the Guarantor's annual audited financial statements on a consolidated basis with an unqualified opinion from a CPA firm reasonably acceptable to the Lender; (c) provide to the Lender within forty-five (45) days of the last day of each calendar year end a compliance certificate of the Guarantor substantially in the form of </w:t>
      </w:r>
      <w:r>
        <w:rPr>
          <w:rFonts w:ascii="Arial" w:cs="Arial" w:eastAsia="Arial" w:hAnsi="Arial"/>
          <w:sz w:val="16"/>
          <w:szCs w:val="16"/>
          <w:i w:val="1"/>
          <w:iCs w:val="1"/>
          <w:color w:val="auto"/>
        </w:rPr>
        <w:t>Exhibit A</w:t>
      </w:r>
      <w:r>
        <w:rPr>
          <w:rFonts w:ascii="Arial" w:cs="Arial" w:eastAsia="Arial" w:hAnsi="Arial"/>
          <w:sz w:val="16"/>
          <w:szCs w:val="16"/>
          <w:color w:val="auto"/>
        </w:rPr>
        <w:t xml:space="preserve"> attached hereto, in form and content satisfactory to the Lender, and certified in writing as true and correct by the Guarantor, evidencing the Guarantor's compliance with the terms of clauses (e) and (f) below of this Section 5 as of the last day of such period, and providing such additional financial or other information as the Lender may reasonably request from time to time; (d) not cause, permit or suffer Stephen A. Wynn ("</w:t>
      </w:r>
      <w:r>
        <w:rPr>
          <w:rFonts w:ascii="Arial" w:cs="Arial" w:eastAsia="Arial" w:hAnsi="Arial"/>
          <w:sz w:val="16"/>
          <w:szCs w:val="16"/>
          <w:b w:val="1"/>
          <w:bCs w:val="1"/>
          <w:color w:val="auto"/>
        </w:rPr>
        <w:t>Wynn</w:t>
      </w:r>
      <w:r>
        <w:rPr>
          <w:rFonts w:ascii="Arial" w:cs="Arial" w:eastAsia="Arial" w:hAnsi="Arial"/>
          <w:sz w:val="16"/>
          <w:szCs w:val="16"/>
          <w:color w:val="auto"/>
        </w:rPr>
        <w:t>") to cease to own, directly or indirectly, 30% of the capital ownership of the Guarantor and to cause Wynn to be Chief Executive Officer of the Guarantor;</w:t>
      </w:r>
    </w:p>
    <w:p>
      <w:pPr>
        <w:spacing w:after="0" w:line="175" w:lineRule="exact"/>
        <w:rPr>
          <w:rFonts w:ascii="Arial" w:cs="Arial" w:eastAsia="Arial" w:hAnsi="Arial"/>
          <w:sz w:val="16"/>
          <w:szCs w:val="16"/>
          <w:color w:val="auto"/>
        </w:rPr>
      </w:pPr>
    </w:p>
    <w:p>
      <w:pPr>
        <w:ind w:left="540" w:right="40" w:firstLine="359"/>
        <w:spacing w:after="0" w:line="290" w:lineRule="auto"/>
        <w:tabs>
          <w:tab w:leader="none" w:pos="1262" w:val="left"/>
        </w:tabs>
        <w:numPr>
          <w:ilvl w:val="1"/>
          <w:numId w:val="223"/>
        </w:numPr>
        <w:rPr>
          <w:rFonts w:ascii="Arial" w:cs="Arial" w:eastAsia="Arial" w:hAnsi="Arial"/>
          <w:sz w:val="16"/>
          <w:szCs w:val="16"/>
          <w:color w:val="auto"/>
        </w:rPr>
      </w:pPr>
      <w:r>
        <w:rPr>
          <w:rFonts w:ascii="Arial" w:cs="Arial" w:eastAsia="Arial" w:hAnsi="Arial"/>
          <w:sz w:val="16"/>
          <w:szCs w:val="16"/>
          <w:i w:val="1"/>
          <w:iCs w:val="1"/>
          <w:color w:val="auto"/>
        </w:rPr>
        <w:t xml:space="preserve">Minimum Tangible Net Worth: </w:t>
      </w:r>
      <w:r>
        <w:rPr>
          <w:rFonts w:ascii="Arial" w:cs="Arial" w:eastAsia="Arial" w:hAnsi="Arial"/>
          <w:sz w:val="16"/>
          <w:szCs w:val="16"/>
          <w:color w:val="auto"/>
        </w:rPr>
        <w:t>To maintain on a consolidated basis Minimum Tangible Net Worth equal to at least Four Hundred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Dollars ($400,000,000) at all times effective as of September 30, 2002. "</w:t>
      </w:r>
      <w:r>
        <w:rPr>
          <w:rFonts w:ascii="Arial" w:cs="Arial" w:eastAsia="Arial" w:hAnsi="Arial"/>
          <w:sz w:val="16"/>
          <w:szCs w:val="16"/>
          <w:b w:val="1"/>
          <w:bCs w:val="1"/>
          <w:color w:val="auto"/>
        </w:rPr>
        <w:t>Tangible Net Worth</w:t>
      </w:r>
      <w:r>
        <w:rPr>
          <w:rFonts w:ascii="Arial" w:cs="Arial" w:eastAsia="Arial" w:hAnsi="Arial"/>
          <w:sz w:val="16"/>
          <w:szCs w:val="16"/>
          <w:color w:val="auto"/>
        </w:rPr>
        <w:t>" means the value of the Guarantor's total assets (including leaseholds and leasehold improvements and reserves against assets but excluding goodwill, patents, trademarks, trade names, organization expense, unamortized debt discount and expense, capitalized or deferred research and development costs, deferred marketing expenses, and other like intangibles, and monies due from affiliates, officers, directors, employees, shareholders, members or managers of the Guarantor) less total liabilities, including but not limited to accrued and deferred income taxes, but excluding the non-current portion of Subordinated Liabilities. "</w:t>
      </w:r>
      <w:r>
        <w:rPr>
          <w:rFonts w:ascii="Arial" w:cs="Arial" w:eastAsia="Arial" w:hAnsi="Arial"/>
          <w:sz w:val="16"/>
          <w:szCs w:val="16"/>
          <w:b w:val="1"/>
          <w:bCs w:val="1"/>
          <w:color w:val="auto"/>
        </w:rPr>
        <w:t>Subordinated Liabilities</w:t>
      </w:r>
      <w:r>
        <w:rPr>
          <w:rFonts w:ascii="Arial" w:cs="Arial" w:eastAsia="Arial" w:hAnsi="Arial"/>
          <w:sz w:val="16"/>
          <w:szCs w:val="16"/>
          <w:color w:val="auto"/>
        </w:rPr>
        <w:t>" means liabilities subordinated to the Guarantor's obligations to the Lender in a manner acceptable to the Lender in its sole discretion; and</w:t>
      </w:r>
    </w:p>
    <w:p>
      <w:pPr>
        <w:spacing w:after="0" w:line="166" w:lineRule="exact"/>
        <w:rPr>
          <w:rFonts w:ascii="Arial" w:cs="Arial" w:eastAsia="Arial" w:hAnsi="Arial"/>
          <w:sz w:val="16"/>
          <w:szCs w:val="16"/>
          <w:color w:val="auto"/>
        </w:rPr>
      </w:pPr>
    </w:p>
    <w:p>
      <w:pPr>
        <w:ind w:left="540" w:right="40" w:firstLine="359"/>
        <w:spacing w:after="0" w:line="291" w:lineRule="auto"/>
        <w:tabs>
          <w:tab w:leader="none" w:pos="1242" w:val="left"/>
        </w:tabs>
        <w:numPr>
          <w:ilvl w:val="1"/>
          <w:numId w:val="223"/>
        </w:numPr>
        <w:rPr>
          <w:rFonts w:ascii="Arial" w:cs="Arial" w:eastAsia="Arial" w:hAnsi="Arial"/>
          <w:sz w:val="16"/>
          <w:szCs w:val="16"/>
          <w:color w:val="auto"/>
        </w:rPr>
      </w:pPr>
      <w:r>
        <w:rPr>
          <w:rFonts w:ascii="Arial" w:cs="Arial" w:eastAsia="Arial" w:hAnsi="Arial"/>
          <w:sz w:val="16"/>
          <w:szCs w:val="16"/>
          <w:i w:val="1"/>
          <w:iCs w:val="1"/>
          <w:color w:val="auto"/>
        </w:rPr>
        <w:t xml:space="preserve">Minimum Debt Service Coverage. </w:t>
      </w:r>
      <w:r>
        <w:rPr>
          <w:rFonts w:ascii="Arial" w:cs="Arial" w:eastAsia="Arial" w:hAnsi="Arial"/>
          <w:sz w:val="16"/>
          <w:szCs w:val="16"/>
          <w:color w:val="auto"/>
        </w:rPr>
        <w:t>To maintain on a consolidated basis a Debt Service Coverage Ratio of at least 1.25:1.0. "</w:t>
      </w:r>
      <w:r>
        <w:rPr>
          <w:rFonts w:ascii="Arial" w:cs="Arial" w:eastAsia="Arial" w:hAnsi="Arial"/>
          <w:sz w:val="16"/>
          <w:szCs w:val="16"/>
          <w:b w:val="1"/>
          <w:bCs w:val="1"/>
          <w:color w:val="auto"/>
        </w:rPr>
        <w:t>Minimum Debt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Service Coverage Ratio</w:t>
      </w:r>
      <w:r>
        <w:rPr>
          <w:rFonts w:ascii="Arial" w:cs="Arial" w:eastAsia="Arial" w:hAnsi="Arial"/>
          <w:sz w:val="16"/>
          <w:szCs w:val="16"/>
          <w:color w:val="auto"/>
        </w:rPr>
        <w:t>" means the ratio of EBITDA to the sum of the current portion of long term debt and the current portion of long term capitalized</w:t>
      </w:r>
      <w:r>
        <w:rPr>
          <w:rFonts w:ascii="Arial" w:cs="Arial" w:eastAsia="Arial" w:hAnsi="Arial"/>
          <w:sz w:val="16"/>
          <w:szCs w:val="16"/>
          <w:b w:val="1"/>
          <w:bCs w:val="1"/>
          <w:color w:val="auto"/>
        </w:rPr>
        <w:t xml:space="preserve"> </w:t>
      </w:r>
      <w:r>
        <w:rPr>
          <w:rFonts w:ascii="Arial" w:cs="Arial" w:eastAsia="Arial" w:hAnsi="Arial"/>
          <w:sz w:val="16"/>
          <w:szCs w:val="16"/>
          <w:color w:val="auto"/>
        </w:rPr>
        <w:t>lease obligations, plus cash interest expense on all obligations for the trailing four quarters. "</w:t>
      </w:r>
      <w:r>
        <w:rPr>
          <w:rFonts w:ascii="Arial" w:cs="Arial" w:eastAsia="Arial" w:hAnsi="Arial"/>
          <w:sz w:val="16"/>
          <w:szCs w:val="16"/>
          <w:b w:val="1"/>
          <w:bCs w:val="1"/>
          <w:color w:val="auto"/>
        </w:rPr>
        <w:t>EBITDA</w:t>
      </w:r>
      <w:r>
        <w:rPr>
          <w:rFonts w:ascii="Arial" w:cs="Arial" w:eastAsia="Arial" w:hAnsi="Arial"/>
          <w:sz w:val="16"/>
          <w:szCs w:val="16"/>
          <w:color w:val="auto"/>
        </w:rPr>
        <w:t xml:space="preserve">" means net income, less income or plus loss from discontinued operations and extraordinary items, plus income taxes, plus interest expense, plus depreciation, depletion, amortization and other non-cash charges;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in the event that Le Reve opens on or after January 1, 2005, EBITDA shall be annualized as follows: (i) using the first calendar quarter multiplied by 4, (ii) the first and second calendar quarters multiplied by 2; and (iii) the first, second and third calendar quarters multiplied by 4/3rds;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pre-opening expenses shall be added to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-3968115</wp:posOffset>
            </wp:positionV>
            <wp:extent cx="7250430" cy="215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147" w:name="page148"/>
    <w:bookmarkEnd w:id="147"/>
    <w:p>
      <w:pPr>
        <w:ind w:left="540" w:right="180" w:firstLine="348"/>
        <w:spacing w:after="0" w:line="259" w:lineRule="auto"/>
        <w:rPr>
          <w:sz w:val="20"/>
          <w:szCs w:val="20"/>
          <w:color w:val="auto"/>
        </w:rPr>
      </w:pPr>
      <w:r>
        <w:rPr>
          <w:rFonts w:ascii="Arial" w:cs="Arial" w:eastAsia="Arial" w:hAnsi="Arial"/>
          <w:sz w:val="18"/>
          <w:szCs w:val="18"/>
          <w:color w:val="auto"/>
        </w:rPr>
        <w:t>This ratio will be calculated annually using the results of the twelve-month period ending with that reporting period commencing with the calendar year ended December 31, 2005. The current portion of long-term liabilities will be measured as of the date 12 months prior to the current financial statement.</w:t>
      </w:r>
    </w:p>
    <w:p>
      <w:pPr>
        <w:spacing w:after="0" w:line="188" w:lineRule="exact"/>
        <w:rPr>
          <w:sz w:val="20"/>
          <w:szCs w:val="20"/>
          <w:color w:val="auto"/>
        </w:rPr>
      </w:pPr>
    </w:p>
    <w:p>
      <w:pPr>
        <w:ind w:right="20" w:firstLine="359"/>
        <w:spacing w:after="0" w:line="256" w:lineRule="auto"/>
        <w:tabs>
          <w:tab w:leader="none" w:pos="658"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 xml:space="preserve">Lender Permitted to Take Certain Actions. </w:t>
      </w:r>
      <w:r>
        <w:rPr>
          <w:rFonts w:ascii="Arial" w:cs="Arial" w:eastAsia="Arial" w:hAnsi="Arial"/>
          <w:sz w:val="18"/>
          <w:szCs w:val="18"/>
          <w:color w:val="auto"/>
        </w:rPr>
        <w:t>The Lender may, from time to time (but is not obligated to), whether before or after any discontinuance</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Guaranty, at its sole discretion and without notice to the Guarantor, take any or all of the following actions: (a) receive a security interest in any property to secure any of the Liabilities or any obligation hereunder; (b) retain or obtain the primary or secondary obligation of any obligor or obligors, in addition to the Guarantor, with respect to any of the Liabilities; (c) extend or renew for one or more periods (whether or not longer than the original period), alter or exchange any of the Liabilities, or release or compromise any obligation of the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Guarantor hereunder or any obligation of any nature of any other obligor with respect to any of the Liabilities; (d) release its security interest in, or surrender, release or permit any substitution or exchange for, all or any part of any property securing any of the Liabilities or any obligation hereunder, or extend or renew for one or more periods (whether or not longer than the original period) or release, compromise, alter or exchange any obligations of any nature of any obligor with respect to any such property; and (e) resort to the Guarantor for payment of any of the Liabilities, whether or not the Lender (i) has resorted to any property securing any of the Liabilities or any obligation hereunder or (ii) has proceeded against any other obligor primarily or secondarily obligated with respect to any of the Liabilities (all of the actions referred to in preceding clauses (i) and (ii) being hereby expressly waived by the Guarantor).</w:t>
      </w:r>
    </w:p>
    <w:p>
      <w:pPr>
        <w:spacing w:after="0" w:line="168" w:lineRule="exact"/>
        <w:rPr>
          <w:sz w:val="20"/>
          <w:szCs w:val="20"/>
          <w:color w:val="auto"/>
        </w:rPr>
      </w:pPr>
    </w:p>
    <w:p>
      <w:pPr>
        <w:ind w:right="80" w:firstLine="359"/>
        <w:spacing w:after="0" w:line="275" w:lineRule="auto"/>
        <w:tabs>
          <w:tab w:leader="none" w:pos="649"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Any amounts received by the Lender from whatsoever source on account of the Liabilities may be applied by it toward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such of the Liabilities, and in such order of application, as the Lender may from time to time elect.</w:t>
      </w:r>
    </w:p>
    <w:p>
      <w:pPr>
        <w:spacing w:after="0" w:line="173" w:lineRule="exact"/>
        <w:rPr>
          <w:rFonts w:ascii="Arial" w:cs="Arial" w:eastAsia="Arial" w:hAnsi="Arial"/>
          <w:sz w:val="18"/>
          <w:szCs w:val="18"/>
          <w:color w:val="auto"/>
        </w:rPr>
      </w:pPr>
    </w:p>
    <w:p>
      <w:pPr>
        <w:ind w:right="20" w:firstLine="359"/>
        <w:spacing w:after="0" w:line="301" w:lineRule="auto"/>
        <w:tabs>
          <w:tab w:leader="none" w:pos="658" w:val="left"/>
        </w:tabs>
        <w:numPr>
          <w:ilvl w:val="0"/>
          <w:numId w:val="225"/>
        </w:numPr>
        <w:rPr>
          <w:rFonts w:ascii="Arial" w:cs="Arial" w:eastAsia="Arial" w:hAnsi="Arial"/>
          <w:sz w:val="16"/>
          <w:szCs w:val="16"/>
          <w:color w:val="auto"/>
        </w:rPr>
      </w:pPr>
      <w:r>
        <w:rPr>
          <w:rFonts w:ascii="Arial" w:cs="Arial" w:eastAsia="Arial" w:hAnsi="Arial"/>
          <w:sz w:val="16"/>
          <w:szCs w:val="16"/>
          <w:b w:val="1"/>
          <w:bCs w:val="1"/>
          <w:color w:val="auto"/>
        </w:rPr>
        <w:t xml:space="preserve">Subrogation. </w:t>
      </w:r>
      <w:r>
        <w:rPr>
          <w:rFonts w:ascii="Arial" w:cs="Arial" w:eastAsia="Arial" w:hAnsi="Arial"/>
          <w:sz w:val="16"/>
          <w:szCs w:val="16"/>
          <w:color w:val="auto"/>
        </w:rPr>
        <w:t>Until such time as this Guaranty has been discontinued and the Lender has received payment of the full amount of all Liabilities and of</w:t>
      </w:r>
      <w:r>
        <w:rPr>
          <w:rFonts w:ascii="Arial" w:cs="Arial" w:eastAsia="Arial" w:hAnsi="Arial"/>
          <w:sz w:val="16"/>
          <w:szCs w:val="16"/>
          <w:b w:val="1"/>
          <w:bCs w:val="1"/>
          <w:color w:val="auto"/>
        </w:rPr>
        <w:t xml:space="preserve"> </w:t>
      </w:r>
      <w:r>
        <w:rPr>
          <w:rFonts w:ascii="Arial" w:cs="Arial" w:eastAsia="Arial" w:hAnsi="Arial"/>
          <w:sz w:val="16"/>
          <w:szCs w:val="16"/>
          <w:color w:val="auto"/>
        </w:rPr>
        <w:t>all obligations of the Guarantor hereunder, no payment made by or for the account of the Guarantor pursuant to this Guaranty entitles the Guarantor by subrogation or otherwise to any payment by the Borrower or from or out of any property of the Borrower, and the Guarantor will not exercise any right or remedy against the Borrower or any property of the Borrower by reason of any performance by the Guarantor of this Guaranty.</w:t>
      </w:r>
    </w:p>
    <w:p>
      <w:pPr>
        <w:spacing w:after="0" w:line="157" w:lineRule="exact"/>
        <w:rPr>
          <w:rFonts w:ascii="Arial" w:cs="Arial" w:eastAsia="Arial" w:hAnsi="Arial"/>
          <w:sz w:val="16"/>
          <w:szCs w:val="16"/>
          <w:color w:val="auto"/>
        </w:rPr>
      </w:pPr>
    </w:p>
    <w:p>
      <w:pPr>
        <w:jc w:val="both"/>
        <w:ind w:right="20" w:firstLine="359"/>
        <w:spacing w:after="0" w:line="258" w:lineRule="auto"/>
        <w:tabs>
          <w:tab w:leader="none" w:pos="655"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 xml:space="preserve">Waiver of Notice and Other Matters. </w:t>
      </w:r>
      <w:r>
        <w:rPr>
          <w:rFonts w:ascii="Arial" w:cs="Arial" w:eastAsia="Arial" w:hAnsi="Arial"/>
          <w:sz w:val="18"/>
          <w:szCs w:val="18"/>
          <w:color w:val="auto"/>
        </w:rPr>
        <w:t>The Guarantor hereby expressly waives: (a) notice of the acceptance by the Lender of this Guaranty; (b)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existence or creation or non-payment of all or any of the Liabilities; (c) presentment, demand, notice of dishonor, protest, and all other notices whatsoever; and (d) all diligence in collection or protection of or realization upon the Liabilities or any thereof, any obligation hereunder, or any security for or guaranty of any of the foregoing.</w:t>
      </w:r>
    </w:p>
    <w:p>
      <w:pPr>
        <w:spacing w:after="0" w:line="190" w:lineRule="exact"/>
        <w:rPr>
          <w:rFonts w:ascii="Arial" w:cs="Arial" w:eastAsia="Arial" w:hAnsi="Arial"/>
          <w:sz w:val="18"/>
          <w:szCs w:val="18"/>
          <w:color w:val="auto"/>
        </w:rPr>
      </w:pPr>
    </w:p>
    <w:p>
      <w:pPr>
        <w:ind w:right="100" w:firstLine="359"/>
        <w:spacing w:after="0" w:line="262" w:lineRule="auto"/>
        <w:tabs>
          <w:tab w:leader="none" w:pos="737"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 xml:space="preserve">Additional Liabilities of the Borrower Permitted. </w:t>
      </w:r>
      <w:r>
        <w:rPr>
          <w:rFonts w:ascii="Arial" w:cs="Arial" w:eastAsia="Arial" w:hAnsi="Arial"/>
          <w:sz w:val="18"/>
          <w:szCs w:val="18"/>
          <w:color w:val="auto"/>
        </w:rPr>
        <w:t>The creation or existence from time to time of Liabilities in excess of the amount to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of recovery under this Guaranty is limited is hereby authorized, without notice to the Guarantor, and will in no way affect or impair the rights of the Lender and the obligations of the Guarantor under this Guaranty.</w:t>
      </w:r>
    </w:p>
    <w:p>
      <w:pPr>
        <w:spacing w:after="0" w:line="186" w:lineRule="exact"/>
        <w:rPr>
          <w:rFonts w:ascii="Arial" w:cs="Arial" w:eastAsia="Arial" w:hAnsi="Arial"/>
          <w:sz w:val="18"/>
          <w:szCs w:val="18"/>
          <w:color w:val="auto"/>
        </w:rPr>
      </w:pPr>
    </w:p>
    <w:p>
      <w:pPr>
        <w:ind w:firstLine="359"/>
        <w:spacing w:after="0" w:line="291" w:lineRule="auto"/>
        <w:tabs>
          <w:tab w:leader="none" w:pos="730" w:val="left"/>
        </w:tabs>
        <w:numPr>
          <w:ilvl w:val="0"/>
          <w:numId w:val="225"/>
        </w:numPr>
        <w:rPr>
          <w:rFonts w:ascii="Arial" w:cs="Arial" w:eastAsia="Arial" w:hAnsi="Arial"/>
          <w:sz w:val="16"/>
          <w:szCs w:val="16"/>
          <w:color w:val="auto"/>
        </w:rPr>
      </w:pPr>
      <w:r>
        <w:rPr>
          <w:rFonts w:ascii="Arial" w:cs="Arial" w:eastAsia="Arial" w:hAnsi="Arial"/>
          <w:sz w:val="16"/>
          <w:szCs w:val="16"/>
          <w:b w:val="1"/>
          <w:bCs w:val="1"/>
          <w:color w:val="auto"/>
        </w:rPr>
        <w:t xml:space="preserve">Assignment of Liabilities. </w:t>
      </w:r>
      <w:r>
        <w:rPr>
          <w:rFonts w:ascii="Arial" w:cs="Arial" w:eastAsia="Arial" w:hAnsi="Arial"/>
          <w:sz w:val="16"/>
          <w:szCs w:val="16"/>
          <w:color w:val="auto"/>
        </w:rPr>
        <w:t>The Lender may, from time to time, whether before or after any discontinuance of this Guaranty, without notice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Guarantor, assign or transfer any or all of the Liabilities or any interest therein; and, notwithstanding any such assignment or transfer or any subsequent assignment or transfer thereof, such Liabilities will remain Liabilities for the purposes of this Guaranty, and each and every immediate and successive assignee or transferee of any of the Liabilities or of any interest therein will, to the extent of the interest of such assignee or transferee in the Liabilities, be entitled to the benefits of this Guaranty to the same extent as if such assignee or transferee were the Lender, </w:t>
      </w:r>
      <w:r>
        <w:rPr>
          <w:rFonts w:ascii="Arial" w:cs="Arial" w:eastAsia="Arial" w:hAnsi="Arial"/>
          <w:sz w:val="16"/>
          <w:szCs w:val="16"/>
          <w:i w:val="1"/>
          <w:iCs w:val="1"/>
          <w:color w:val="auto"/>
        </w:rPr>
        <w:t>provided, however</w:t>
      </w:r>
      <w:r>
        <w:rPr>
          <w:rFonts w:ascii="Arial" w:cs="Arial" w:eastAsia="Arial" w:hAnsi="Arial"/>
          <w:sz w:val="16"/>
          <w:szCs w:val="16"/>
          <w:color w:val="auto"/>
        </w:rPr>
        <w:t>, that, unless the Lender otherwise consents in writing, the Lender has an unimpaired right, prior and superior to that of any such assignee or transferee, to enforce this Guaranty, for the benefit of the Lender, as to those of the Liabilities which the Lender has not assigned or transferred.</w:t>
      </w:r>
    </w:p>
    <w:p>
      <w:pPr>
        <w:spacing w:after="0" w:line="167" w:lineRule="exact"/>
        <w:rPr>
          <w:rFonts w:ascii="Arial" w:cs="Arial" w:eastAsia="Arial" w:hAnsi="Arial"/>
          <w:sz w:val="16"/>
          <w:szCs w:val="16"/>
          <w:color w:val="auto"/>
        </w:rPr>
      </w:pPr>
    </w:p>
    <w:p>
      <w:pPr>
        <w:ind w:right="80" w:firstLine="359"/>
        <w:spacing w:after="0" w:line="258" w:lineRule="auto"/>
        <w:tabs>
          <w:tab w:leader="none" w:pos="746"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 xml:space="preserve">Information Concerning the Borrower. </w:t>
      </w:r>
      <w:r>
        <w:rPr>
          <w:rFonts w:ascii="Arial" w:cs="Arial" w:eastAsia="Arial" w:hAnsi="Arial"/>
          <w:sz w:val="18"/>
          <w:szCs w:val="18"/>
          <w:color w:val="auto"/>
        </w:rPr>
        <w:t>The Guarantor hereby warrants to the Lender that the Guarantor now has and will continue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means of obtaining information concerning the affairs, financial condition and business of the Borrower. The Lender has no duty or responsibility to provide the Guarantor with any credit or other information concerning the affairs, financial condition or business of the Borrower which may come into the Lender's possession.</w:t>
      </w:r>
    </w:p>
    <w:p>
      <w:pPr>
        <w:spacing w:after="0" w:line="190" w:lineRule="exact"/>
        <w:rPr>
          <w:rFonts w:ascii="Arial" w:cs="Arial" w:eastAsia="Arial" w:hAnsi="Arial"/>
          <w:sz w:val="18"/>
          <w:szCs w:val="18"/>
          <w:color w:val="auto"/>
        </w:rPr>
      </w:pPr>
    </w:p>
    <w:p>
      <w:pPr>
        <w:ind w:right="100" w:firstLine="359"/>
        <w:spacing w:after="0" w:line="339" w:lineRule="auto"/>
        <w:tabs>
          <w:tab w:leader="none" w:pos="743" w:val="left"/>
        </w:tabs>
        <w:numPr>
          <w:ilvl w:val="0"/>
          <w:numId w:val="225"/>
        </w:numPr>
        <w:rPr>
          <w:rFonts w:ascii="Arial" w:cs="Arial" w:eastAsia="Arial" w:hAnsi="Arial"/>
          <w:sz w:val="16"/>
          <w:szCs w:val="16"/>
          <w:color w:val="auto"/>
        </w:rPr>
      </w:pPr>
      <w:r>
        <w:rPr>
          <w:rFonts w:ascii="Arial" w:cs="Arial" w:eastAsia="Arial" w:hAnsi="Arial"/>
          <w:sz w:val="16"/>
          <w:szCs w:val="16"/>
          <w:b w:val="1"/>
          <w:bCs w:val="1"/>
          <w:color w:val="auto"/>
        </w:rPr>
        <w:t xml:space="preserve">Waiver and Modifications. </w:t>
      </w:r>
      <w:r>
        <w:rPr>
          <w:rFonts w:ascii="Arial" w:cs="Arial" w:eastAsia="Arial" w:hAnsi="Arial"/>
          <w:sz w:val="16"/>
          <w:szCs w:val="16"/>
          <w:color w:val="auto"/>
        </w:rPr>
        <w:t>No delay on the part of the Lender in the exercise of any right or remedy will operate as a waiver thereof, and no single</w:t>
      </w:r>
      <w:r>
        <w:rPr>
          <w:rFonts w:ascii="Arial" w:cs="Arial" w:eastAsia="Arial" w:hAnsi="Arial"/>
          <w:sz w:val="16"/>
          <w:szCs w:val="16"/>
          <w:b w:val="1"/>
          <w:bCs w:val="1"/>
          <w:color w:val="auto"/>
        </w:rPr>
        <w:t xml:space="preserve"> </w:t>
      </w:r>
      <w:r>
        <w:rPr>
          <w:rFonts w:ascii="Arial" w:cs="Arial" w:eastAsia="Arial" w:hAnsi="Arial"/>
          <w:sz w:val="16"/>
          <w:szCs w:val="16"/>
          <w:color w:val="auto"/>
        </w:rPr>
        <w:t>or partial exercise by the Lender of any right or remedy will preclude other or further exercise thereof or the exercise of any other right or remedy;</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nor will any modification or waiver of any of the provisions of this Guaranty be binding upon the Lender except as expressly set forth in a writing duly signed and delivered on behalf of the Lender.</w:t>
      </w:r>
    </w:p>
    <w:p>
      <w:pPr>
        <w:spacing w:after="0" w:line="180" w:lineRule="exact"/>
        <w:rPr>
          <w:sz w:val="20"/>
          <w:szCs w:val="20"/>
          <w:color w:val="auto"/>
        </w:rPr>
      </w:pPr>
    </w:p>
    <w:p>
      <w:pPr>
        <w:ind w:right="80" w:firstLine="359"/>
        <w:spacing w:after="0" w:line="293" w:lineRule="auto"/>
        <w:tabs>
          <w:tab w:leader="none" w:pos="746" w:val="left"/>
        </w:tabs>
        <w:numPr>
          <w:ilvl w:val="0"/>
          <w:numId w:val="226"/>
        </w:numPr>
        <w:rPr>
          <w:rFonts w:ascii="Arial" w:cs="Arial" w:eastAsia="Arial" w:hAnsi="Arial"/>
          <w:sz w:val="16"/>
          <w:szCs w:val="16"/>
          <w:color w:val="auto"/>
        </w:rPr>
      </w:pPr>
      <w:r>
        <w:rPr>
          <w:rFonts w:ascii="Arial" w:cs="Arial" w:eastAsia="Arial" w:hAnsi="Arial"/>
          <w:sz w:val="16"/>
          <w:szCs w:val="16"/>
          <w:b w:val="1"/>
          <w:bCs w:val="1"/>
          <w:color w:val="auto"/>
        </w:rPr>
        <w:t xml:space="preserve">Obligations Under Guaranty. </w:t>
      </w:r>
      <w:r>
        <w:rPr>
          <w:rFonts w:ascii="Arial" w:cs="Arial" w:eastAsia="Arial" w:hAnsi="Arial"/>
          <w:sz w:val="16"/>
          <w:szCs w:val="16"/>
          <w:color w:val="auto"/>
        </w:rPr>
        <w:t>No action of the Lender permitted hereunder will in any way affect or impair the rights of the Lender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of the Guarantor under this Guaranty. For the purposes of this Guaranty, Liabilities include all obligations of the Borrower to the Lender under the Loan Agreement, notwithstanding any right or power of the Borrower or anyone else to assert any claim or defense as to the invalidity or unenforceability of any such obligation, and no such claim or defense will affect or impair the obligations of the Guarantor hereunder. The obligations of the Guarantor under this Guaranty are absolute and unconditional irrespective of any circumstance whatsoever which might constitute a legal or equitable discharge or defense of the Guarantor. The Guarantor hereby acknowledges that there are no conditions to the effectiveness of this Guaranty.</w:t>
      </w:r>
    </w:p>
    <w:p>
      <w:pPr>
        <w:spacing w:after="0" w:line="164" w:lineRule="exact"/>
        <w:rPr>
          <w:rFonts w:ascii="Arial" w:cs="Arial" w:eastAsia="Arial" w:hAnsi="Arial"/>
          <w:sz w:val="16"/>
          <w:szCs w:val="16"/>
          <w:color w:val="auto"/>
        </w:rPr>
      </w:pPr>
    </w:p>
    <w:p>
      <w:pPr>
        <w:jc w:val="both"/>
        <w:ind w:right="120" w:firstLine="359"/>
        <w:spacing w:after="0" w:line="310" w:lineRule="auto"/>
        <w:tabs>
          <w:tab w:leader="none" w:pos="746" w:val="left"/>
        </w:tabs>
        <w:numPr>
          <w:ilvl w:val="0"/>
          <w:numId w:val="226"/>
        </w:numPr>
        <w:rPr>
          <w:rFonts w:ascii="Arial" w:cs="Arial" w:eastAsia="Arial" w:hAnsi="Arial"/>
          <w:sz w:val="16"/>
          <w:szCs w:val="16"/>
          <w:color w:val="auto"/>
        </w:rPr>
      </w:pPr>
      <w:r>
        <w:rPr>
          <w:rFonts w:ascii="Arial" w:cs="Arial" w:eastAsia="Arial" w:hAnsi="Arial"/>
          <w:sz w:val="16"/>
          <w:szCs w:val="16"/>
          <w:b w:val="1"/>
          <w:bCs w:val="1"/>
          <w:color w:val="auto"/>
        </w:rPr>
        <w:t xml:space="preserve">Successors. </w:t>
      </w:r>
      <w:r>
        <w:rPr>
          <w:rFonts w:ascii="Arial" w:cs="Arial" w:eastAsia="Arial" w:hAnsi="Arial"/>
          <w:sz w:val="16"/>
          <w:szCs w:val="16"/>
          <w:color w:val="auto"/>
        </w:rPr>
        <w:t>This Guaranty is binding upon the Guarantor, and upon the heirs, legal representatives, successors and assigns of the Guarantor, and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extent that the Borrower or the Guarantor is either a partnership or a corporation, all references herein to the Borrower and to the Guarantor, respectively, are deemed to include any successor or successors, whether immediate or remote, to such partnership or corporation.</w:t>
      </w:r>
    </w:p>
    <w:p>
      <w:pPr>
        <w:spacing w:after="0" w:line="151" w:lineRule="exact"/>
        <w:rPr>
          <w:rFonts w:ascii="Arial" w:cs="Arial" w:eastAsia="Arial" w:hAnsi="Arial"/>
          <w:sz w:val="16"/>
          <w:szCs w:val="16"/>
          <w:color w:val="auto"/>
        </w:rPr>
      </w:pPr>
    </w:p>
    <w:p>
      <w:pPr>
        <w:ind w:left="760" w:hanging="401"/>
        <w:spacing w:after="0"/>
        <w:tabs>
          <w:tab w:leader="none" w:pos="760" w:val="left"/>
        </w:tabs>
        <w:numPr>
          <w:ilvl w:val="0"/>
          <w:numId w:val="226"/>
        </w:numPr>
        <w:rPr>
          <w:rFonts w:ascii="Arial" w:cs="Arial" w:eastAsia="Arial" w:hAnsi="Arial"/>
          <w:sz w:val="16"/>
          <w:szCs w:val="16"/>
          <w:color w:val="auto"/>
        </w:rPr>
      </w:pPr>
      <w:r>
        <w:rPr>
          <w:rFonts w:ascii="Arial" w:cs="Arial" w:eastAsia="Arial" w:hAnsi="Arial"/>
          <w:sz w:val="16"/>
          <w:szCs w:val="16"/>
          <w:b w:val="1"/>
          <w:bCs w:val="1"/>
          <w:color w:val="auto"/>
        </w:rPr>
        <w:t xml:space="preserve">Law.  </w:t>
      </w:r>
      <w:r>
        <w:rPr>
          <w:rFonts w:ascii="Arial" w:cs="Arial" w:eastAsia="Arial" w:hAnsi="Arial"/>
          <w:sz w:val="16"/>
          <w:szCs w:val="16"/>
          <w:color w:val="auto"/>
        </w:rPr>
        <w:t>This Guaranty has been delivered in Chicago, Illinois, and will be construed in accordance with and governed by the internal laws of the State</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Illinois.</w:t>
      </w:r>
    </w:p>
    <w:p>
      <w:pPr>
        <w:sectPr>
          <w:pgSz w:w="11900" w:h="16838" w:orient="portrait"/>
          <w:cols w:equalWidth="0" w:num="1">
            <w:col w:w="11400"/>
          </w:cols>
          <w:pgMar w:left="240" w:top="131" w:right="259" w:bottom="182" w:gutter="0" w:footer="0" w:header="0"/>
        </w:sectPr>
      </w:pPr>
    </w:p>
    <w:bookmarkStart w:id="148" w:name="page149"/>
    <w:bookmarkEnd w:id="148"/>
    <w:p>
      <w:pPr>
        <w:spacing w:after="0" w:line="15" w:lineRule="exact"/>
        <w:rPr>
          <w:sz w:val="20"/>
          <w:szCs w:val="20"/>
          <w:color w:val="auto"/>
        </w:rPr>
      </w:pPr>
    </w:p>
    <w:p>
      <w:pPr>
        <w:ind w:right="40" w:firstLine="359"/>
        <w:spacing w:after="0" w:line="262" w:lineRule="auto"/>
        <w:tabs>
          <w:tab w:leader="none" w:pos="746"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Wherever possible, each provision of this Guaranty will be interpreted in such manner as to be effective and valid under 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but if any provision of this Guaranty is prohibited by or invalid under such law, such provision will be ineffective to the extent of such prohibition or invalidity, without invalidating the remainder of such provision or the remaining provisions of this Guaranty.</w:t>
      </w:r>
    </w:p>
    <w:p>
      <w:pPr>
        <w:spacing w:after="0" w:line="186" w:lineRule="exact"/>
        <w:rPr>
          <w:rFonts w:ascii="Arial" w:cs="Arial" w:eastAsia="Arial" w:hAnsi="Arial"/>
          <w:sz w:val="18"/>
          <w:szCs w:val="18"/>
          <w:color w:val="auto"/>
        </w:rPr>
      </w:pPr>
    </w:p>
    <w:p>
      <w:pPr>
        <w:ind w:left="760" w:hanging="401"/>
        <w:spacing w:after="0"/>
        <w:tabs>
          <w:tab w:leader="none" w:pos="76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Captions.  </w:t>
      </w:r>
      <w:r>
        <w:rPr>
          <w:rFonts w:ascii="Arial" w:cs="Arial" w:eastAsia="Arial" w:hAnsi="Arial"/>
          <w:sz w:val="18"/>
          <w:szCs w:val="18"/>
          <w:color w:val="auto"/>
        </w:rPr>
        <w:t>Paragraph captions used in this Guaranty are for convenience only, and do not affect the construction of this Guaranty.</w:t>
      </w:r>
    </w:p>
    <w:p>
      <w:pPr>
        <w:spacing w:after="0" w:line="225" w:lineRule="exact"/>
        <w:rPr>
          <w:rFonts w:ascii="Arial" w:cs="Arial" w:eastAsia="Arial" w:hAnsi="Arial"/>
          <w:sz w:val="18"/>
          <w:szCs w:val="18"/>
          <w:color w:val="auto"/>
        </w:rPr>
      </w:pPr>
    </w:p>
    <w:p>
      <w:pPr>
        <w:jc w:val="both"/>
        <w:ind w:right="180" w:firstLine="359"/>
        <w:spacing w:after="0" w:line="301" w:lineRule="auto"/>
        <w:tabs>
          <w:tab w:leader="none" w:pos="746"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Consent to Jurisdiction. To induce the Lender to accept this Guaranty, the Guarantor irrevocably agrees that, subject to the Lender's sole and absolute election, THE GUARANTOR WAIVES PERSONAL SERVICE OF PROCESS UPON THE GUARANTOR, AND AGREES THAT ALL SUCH SERVICE OF PROCESS MAY BE MADE BY REGISTERED MAIL DIRECTED TO THE GUARANTOR AT THE ADDRESS STATED ON THE SIGNATURE PAGE HEREOF AND SERVICE SO MADE WILL BE DEEMED TO BE COMPLETED UPON ACTUAL RECEIPT.</w:t>
      </w:r>
    </w:p>
    <w:p>
      <w:pPr>
        <w:spacing w:after="0" w:line="157" w:lineRule="exact"/>
        <w:rPr>
          <w:rFonts w:ascii="Arial" w:cs="Arial" w:eastAsia="Arial" w:hAnsi="Arial"/>
          <w:sz w:val="16"/>
          <w:szCs w:val="16"/>
          <w:color w:val="auto"/>
        </w:rPr>
      </w:pPr>
    </w:p>
    <w:p>
      <w:pPr>
        <w:ind w:right="80" w:firstLine="359"/>
        <w:spacing w:after="0" w:line="255" w:lineRule="auto"/>
        <w:tabs>
          <w:tab w:leader="none" w:pos="743"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Waiver of Jury Trial. THE GUARANTOR HEREBY EXPRESSLY WAIVES ANY RIGHT TO A TRIAL BY JURY IN ANY ACTION OR PROCEEDING TO ENFORCE OR DEFEND ANY RIGHTS UNDER THIS GUARANTY OR UNDER ANY AMENDMENT, INSTRUMENT, DOCUMENT OR AGREEMENT DELIVERED OR WHICH MAY IN THE FUTURE BE DELIVERED IN CONNECTION WITH THIS GUARANTY, AND AGREES THAT ANY SUCH ACTION OR PROCEEDING WILL BE TRIED BEFORE A COURT AND NOT BEFORE A JURY. THE GUARANTOR AGREES THAT THE GUARANTOR WILL NOT ASSERT ANY CLAIM AGAINST THE LENDER ON ANY THEORY OF LIABILITY, FOR SPECIAL, INDIRECT, CONSEQUENTIAL, INCIDENTAL OR PUNITIVE DAMAGES.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SIGNED AND DELIVERED THIS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May, 2002.</w:t>
      </w:r>
    </w:p>
    <w:p>
      <w:pPr>
        <w:spacing w:after="0" w:line="1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STEPHEN A. WYNN</w:t>
            </w:r>
          </w:p>
        </w:tc>
      </w:tr>
      <w:tr>
        <w:trPr>
          <w:trHeight w:val="120"/>
        </w:trPr>
        <w:tc>
          <w:tcPr>
            <w:tcW w:w="124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3"/>
        </w:trPr>
        <w:tc>
          <w:tcPr>
            <w:tcW w:w="124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Its:</w:t>
            </w:r>
          </w:p>
        </w:tc>
        <w:tc>
          <w:tcPr>
            <w:tcW w:w="4560" w:type="dxa"/>
            <w:vAlign w:val="bottom"/>
          </w:tcPr>
          <w:p>
            <w:pPr>
              <w:spacing w:after="0"/>
              <w:rPr>
                <w:sz w:val="20"/>
                <w:szCs w:val="20"/>
                <w:color w:val="auto"/>
              </w:rPr>
            </w:pPr>
            <w:r>
              <w:rPr>
                <w:rFonts w:ascii="Arial" w:cs="Arial" w:eastAsia="Arial" w:hAnsi="Arial"/>
                <w:sz w:val="18"/>
                <w:szCs w:val="18"/>
                <w:i w:val="1"/>
                <w:iCs w:val="1"/>
                <w:color w:val="auto"/>
              </w:rPr>
              <w:t>Managing Member</w:t>
            </w:r>
          </w:p>
        </w:tc>
      </w:tr>
      <w:tr>
        <w:trPr>
          <w:trHeight w:val="426"/>
        </w:trPr>
        <w:tc>
          <w:tcPr>
            <w:tcW w:w="1240" w:type="dxa"/>
            <w:vAlign w:val="bottom"/>
          </w:tcPr>
          <w:p>
            <w:pPr>
              <w:spacing w:after="0"/>
              <w:rPr>
                <w:sz w:val="20"/>
                <w:szCs w:val="20"/>
                <w:color w:val="auto"/>
              </w:rPr>
            </w:pPr>
            <w:r>
              <w:rPr>
                <w:rFonts w:ascii="Arial" w:cs="Arial" w:eastAsia="Arial" w:hAnsi="Arial"/>
                <w:sz w:val="18"/>
                <w:szCs w:val="18"/>
                <w:color w:val="auto"/>
              </w:rPr>
              <w:t>Address:</w:t>
            </w:r>
          </w:p>
        </w:tc>
        <w:tc>
          <w:tcPr>
            <w:tcW w:w="4560" w:type="dxa"/>
            <w:vAlign w:val="bottom"/>
          </w:tcPr>
          <w:p>
            <w:pPr>
              <w:spacing w:after="0"/>
              <w:rPr>
                <w:sz w:val="20"/>
                <w:szCs w:val="20"/>
                <w:color w:val="auto"/>
              </w:rPr>
            </w:pPr>
            <w:r>
              <w:rPr>
                <w:rFonts w:ascii="Arial" w:cs="Arial" w:eastAsia="Arial" w:hAnsi="Arial"/>
                <w:sz w:val="18"/>
                <w:szCs w:val="18"/>
                <w:color w:val="auto"/>
              </w:rPr>
              <w:t>c/o World Travel, LLC</w:t>
            </w:r>
          </w:p>
        </w:tc>
      </w:tr>
      <w:tr>
        <w:trPr>
          <w:trHeight w:val="216"/>
        </w:trPr>
        <w:tc>
          <w:tcPr>
            <w:tcW w:w="12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3145 Las Vegas Boulevard, South</w:t>
            </w:r>
          </w:p>
        </w:tc>
      </w:tr>
      <w:tr>
        <w:trPr>
          <w:trHeight w:val="216"/>
        </w:trPr>
        <w:tc>
          <w:tcPr>
            <w:tcW w:w="12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Las Vegas, Nevada 89109</w:t>
            </w:r>
          </w:p>
        </w:tc>
      </w:tr>
      <w:tr>
        <w:trPr>
          <w:trHeight w:val="222"/>
        </w:trPr>
        <w:tc>
          <w:tcPr>
            <w:tcW w:w="12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Facsimile No. (702) 733-4596</w:t>
            </w:r>
          </w:p>
        </w:tc>
      </w:tr>
      <w:tr>
        <w:trPr>
          <w:trHeight w:val="432"/>
        </w:trPr>
        <w:tc>
          <w:tcPr>
            <w:tcW w:w="1240" w:type="dxa"/>
            <w:vAlign w:val="bottom"/>
          </w:tcPr>
          <w:p>
            <w:pPr>
              <w:ind w:left="60"/>
              <w:spacing w:after="0"/>
              <w:rPr>
                <w:sz w:val="20"/>
                <w:szCs w:val="20"/>
                <w:color w:val="auto"/>
              </w:rPr>
            </w:pPr>
            <w:r>
              <w:rPr>
                <w:rFonts w:ascii="Arial" w:cs="Arial" w:eastAsia="Arial" w:hAnsi="Arial"/>
                <w:sz w:val="18"/>
                <w:szCs w:val="18"/>
                <w:color w:val="auto"/>
              </w:rPr>
              <w:t>5</w:t>
            </w:r>
          </w:p>
        </w:tc>
        <w:tc>
          <w:tcPr>
            <w:tcW w:w="4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-1314450</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-1314450</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53" w:orient="portrait"/>
          <w:cols w:equalWidth="0" w:num="1">
            <w:col w:w="11420"/>
          </w:cols>
          <w:pgMar w:left="240" w:top="125" w:right="239" w:bottom="0" w:gutter="0" w:footer="0" w:header="0"/>
        </w:sectPr>
      </w:pPr>
    </w:p>
    <w:p>
      <w:pPr>
        <w:spacing w:after="0" w:line="345" w:lineRule="exact"/>
        <w:rPr>
          <w:sz w:val="20"/>
          <w:szCs w:val="20"/>
          <w:color w:val="auto"/>
        </w:rPr>
      </w:pPr>
    </w:p>
    <w:p>
      <w:pPr>
        <w:spacing w:after="0" w:line="564" w:lineRule="auto"/>
        <w:rPr>
          <w:sz w:val="20"/>
          <w:szCs w:val="20"/>
          <w:color w:val="auto"/>
        </w:rPr>
      </w:pPr>
      <w:r>
        <w:rPr>
          <w:rFonts w:ascii="Arial" w:cs="Arial" w:eastAsia="Arial" w:hAnsi="Arial"/>
          <w:sz w:val="16"/>
          <w:szCs w:val="16"/>
          <w:color w:val="auto"/>
        </w:rPr>
        <w:t>STATE OF NEVADA COUNTY OF CLARK</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0" w:lineRule="exact"/>
        <w:rPr>
          <w:sz w:val="20"/>
          <w:szCs w:val="20"/>
          <w:color w:val="auto"/>
        </w:rPr>
      </w:pPr>
    </w:p>
    <w:p>
      <w:pPr>
        <w:sectPr>
          <w:pgSz w:w="11900" w:h="16853" w:orient="portrait"/>
          <w:cols w:equalWidth="0" w:num="2">
            <w:col w:w="1640" w:space="700"/>
            <w:col w:w="9080"/>
          </w:cols>
          <w:pgMar w:left="240" w:top="125" w:right="239" w:bottom="0" w:gutter="0" w:footer="0" w:header="0"/>
          <w:type w:val="continuous"/>
        </w:sectPr>
      </w:pPr>
    </w:p>
    <w:p>
      <w:pPr>
        <w:ind w:right="440" w:firstLine="351"/>
        <w:spacing w:after="0" w:line="212" w:lineRule="auto"/>
        <w:rPr>
          <w:sz w:val="20"/>
          <w:szCs w:val="20"/>
          <w:color w:val="auto"/>
        </w:rPr>
      </w:pPr>
      <w:r>
        <w:rPr>
          <w:rFonts w:ascii="Arial" w:cs="Arial" w:eastAsia="Arial" w:hAnsi="Arial"/>
          <w:sz w:val="18"/>
          <w:szCs w:val="18"/>
          <w:color w:val="auto"/>
        </w:rPr>
        <w:t>Subscribed, sworn to and acknowledged before me this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May, 2002 by Stephen A. Wynn, Managing Member of Valvino Lamore, LLC, who personally appeared before me.</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Witness my hand and official seal.</w:t>
      </w:r>
    </w:p>
    <w:p>
      <w:pPr>
        <w:spacing w:after="0" w:line="200" w:lineRule="exact"/>
        <w:rPr>
          <w:sz w:val="20"/>
          <w:szCs w:val="20"/>
          <w:color w:val="auto"/>
        </w:rPr>
      </w:pPr>
    </w:p>
    <w:p>
      <w:pPr>
        <w:spacing w:after="0" w:line="24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CYNTHIA L. MITCHUM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Notary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[Notary Stamp]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Compliance Certificate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Continuing Guaranty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w:t>
      </w:r>
    </w:p>
    <w:p>
      <w:pPr>
        <w:spacing w:after="0" w:line="225" w:lineRule="exact"/>
        <w:rPr>
          <w:sz w:val="20"/>
          <w:szCs w:val="20"/>
          <w:color w:val="auto"/>
        </w:rPr>
      </w:pPr>
    </w:p>
    <w:p>
      <w:pPr>
        <w:ind w:left="360"/>
        <w:spacing w:after="0"/>
        <w:tabs>
          <w:tab w:leader="none" w:pos="6180" w:val="left"/>
        </w:tabs>
        <w:rPr>
          <w:sz w:val="20"/>
          <w:szCs w:val="20"/>
          <w:color w:val="auto"/>
        </w:rPr>
      </w:pPr>
      <w:r>
        <w:rPr>
          <w:rFonts w:ascii="Arial" w:cs="Arial" w:eastAsia="Arial" w:hAnsi="Arial"/>
          <w:sz w:val="18"/>
          <w:szCs w:val="18"/>
          <w:color w:val="auto"/>
        </w:rPr>
        <w:t>Reference is hereby made to that certain Continuing Guaranty dated</w:t>
      </w:r>
      <w:r>
        <w:rPr>
          <w:sz w:val="20"/>
          <w:szCs w:val="20"/>
          <w:color w:val="auto"/>
        </w:rPr>
        <w:tab/>
      </w:r>
      <w:r>
        <w:rPr>
          <w:rFonts w:ascii="Arial" w:cs="Arial" w:eastAsia="Arial" w:hAnsi="Arial"/>
          <w:sz w:val="16"/>
          <w:szCs w:val="16"/>
          <w:color w:val="auto"/>
        </w:rPr>
        <w:t>, 2002 (the "Guaranty") by the undersigned ("Guarantor") in favor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 ("Lender"). All of the capitalized terms used herein without definition shall have the meanings given to such terms in the Guaranty.</w:t>
      </w:r>
    </w:p>
    <w:p>
      <w:pPr>
        <w:spacing w:after="0" w:line="242" w:lineRule="exact"/>
        <w:rPr>
          <w:sz w:val="20"/>
          <w:szCs w:val="20"/>
          <w:color w:val="auto"/>
        </w:rPr>
      </w:pPr>
    </w:p>
    <w:p>
      <w:pPr>
        <w:ind w:left="360"/>
        <w:spacing w:after="0"/>
        <w:tabs>
          <w:tab w:leader="none" w:pos="6000" w:val="left"/>
        </w:tabs>
        <w:rPr>
          <w:sz w:val="20"/>
          <w:szCs w:val="20"/>
          <w:color w:val="auto"/>
        </w:rPr>
      </w:pPr>
      <w:r>
        <w:rPr>
          <w:rFonts w:ascii="Arial" w:cs="Arial" w:eastAsia="Arial" w:hAnsi="Arial"/>
          <w:sz w:val="18"/>
          <w:szCs w:val="18"/>
          <w:color w:val="auto"/>
        </w:rPr>
        <w:t>Guarantor hereby certifies to Lender, for the calendar year ending</w:t>
      </w:r>
      <w:r>
        <w:rPr>
          <w:sz w:val="20"/>
          <w:szCs w:val="20"/>
          <w:color w:val="auto"/>
        </w:rPr>
        <w:tab/>
      </w:r>
      <w:r>
        <w:rPr>
          <w:rFonts w:ascii="Arial" w:cs="Arial" w:eastAsia="Arial" w:hAnsi="Arial"/>
          <w:sz w:val="15"/>
          <w:szCs w:val="15"/>
          <w:color w:val="auto"/>
        </w:rPr>
        <w:t>, that:</w:t>
      </w:r>
    </w:p>
    <w:p>
      <w:pPr>
        <w:sectPr>
          <w:pgSz w:w="11900" w:h="16853" w:orient="portrait"/>
          <w:cols w:equalWidth="0" w:num="1">
            <w:col w:w="11420"/>
          </w:cols>
          <w:pgMar w:left="240" w:top="125" w:right="239" w:bottom="0" w:gutter="0" w:footer="0" w:header="0"/>
          <w:type w:val="continuous"/>
        </w:sectPr>
      </w:pPr>
    </w:p>
    <w:bookmarkStart w:id="149" w:name="page150"/>
    <w:bookmarkEnd w:id="149"/>
    <w:p>
      <w:pPr>
        <w:ind w:left="1080" w:right="40" w:hanging="532"/>
        <w:spacing w:after="0" w:line="268" w:lineRule="auto"/>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Guarantor is in compliance with the terms of the Guaranty because Guarantor's Minimum Tangible Net Worth is equal to at least $400,000,000 as of September 30, 2002 as calculated pursuant to the Guaranty.</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Guarantor is in compliance with the terms of the Guaranty because Guarantor's Minimum Debt Service Coverage Ratio is at least 1:25:1.0 as calculated pursuant to the Guaranty.</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Guarantor hereby confirms that no Event of Default exists pursuant to the Business Loan Agreement and further certifies that all information set forth herein or attached hereto is true and correct.</w:t>
      </w:r>
    </w:p>
    <w:p>
      <w:pPr>
        <w:spacing w:after="0" w:line="18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81280</wp:posOffset>
            </wp:positionV>
            <wp:extent cx="2611120" cy="215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261112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VALVINO LAMORE, LLC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81280</wp:posOffset>
            </wp:positionV>
            <wp:extent cx="3262630" cy="215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 Stephen A. Wynn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Its: </w:t>
      </w:r>
      <w:r>
        <w:rPr>
          <w:rFonts w:ascii="Arial" w:cs="Arial" w:eastAsia="Arial" w:hAnsi="Arial"/>
          <w:sz w:val="18"/>
          <w:szCs w:val="18"/>
          <w:b w:val="1"/>
          <w:bCs w:val="1"/>
          <w:i w:val="1"/>
          <w:iCs w:val="1"/>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Bank of America, N.A. Continuing Guaranty</w:t>
        </w:r>
      </w:hyperlink>
    </w:p>
    <w:p>
      <w:pPr>
        <w:sectPr>
          <w:pgSz w:w="11900" w:h="16838" w:orient="portrait"/>
          <w:cols w:equalWidth="0" w:num="1">
            <w:col w:w="11360"/>
          </w:cols>
          <w:pgMar w:left="240" w:top="145" w:right="299" w:bottom="1440" w:gutter="0" w:footer="0" w:header="0"/>
        </w:sectPr>
      </w:pPr>
    </w:p>
    <w:bookmarkStart w:id="150" w:name="page151"/>
    <w:bookmarkEnd w:id="150"/>
    <w:p>
      <w:pPr>
        <w:spacing w:after="0"/>
        <w:rPr>
          <w:rFonts w:ascii="Arial" w:cs="Arial" w:eastAsia="Arial" w:hAnsi="Arial"/>
          <w:sz w:val="22"/>
          <w:szCs w:val="22"/>
          <w:color w:val="0000EE"/>
        </w:rPr>
      </w:pPr>
      <w:hyperlink w:anchor="page15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ind w:left="10420"/>
        <w:spacing w:after="0"/>
        <w:rPr>
          <w:sz w:val="20"/>
          <w:szCs w:val="20"/>
          <w:color w:val="auto"/>
        </w:rPr>
      </w:pPr>
      <w:r>
        <w:rPr>
          <w:rFonts w:ascii="Arial" w:cs="Arial" w:eastAsia="Arial" w:hAnsi="Arial"/>
          <w:sz w:val="16"/>
          <w:szCs w:val="16"/>
          <w:b w:val="1"/>
          <w:bCs w:val="1"/>
          <w:color w:val="auto"/>
        </w:rPr>
        <w:t>Exhibit 10.20</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360"/>
        <w:spacing w:after="0"/>
        <w:tabs>
          <w:tab w:leader="none" w:pos="4840" w:val="left"/>
        </w:tabs>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this</w:t>
      </w:r>
      <w:r>
        <w:rPr>
          <w:sz w:val="20"/>
          <w:szCs w:val="20"/>
          <w:color w:val="auto"/>
        </w:rPr>
        <w:tab/>
      </w:r>
      <w:r>
        <w:rPr>
          <w:rFonts w:ascii="Arial" w:cs="Arial" w:eastAsia="Arial" w:hAnsi="Arial"/>
          <w:sz w:val="16"/>
          <w:szCs w:val="16"/>
          <w:color w:val="auto"/>
        </w:rPr>
        <w:t>day of June, 2002, is entered into by and between Stephen A. Wynn, an individual ("</w:t>
      </w:r>
      <w:r>
        <w:rPr>
          <w:rFonts w:ascii="Arial" w:cs="Arial" w:eastAsia="Arial" w:hAnsi="Arial"/>
          <w:sz w:val="16"/>
          <w:szCs w:val="16"/>
          <w:b w:val="1"/>
          <w:bCs w:val="1"/>
          <w:color w:val="auto"/>
        </w:rPr>
        <w:t>Wynn</w:t>
      </w:r>
      <w:r>
        <w:rPr>
          <w:rFonts w:ascii="Arial" w:cs="Arial" w:eastAsia="Arial" w:hAnsi="Arial"/>
          <w:sz w:val="16"/>
          <w:szCs w:val="16"/>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 Wynn Resorts, Limited,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right="160" w:firstLine="348"/>
        <w:spacing w:after="0" w:line="275" w:lineRule="auto"/>
        <w:rPr>
          <w:sz w:val="20"/>
          <w:szCs w:val="20"/>
          <w:color w:val="auto"/>
        </w:rPr>
      </w:pPr>
      <w:r>
        <w:rPr>
          <w:rFonts w:ascii="Arial" w:cs="Arial" w:eastAsia="Arial" w:hAnsi="Arial"/>
          <w:sz w:val="18"/>
          <w:szCs w:val="18"/>
          <w:color w:val="auto"/>
        </w:rPr>
        <w:t>WHEREAS, concurrently herewith, Wynn, Kazuo Okada, an individual ("</w:t>
      </w:r>
      <w:r>
        <w:rPr>
          <w:rFonts w:ascii="Arial" w:cs="Arial" w:eastAsia="Arial" w:hAnsi="Arial"/>
          <w:sz w:val="18"/>
          <w:szCs w:val="18"/>
          <w:b w:val="1"/>
          <w:bCs w:val="1"/>
          <w:color w:val="auto"/>
        </w:rPr>
        <w:t>Okada</w:t>
      </w:r>
      <w:r>
        <w:rPr>
          <w:rFonts w:ascii="Arial" w:cs="Arial" w:eastAsia="Arial" w:hAnsi="Arial"/>
          <w:sz w:val="18"/>
          <w:szCs w:val="18"/>
          <w:color w:val="auto"/>
        </w:rPr>
        <w:t>"), Aruze USA, Inc., a Nevada corporation ("</w:t>
      </w:r>
      <w:r>
        <w:rPr>
          <w:rFonts w:ascii="Arial" w:cs="Arial" w:eastAsia="Arial" w:hAnsi="Arial"/>
          <w:sz w:val="18"/>
          <w:szCs w:val="18"/>
          <w:b w:val="1"/>
          <w:bCs w:val="1"/>
          <w:color w:val="auto"/>
        </w:rPr>
        <w:t>Aruze</w:t>
      </w:r>
      <w:r>
        <w:rPr>
          <w:rFonts w:ascii="Arial" w:cs="Arial" w:eastAsia="Arial" w:hAnsi="Arial"/>
          <w:sz w:val="18"/>
          <w:szCs w:val="18"/>
          <w:color w:val="auto"/>
        </w:rPr>
        <w:t>"), and Aruze Corp., a Japanese public corporation ("</w:t>
      </w:r>
      <w:r>
        <w:rPr>
          <w:rFonts w:ascii="Arial" w:cs="Arial" w:eastAsia="Arial" w:hAnsi="Arial"/>
          <w:sz w:val="18"/>
          <w:szCs w:val="18"/>
          <w:b w:val="1"/>
          <w:bCs w:val="1"/>
          <w:color w:val="auto"/>
        </w:rPr>
        <w:t>Aruze Parent</w:t>
      </w:r>
      <w:r>
        <w:rPr>
          <w:rFonts w:ascii="Arial" w:cs="Arial" w:eastAsia="Arial" w:hAnsi="Arial"/>
          <w:sz w:val="18"/>
          <w:szCs w:val="18"/>
          <w:color w:val="auto"/>
        </w:rPr>
        <w:t>"), are entering into a Buy-Sell Agreement (the "</w:t>
      </w:r>
      <w:r>
        <w:rPr>
          <w:rFonts w:ascii="Arial" w:cs="Arial" w:eastAsia="Arial" w:hAnsi="Arial"/>
          <w:sz w:val="18"/>
          <w:szCs w:val="18"/>
          <w:b w:val="1"/>
          <w:bCs w:val="1"/>
          <w:color w:val="auto"/>
        </w:rPr>
        <w:t>Buy-Sell Agreement</w:t>
      </w:r>
      <w:r>
        <w:rPr>
          <w:rFonts w:ascii="Arial" w:cs="Arial" w:eastAsia="Arial" w:hAnsi="Arial"/>
          <w:sz w:val="18"/>
          <w:szCs w:val="18"/>
          <w:color w:val="auto"/>
        </w:rPr>
        <w:t>"); and</w:t>
      </w:r>
    </w:p>
    <w:p>
      <w:pPr>
        <w:spacing w:after="0" w:line="180"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WHEREAS, Wynn and the Company desire to enter into this Agreement to facilitate the financing of the Company and resolve potential future issues related to the Company's ability to obtain gaming licenses and comply with gaming laws.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in consideration of the foregoing and the agreements set forth below, the parties hereto agree as follows:</w:t>
      </w:r>
    </w:p>
    <w:p>
      <w:pPr>
        <w:spacing w:after="0" w:line="239" w:lineRule="exact"/>
        <w:rPr>
          <w:sz w:val="20"/>
          <w:szCs w:val="20"/>
          <w:color w:val="auto"/>
        </w:rPr>
      </w:pPr>
    </w:p>
    <w:p>
      <w:pPr>
        <w:ind w:left="540" w:hanging="532"/>
        <w:spacing w:after="0"/>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For purposes of this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"LLC" means Valvino Lamore, LLC, a Nevada limited liability company.</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"Operating Agreement" means that certain Amended and Restated Operating Agreement of the LLC, effective as of October 3, 2000, as amended and/or restated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"Shares" means the shares of capital stock of the Company.</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"Stockholders Agreement" means that certain Stockholders Agreement, dated as of April 11, 2002, by and among the members of the LLC, as it may be amended and/or restated from time to time.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hanging="532"/>
        <w:spacing w:after="0"/>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Purchase of Aruze's Shares.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60" w:hanging="532"/>
        <w:spacing w:after="0" w:line="256" w:lineRule="auto"/>
        <w:tabs>
          <w:tab w:leader="none" w:pos="10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At least 20 days before the earlier of (i) the Wynn Notice Date under Section 3(a) of the Buy-Sell Agreement or (ii) the last day of the period during which Wynn can elect to purchase Aruze's Shares under Section 3(a) of the Buy-Sell Agreement, Wynn or his designee shall provide written notice to the Company (the "</w:t>
      </w:r>
      <w:r>
        <w:rPr>
          <w:rFonts w:ascii="Arial" w:cs="Arial" w:eastAsia="Arial" w:hAnsi="Arial"/>
          <w:sz w:val="18"/>
          <w:szCs w:val="18"/>
          <w:b w:val="1"/>
          <w:bCs w:val="1"/>
          <w:color w:val="auto"/>
        </w:rPr>
        <w:t>Wynn Pre-Notice</w:t>
      </w:r>
      <w:r>
        <w:rPr>
          <w:rFonts w:ascii="Arial" w:cs="Arial" w:eastAsia="Arial" w:hAnsi="Arial"/>
          <w:sz w:val="18"/>
          <w:szCs w:val="18"/>
          <w:color w:val="auto"/>
        </w:rPr>
        <w:t>") of his or his designee's intention to elect to purchase none, some, or all of Aruze's Shares under Section 3(a) of the Buy-Sell Agreement.</w:t>
      </w:r>
    </w:p>
    <w:p>
      <w:pPr>
        <w:spacing w:after="0" w:line="224" w:lineRule="exact"/>
        <w:rPr>
          <w:rFonts w:ascii="Arial" w:cs="Arial" w:eastAsia="Arial" w:hAnsi="Arial"/>
          <w:sz w:val="18"/>
          <w:szCs w:val="18"/>
          <w:color w:val="auto"/>
        </w:rPr>
      </w:pPr>
    </w:p>
    <w:p>
      <w:pPr>
        <w:ind w:left="1080" w:right="80" w:hanging="532"/>
        <w:spacing w:after="0" w:line="256" w:lineRule="auto"/>
        <w:tabs>
          <w:tab w:leader="none" w:pos="10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If, in the Wynn Pre-Notice, Wynn or his designee notifies the Company of an intention to elect to purchase less than all of Aruze's Shares under Section 3(a) of the Buy-Sell Agreement, then the Company shall have a period, beginning on the date of the Wynn Pre-Notice and ending 15 days thereafter, to elect by written notice to Wynn to require Wynn or his designee to elect to purchase all of Aruze's Shares under Section 3(a) of the Buy-Sell Agreement.</w:t>
      </w:r>
    </w:p>
    <w:p>
      <w:pPr>
        <w:spacing w:after="0" w:line="210" w:lineRule="exact"/>
        <w:rPr>
          <w:rFonts w:ascii="Arial" w:cs="Arial" w:eastAsia="Arial" w:hAnsi="Arial"/>
          <w:sz w:val="18"/>
          <w:szCs w:val="18"/>
          <w:color w:val="auto"/>
        </w:rPr>
      </w:pPr>
    </w:p>
    <w:p>
      <w:pPr>
        <w:ind w:left="1080" w:right="400" w:hanging="532"/>
        <w:spacing w:after="0" w:line="268" w:lineRule="auto"/>
        <w:tabs>
          <w:tab w:leader="none" w:pos="10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Wynn shall have no obligation to offer the Company any opportunity to purchase any of Aruze's Shares under the Buy-Sell Agreement at any time.</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Wynn shall not agree to an amendment of the Buy-Sell Agreement that would adversely affect his rights under the Buy-Sell Agreement to elect to purchase Aruze's Shares.</w:t>
      </w:r>
    </w:p>
    <w:p>
      <w:pPr>
        <w:spacing w:after="0" w:line="212" w:lineRule="exact"/>
        <w:rPr>
          <w:rFonts w:ascii="Arial" w:cs="Arial" w:eastAsia="Arial" w:hAnsi="Arial"/>
          <w:sz w:val="18"/>
          <w:szCs w:val="18"/>
          <w:color w:val="auto"/>
        </w:rPr>
      </w:pPr>
    </w:p>
    <w:p>
      <w:pPr>
        <w:ind w:left="1080" w:right="80" w:hanging="532"/>
        <w:spacing w:after="0" w:line="256" w:lineRule="auto"/>
        <w:tabs>
          <w:tab w:leader="none" w:pos="10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Company shall take all actions necessary or advisable to make the provisions of Nevada Revised Statutes 78.378 to 78.3793, inclusive, inapplicable to the acquisition of Aruze's Shares by Wynn or his designee under the Buy-Sell Agreement. The Company shall also take all actions necessary or advisable to make inapplicable any other similar provisions of law, the Company's articles or bylaws or any stockholder rights or other Company plan or</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80" w:right="60"/>
        <w:spacing w:after="0" w:line="268" w:lineRule="auto"/>
        <w:rPr>
          <w:rFonts w:ascii="Arial" w:cs="Arial" w:eastAsia="Arial" w:hAnsi="Arial"/>
          <w:sz w:val="18"/>
          <w:szCs w:val="18"/>
          <w:color w:val="auto"/>
        </w:rPr>
      </w:pPr>
      <w:r>
        <w:rPr>
          <w:rFonts w:ascii="Arial" w:cs="Arial" w:eastAsia="Arial" w:hAnsi="Arial"/>
          <w:sz w:val="18"/>
          <w:szCs w:val="18"/>
          <w:color w:val="auto"/>
        </w:rPr>
        <w:t>arrangement, whether now existing or hereafter enacted or adopted, that would deny rights, privileges, power or authority to Wynn or his designee as a result of, or with respect to, the acquisition of shares under the Buy-Sell Agreement.</w:t>
      </w:r>
    </w:p>
    <w:p>
      <w:pPr>
        <w:spacing w:after="0" w:line="199"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 xml:space="preserve">Escrow. </w:t>
      </w:r>
      <w:r>
        <w:rPr>
          <w:rFonts w:ascii="Arial" w:cs="Arial" w:eastAsia="Arial" w:hAnsi="Arial"/>
          <w:sz w:val="18"/>
          <w:szCs w:val="18"/>
          <w:color w:val="auto"/>
        </w:rPr>
        <w:t>The Company agrees to hold in escrow all Shares owned by Aruze, Aruze Parent, Okada, or any transferee of any of them to secure their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under the Buy-Sell Agreement, together with executed stock powers and such other documents as may be required to effect the sale of Shares contemplated thereunder.</w:t>
      </w:r>
    </w:p>
    <w:p>
      <w:pPr>
        <w:spacing w:after="0" w:line="207" w:lineRule="exact"/>
        <w:rPr>
          <w:rFonts w:ascii="Arial" w:cs="Arial" w:eastAsia="Arial" w:hAnsi="Arial"/>
          <w:sz w:val="18"/>
          <w:szCs w:val="18"/>
          <w:color w:val="auto"/>
        </w:rPr>
      </w:pPr>
    </w:p>
    <w:p>
      <w:pPr>
        <w:ind w:left="540" w:right="100" w:hanging="532"/>
        <w:spacing w:after="0" w:line="256"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 xml:space="preserve">Effective Time; Termination of Prior Agreements. </w:t>
      </w:r>
      <w:r>
        <w:rPr>
          <w:rFonts w:ascii="Arial" w:cs="Arial" w:eastAsia="Arial" w:hAnsi="Arial"/>
          <w:sz w:val="18"/>
          <w:szCs w:val="18"/>
          <w:color w:val="auto"/>
        </w:rPr>
        <w:t>This Agreement shall become effective when the members of the LLC contribute their interests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LLC to the Company in exchange for Shares in the Company. This Agreement constitutes the entire agreement between the parties with respect to the subject matter hereof and supersedes all other prior agreements and understandings, both written and oral, between the parties with respect to the subject matter hereof.</w:t>
      </w:r>
    </w:p>
    <w:p>
      <w:pPr>
        <w:spacing w:after="0" w:line="224" w:lineRule="exact"/>
        <w:rPr>
          <w:rFonts w:ascii="Arial" w:cs="Arial" w:eastAsia="Arial" w:hAnsi="Arial"/>
          <w:sz w:val="18"/>
          <w:szCs w:val="18"/>
          <w:color w:val="auto"/>
        </w:rPr>
      </w:pPr>
    </w:p>
    <w:p>
      <w:pPr>
        <w:ind w:left="540" w:hanging="532"/>
        <w:spacing w:after="0"/>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-1962785</wp:posOffset>
            </wp:positionV>
            <wp:extent cx="7250430" cy="215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151" w:name="page152"/>
    <w:bookmarkEnd w:id="151"/>
    <w:p>
      <w:pPr>
        <w:ind w:left="1080" w:right="780" w:hanging="532"/>
        <w:spacing w:after="0" w:line="268"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 xml:space="preserve">Conflicts. </w:t>
      </w:r>
      <w:r>
        <w:rPr>
          <w:rFonts w:ascii="Arial" w:cs="Arial" w:eastAsia="Arial" w:hAnsi="Arial"/>
          <w:sz w:val="18"/>
          <w:szCs w:val="18"/>
          <w:color w:val="auto"/>
        </w:rPr>
        <w:t>In the event of a conflict between the terms and conditions of this Agreement and the terms and conditions of the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the Stockholders Agreement, the terms and conditions of this Agreement shall control.</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 xml:space="preserve">Further Assurances. </w:t>
      </w:r>
      <w:r>
        <w:rPr>
          <w:rFonts w:ascii="Arial" w:cs="Arial" w:eastAsia="Arial" w:hAnsi="Arial"/>
          <w:sz w:val="18"/>
          <w:szCs w:val="18"/>
          <w:color w:val="auto"/>
        </w:rPr>
        <w:t>Each party hereto agrees to cooperate with the other party by executing such other documents and taking such other 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may be necessary or appropriate to carry out the provisions of this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 xml:space="preserve">Amendments.  </w:t>
      </w:r>
      <w:r>
        <w:rPr>
          <w:rFonts w:ascii="Arial" w:cs="Arial" w:eastAsia="Arial" w:hAnsi="Arial"/>
          <w:sz w:val="18"/>
          <w:szCs w:val="18"/>
          <w:color w:val="auto"/>
        </w:rPr>
        <w:t>This Agreement may not be amended except by a written agreement executed by all of the parties.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 xml:space="preserve">Legend. </w:t>
      </w:r>
      <w:r>
        <w:rPr>
          <w:rFonts w:ascii="Arial" w:cs="Arial" w:eastAsia="Arial" w:hAnsi="Arial"/>
          <w:sz w:val="18"/>
          <w:szCs w:val="18"/>
          <w:color w:val="auto"/>
        </w:rPr>
        <w:t>The Company agrees to imprint on all certificates representing Shares owned by Aruze or any transferee the restrictive legend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 7(d) of the Buy-Sell Agreement (in addition to any other legend required by applicable laws).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 xml:space="preserve">Transfers in Violation Void. </w:t>
      </w:r>
      <w:r>
        <w:rPr>
          <w:rFonts w:ascii="Arial" w:cs="Arial" w:eastAsia="Arial" w:hAnsi="Arial"/>
          <w:sz w:val="18"/>
          <w:szCs w:val="18"/>
          <w:color w:val="auto"/>
        </w:rPr>
        <w:t>Any transfer of any Shares in violation of the Buy-Sell Agreement shall be null and void</w:t>
      </w:r>
      <w:r>
        <w:rPr>
          <w:rFonts w:ascii="Arial" w:cs="Arial" w:eastAsia="Arial" w:hAnsi="Arial"/>
          <w:sz w:val="18"/>
          <w:szCs w:val="18"/>
          <w:i w:val="1"/>
          <w:iCs w:val="1"/>
          <w:color w:val="auto"/>
        </w:rPr>
        <w:t xml:space="preserve"> ab initio</w:t>
      </w:r>
      <w:r>
        <w:rPr>
          <w:rFonts w:ascii="Arial" w:cs="Arial" w:eastAsia="Arial" w:hAnsi="Arial"/>
          <w:sz w:val="18"/>
          <w:szCs w:val="18"/>
          <w:color w:val="auto"/>
        </w:rPr>
        <w:t>, and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give effect to any such transfer.</w:t>
      </w:r>
    </w:p>
    <w:p>
      <w:pPr>
        <w:spacing w:after="0" w:line="199"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230"/>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Any and all notices, requests, claims, demands and other communications by any party hereto to any other party, required or desired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given hereunder, shall be in writing and shall be deemed validly given and received (i) if served personally, (ii) if delivered by a nationally recognized overnight courier service, such as Federal Express, providing proof of delivery, (iii) if sent by telegram, telex, or telecopy, or (iv) three days after it is posted with the United States Postal Service if it is sent via certified mail, return receipt requested, postage prepaid. All communications hereunder shall be delivered to the respective parties at the following addresses:</w:t>
      </w:r>
    </w:p>
    <w:p>
      <w:pPr>
        <w:sectPr>
          <w:pgSz w:w="11900" w:h="16838" w:orient="portrait"/>
          <w:cols w:equalWidth="0" w:num="1">
            <w:col w:w="11400"/>
          </w:cols>
          <w:pgMar w:left="240" w:top="144" w:right="259"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to Wynn:</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Mr. Stephen A. Wynn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702.791.0167</w:t>
      </w:r>
    </w:p>
    <w:p>
      <w:pPr>
        <w:spacing w:after="0" w:line="200" w:lineRule="exact"/>
        <w:rPr>
          <w:sz w:val="20"/>
          <w:szCs w:val="20"/>
          <w:color w:val="auto"/>
        </w:rPr>
      </w:pPr>
    </w:p>
    <w:p>
      <w:pPr>
        <w:sectPr>
          <w:pgSz w:w="11900" w:h="16838" w:orient="portrait"/>
          <w:cols w:equalWidth="0" w:num="2">
            <w:col w:w="4180" w:space="720"/>
            <w:col w:w="6500"/>
          </w:cols>
          <w:pgMar w:left="240" w:top="144" w:right="259" w:bottom="0" w:gutter="0" w:footer="0" w:header="0"/>
          <w:type w:val="continuous"/>
        </w:sectPr>
      </w:pPr>
    </w:p>
    <w:p>
      <w:pPr>
        <w:spacing w:after="0" w:line="1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702.733.4596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200" w:lineRule="exact"/>
        <w:rPr>
          <w:sz w:val="20"/>
          <w:szCs w:val="20"/>
          <w:color w:val="auto"/>
        </w:rPr>
      </w:pPr>
    </w:p>
    <w:p>
      <w:pPr>
        <w:sectPr>
          <w:pgSz w:w="11900" w:h="16838" w:orient="portrait"/>
          <w:cols w:equalWidth="0" w:num="2">
            <w:col w:w="4180" w:space="720"/>
            <w:col w:w="6500"/>
          </w:cols>
          <w:pgMar w:left="240" w:top="144" w:right="259" w:bottom="0" w:gutter="0" w:footer="0" w:header="0"/>
          <w:type w:val="continuous"/>
        </w:sectPr>
      </w:pP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 w:right="259" w:bottom="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or to such other address as the party to whom notice is given may have previously furnished to the others in writing in the manner set forth above.</w:t>
      </w:r>
    </w:p>
    <w:p>
      <w:pPr>
        <w:spacing w:after="0" w:line="262" w:lineRule="exact"/>
        <w:rPr>
          <w:sz w:val="20"/>
          <w:szCs w:val="20"/>
          <w:color w:val="auto"/>
        </w:rPr>
      </w:pPr>
    </w:p>
    <w:p>
      <w:pPr>
        <w:ind w:left="1080" w:right="560" w:hanging="532"/>
        <w:spacing w:after="0" w:line="332" w:lineRule="auto"/>
        <w:tabs>
          <w:tab w:leader="none" w:pos="1080"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t xml:space="preserve">Severability. </w:t>
      </w:r>
      <w:r>
        <w:rPr>
          <w:rFonts w:ascii="Arial" w:cs="Arial" w:eastAsia="Arial" w:hAnsi="Arial"/>
          <w:sz w:val="16"/>
          <w:szCs w:val="16"/>
          <w:color w:val="auto"/>
        </w:rPr>
        <w:t>If any provision or portion of any provision of this Agreement is held to be invalid, illegal or unenforceable, such invalidity,</w:t>
      </w:r>
      <w:r>
        <w:rPr>
          <w:rFonts w:ascii="Arial" w:cs="Arial" w:eastAsia="Arial" w:hAnsi="Arial"/>
          <w:sz w:val="16"/>
          <w:szCs w:val="16"/>
          <w:i w:val="1"/>
          <w:iCs w:val="1"/>
          <w:color w:val="auto"/>
        </w:rPr>
        <w:t xml:space="preserve"> </w:t>
      </w:r>
      <w:r>
        <w:rPr>
          <w:rFonts w:ascii="Arial" w:cs="Arial" w:eastAsia="Arial" w:hAnsi="Arial"/>
          <w:sz w:val="16"/>
          <w:szCs w:val="16"/>
          <w:color w:val="auto"/>
        </w:rPr>
        <w:t>illegality or unenforceability shall not affect any other provision or portion of any provision in this Agreement.</w:t>
      </w:r>
    </w:p>
    <w:p>
      <w:pPr>
        <w:spacing w:after="0" w:line="166"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i w:val="1"/>
          <w:iCs w:val="1"/>
          <w:color w:val="auto"/>
        </w:rPr>
        <w:t xml:space="preserve">Specific Performance. </w:t>
      </w:r>
      <w:r>
        <w:rPr>
          <w:rFonts w:ascii="Arial" w:cs="Arial" w:eastAsia="Arial" w:hAnsi="Arial"/>
          <w:sz w:val="18"/>
          <w:szCs w:val="18"/>
          <w:color w:val="auto"/>
        </w:rPr>
        <w:t>Each of the parties acknowledges that a breach of this Agreement will cause the other party hereto to sustain damages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such other party would not have an adequate remedy at law for money damages, and therefore each of the parties hereto agrees that the parties shall be entitled to the remedy of specific performance and other equitable relief.</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laws of the State of Nevada applicable to contracts made in that State, without giving effect to its conflict of law rules,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govern the validity, construction, performance, and effect of this Agreement.</w:t>
      </w:r>
    </w:p>
    <w:p>
      <w:pPr>
        <w:spacing w:after="0" w:line="199"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i w:val="1"/>
          <w:iCs w:val="1"/>
          <w:color w:val="auto"/>
        </w:rPr>
        <w:t xml:space="preserve">Jurisdiction. </w:t>
      </w:r>
      <w:r>
        <w:rPr>
          <w:rFonts w:ascii="Arial" w:cs="Arial" w:eastAsia="Arial" w:hAnsi="Arial"/>
          <w:sz w:val="18"/>
          <w:szCs w:val="18"/>
          <w:color w:val="auto"/>
        </w:rPr>
        <w:t>Each party hereby irrevocably submits to the exclusive jurisdiction and venue of the state courts of the State of Nevada in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proceeding arising in connection with this Agreement. </w:t>
      </w:r>
      <w:r>
        <w:rPr>
          <w:rFonts w:ascii="Arial" w:cs="Arial" w:eastAsia="Arial" w:hAnsi="Arial"/>
          <w:sz w:val="18"/>
          <w:szCs w:val="18"/>
          <w:b w:val="1"/>
          <w:bCs w:val="1"/>
          <w:color w:val="auto"/>
        </w:rPr>
        <w:t>Each party hereto hereby waives any right to a trial by jury in connection with any</w:t>
      </w:r>
      <w:r>
        <w:rPr>
          <w:rFonts w:ascii="Arial" w:cs="Arial" w:eastAsia="Arial" w:hAnsi="Arial"/>
          <w:sz w:val="18"/>
          <w:szCs w:val="18"/>
          <w:color w:val="auto"/>
        </w:rPr>
        <w:t xml:space="preserve"> </w:t>
      </w:r>
      <w:r>
        <w:rPr>
          <w:rFonts w:ascii="Arial" w:cs="Arial" w:eastAsia="Arial" w:hAnsi="Arial"/>
          <w:sz w:val="18"/>
          <w:szCs w:val="18"/>
          <w:b w:val="1"/>
          <w:bCs w:val="1"/>
          <w:color w:val="auto"/>
        </w:rPr>
        <w:t>such action, suit or proceeding.</w:t>
      </w:r>
    </w:p>
    <w:p>
      <w:pPr>
        <w:spacing w:after="0" w:line="221" w:lineRule="exact"/>
        <w:rPr>
          <w:rFonts w:ascii="Arial" w:cs="Arial" w:eastAsia="Arial" w:hAnsi="Arial"/>
          <w:sz w:val="18"/>
          <w:szCs w:val="18"/>
          <w:color w:val="auto"/>
        </w:rPr>
      </w:pPr>
    </w:p>
    <w:p>
      <w:pPr>
        <w:jc w:val="both"/>
        <w:ind w:left="1080" w:right="600" w:hanging="532"/>
        <w:spacing w:after="0" w:line="306" w:lineRule="auto"/>
        <w:tabs>
          <w:tab w:leader="none" w:pos="1080"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executed in counterparts, each of which shall be deemed to be an original, but all of which, taken</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shall constitute one and the same Agreement. This Agreement shall not be effective as to any party hereto until such time as this Agreement or a counterpart thereof has been executed and delivered by each party hereto.</w:t>
      </w:r>
    </w:p>
    <w:p>
      <w:pPr>
        <w:spacing w:after="0" w:line="15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SIGNATURES BEGIN ON FOLLOWING PAGE</w:t>
      </w:r>
      <w:r>
        <w:rPr>
          <w:rFonts w:ascii="Arial" w:cs="Arial" w:eastAsia="Arial" w:hAnsi="Arial"/>
          <w:sz w:val="18"/>
          <w:szCs w:val="18"/>
          <w:color w:val="auto"/>
        </w:rPr>
        <w: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WITNESS WHEREOF, this Agreement has been duly executed and delivered by Wynn and a duly authorized officer of the Company on the day and year first written above.</w:t>
      </w:r>
    </w:p>
    <w:p>
      <w:pPr>
        <w:spacing w:after="0" w:line="200" w:lineRule="exact"/>
        <w:rPr>
          <w:sz w:val="20"/>
          <w:szCs w:val="20"/>
          <w:color w:val="auto"/>
        </w:rPr>
      </w:pPr>
    </w:p>
    <w:p>
      <w:pPr>
        <w:spacing w:after="0" w:line="20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262630" cy="215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Stephen A. Wynn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 Nevada corporation</w:t>
      </w:r>
    </w:p>
    <w:p>
      <w:pPr>
        <w:spacing w:after="0" w:line="219" w:lineRule="exact"/>
        <w:rPr>
          <w:sz w:val="20"/>
          <w:szCs w:val="20"/>
          <w:color w:val="auto"/>
        </w:rPr>
      </w:pPr>
    </w:p>
    <w:p>
      <w:pPr>
        <w:ind w:left="572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2902585" cy="215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ectPr>
          <w:pgSz w:w="11900" w:h="16838" w:orient="portrait"/>
          <w:cols w:equalWidth="0" w:num="1">
            <w:col w:w="11400"/>
          </w:cols>
          <w:pgMar w:left="240" w:top="144" w:right="259" w:bottom="0" w:gutter="0" w:footer="0" w:header="0"/>
          <w:type w:val="continuous"/>
        </w:sectPr>
      </w:pPr>
    </w:p>
    <w:bookmarkStart w:id="152" w:name="page153"/>
    <w:bookmarkEnd w:id="152"/>
    <w:p>
      <w:pPr>
        <w:ind w:left="628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6"/>
          <w:szCs w:val="16"/>
          <w:i w:val="1"/>
          <w:iCs w:val="1"/>
          <w:color w:val="auto"/>
        </w:rPr>
        <w:t>Chief Executive Officer</w:t>
      </w:r>
    </w:p>
    <w:p>
      <w:pPr>
        <w:spacing w:after="0" w:line="24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AGREEMENT</w:t>
        </w:r>
      </w:hyperlink>
    </w:p>
    <w:p>
      <w:pPr>
        <w:sectPr>
          <w:pgSz w:w="11900" w:h="16838" w:orient="portrait"/>
          <w:cols w:equalWidth="0" w:num="1">
            <w:col w:w="10219"/>
          </w:cols>
          <w:pgMar w:left="240" w:top="131" w:right="1440" w:bottom="1440" w:gutter="0" w:footer="0" w:header="0"/>
        </w:sectPr>
      </w:pPr>
    </w:p>
    <w:bookmarkStart w:id="153" w:name="page154"/>
    <w:bookmarkEnd w:id="153"/>
    <w:p>
      <w:pPr>
        <w:spacing w:after="0"/>
        <w:rPr>
          <w:rFonts w:ascii="Arial" w:cs="Arial" w:eastAsia="Arial" w:hAnsi="Arial"/>
          <w:sz w:val="22"/>
          <w:szCs w:val="22"/>
          <w:color w:val="0000EE"/>
        </w:rPr>
      </w:pPr>
      <w:hyperlink w:anchor="page15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PURCHASE AGREEMENT</w:t>
      </w:r>
    </w:p>
    <w:p>
      <w:pPr>
        <w:spacing w:after="0" w:line="23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THIS PURCHASE AGREEMENT ("Agreement") is made as of the 30th day of May, 2002, by and between Stephen A. Wynn ("Seller") and Valvino Lamore, LLC, a Nevada limited liability company ("Buyer").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right="300" w:firstLine="349"/>
        <w:spacing w:after="0" w:line="268" w:lineRule="auto"/>
        <w:tabs>
          <w:tab w:leader="none" w:pos="68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Seller is the sole member of World Travel, LLC, a Nevada limited liability company ("World Travel"), and owns a 100% member's interest in World Travel, which includes the right to all profit and loss, capital and distributions of World Travel (the "World Travel Interest").</w:t>
      </w:r>
    </w:p>
    <w:p>
      <w:pPr>
        <w:spacing w:after="0" w:line="185" w:lineRule="exact"/>
        <w:rPr>
          <w:rFonts w:ascii="Arial" w:cs="Arial" w:eastAsia="Arial" w:hAnsi="Arial"/>
          <w:sz w:val="18"/>
          <w:szCs w:val="18"/>
          <w:color w:val="auto"/>
        </w:rPr>
      </w:pPr>
    </w:p>
    <w:p>
      <w:pPr>
        <w:ind w:right="120" w:firstLine="359"/>
        <w:spacing w:after="0" w:line="259" w:lineRule="auto"/>
        <w:tabs>
          <w:tab w:leader="none" w:pos="68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Seller is the sole member of Las Vegas CharterJet, LLC, a Nevada limited liability company ("LV Charter," and together with World Travel, the "Companies"), and owns a 100% member's interest in LV Charter, which includes the right to all profit and loss, capital and distributions of LV Charter (the "LV Charter Interest," and together with the World Travel Interest, the "Interests").</w:t>
      </w:r>
    </w:p>
    <w:p>
      <w:pPr>
        <w:spacing w:after="0" w:line="194" w:lineRule="exact"/>
        <w:rPr>
          <w:rFonts w:ascii="Arial" w:cs="Arial" w:eastAsia="Arial" w:hAnsi="Arial"/>
          <w:sz w:val="18"/>
          <w:szCs w:val="18"/>
          <w:color w:val="auto"/>
        </w:rPr>
      </w:pPr>
    </w:p>
    <w:p>
      <w:pPr>
        <w:ind w:left="700" w:hanging="341"/>
        <w:spacing w:after="0"/>
        <w:tabs>
          <w:tab w:leader="none" w:pos="70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Seller and Buyer have reached an agreement for the sale by Seller and the purchase by Buyer of the Interests on the terms and conditions set forth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below.</w:t>
      </w:r>
    </w:p>
    <w:p>
      <w:pPr>
        <w:spacing w:after="0" w:line="21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NOW, THEREFORE, in consideration of the mutual promises, covenants and representations hereinafter contained, and subject to the conditions hereinafter set forth, it is agreed as follows:</w:t>
      </w:r>
    </w:p>
    <w:p>
      <w:pPr>
        <w:spacing w:after="0" w:line="186" w:lineRule="exact"/>
        <w:rPr>
          <w:sz w:val="20"/>
          <w:szCs w:val="20"/>
          <w:color w:val="auto"/>
        </w:rPr>
      </w:pPr>
    </w:p>
    <w:p>
      <w:pPr>
        <w:ind w:right="160" w:firstLine="359"/>
        <w:spacing w:after="0" w:line="268" w:lineRule="auto"/>
        <w:tabs>
          <w:tab w:leader="none" w:pos="658" w:val="left"/>
        </w:tabs>
        <w:numPr>
          <w:ilvl w:val="1"/>
          <w:numId w:val="233"/>
        </w:numPr>
        <w:rPr>
          <w:rFonts w:ascii="Arial" w:cs="Arial" w:eastAsia="Arial" w:hAnsi="Arial"/>
          <w:sz w:val="18"/>
          <w:szCs w:val="18"/>
          <w:color w:val="auto"/>
        </w:rPr>
      </w:pPr>
      <w:r>
        <w:rPr>
          <w:rFonts w:ascii="Arial" w:cs="Arial" w:eastAsia="Arial" w:hAnsi="Arial"/>
          <w:sz w:val="18"/>
          <w:szCs w:val="18"/>
          <w:i w:val="1"/>
          <w:iCs w:val="1"/>
          <w:color w:val="auto"/>
        </w:rPr>
        <w:t xml:space="preserve">Sale and Transfer of Interests. </w:t>
      </w:r>
      <w:r>
        <w:rPr>
          <w:rFonts w:ascii="Arial" w:cs="Arial" w:eastAsia="Arial" w:hAnsi="Arial"/>
          <w:sz w:val="18"/>
          <w:szCs w:val="18"/>
          <w:color w:val="auto"/>
        </w:rPr>
        <w:t>Subject to the terms and conditions set forth in this Agreement, Seller hereby sells, transfers and assigns to Buyer, and</w:t>
      </w:r>
      <w:r>
        <w:rPr>
          <w:rFonts w:ascii="Arial" w:cs="Arial" w:eastAsia="Arial" w:hAnsi="Arial"/>
          <w:sz w:val="18"/>
          <w:szCs w:val="18"/>
          <w:i w:val="1"/>
          <w:iCs w:val="1"/>
          <w:color w:val="auto"/>
        </w:rPr>
        <w:t xml:space="preserve"> </w:t>
      </w:r>
      <w:r>
        <w:rPr>
          <w:rFonts w:ascii="Arial" w:cs="Arial" w:eastAsia="Arial" w:hAnsi="Arial"/>
          <w:sz w:val="18"/>
          <w:szCs w:val="18"/>
          <w:color w:val="auto"/>
        </w:rPr>
        <w:t>Buyer hereby purchases from Seller, the Interests for consideration of $9,735,340 (the "Purchase Price").</w:t>
      </w:r>
    </w:p>
    <w:p>
      <w:pPr>
        <w:spacing w:after="0" w:line="185" w:lineRule="exact"/>
        <w:rPr>
          <w:rFonts w:ascii="Arial" w:cs="Arial" w:eastAsia="Arial" w:hAnsi="Arial"/>
          <w:sz w:val="18"/>
          <w:szCs w:val="18"/>
          <w:color w:val="auto"/>
        </w:rPr>
      </w:pPr>
    </w:p>
    <w:p>
      <w:pPr>
        <w:ind w:right="160" w:firstLine="359"/>
        <w:spacing w:after="0" w:line="294" w:lineRule="auto"/>
        <w:tabs>
          <w:tab w:leader="none" w:pos="658" w:val="left"/>
        </w:tabs>
        <w:numPr>
          <w:ilvl w:val="1"/>
          <w:numId w:val="233"/>
        </w:numPr>
        <w:rPr>
          <w:rFonts w:ascii="Arial" w:cs="Arial" w:eastAsia="Arial" w:hAnsi="Arial"/>
          <w:sz w:val="16"/>
          <w:szCs w:val="16"/>
          <w:color w:val="auto"/>
        </w:rPr>
      </w:pPr>
      <w:r>
        <w:rPr>
          <w:rFonts w:ascii="Arial" w:cs="Arial" w:eastAsia="Arial" w:hAnsi="Arial"/>
          <w:sz w:val="16"/>
          <w:szCs w:val="16"/>
          <w:i w:val="1"/>
          <w:iCs w:val="1"/>
          <w:color w:val="auto"/>
        </w:rPr>
        <w:t xml:space="preserve">Releases and Membership. </w:t>
      </w:r>
      <w:r>
        <w:rPr>
          <w:rFonts w:ascii="Arial" w:cs="Arial" w:eastAsia="Arial" w:hAnsi="Arial"/>
          <w:sz w:val="16"/>
          <w:szCs w:val="16"/>
          <w:color w:val="auto"/>
        </w:rPr>
        <w:t>Seller hereby releases and relinquishes any and all right, title and interest which Seller now has in the Interests and Buyer</w:t>
      </w:r>
      <w:r>
        <w:rPr>
          <w:rFonts w:ascii="Arial" w:cs="Arial" w:eastAsia="Arial" w:hAnsi="Arial"/>
          <w:sz w:val="16"/>
          <w:szCs w:val="16"/>
          <w:i w:val="1"/>
          <w:iCs w:val="1"/>
          <w:color w:val="auto"/>
        </w:rPr>
        <w:t xml:space="preserve"> </w:t>
      </w:r>
      <w:r>
        <w:rPr>
          <w:rFonts w:ascii="Arial" w:cs="Arial" w:eastAsia="Arial" w:hAnsi="Arial"/>
          <w:sz w:val="16"/>
          <w:szCs w:val="16"/>
          <w:color w:val="auto"/>
        </w:rPr>
        <w:t>hereby accepts the transfer and assignment of the Interests and, as a Member of each of the Companies, agrees to be bound by the terms and provisions of, to be subject to all restrictions and liabilities of the Seller set forth in, and to assume all obligations of a Member under, the Articles of Organization of each of the Companies and applicable Nevada law. The Operating Agreement of each of the Companies shall reflect that, following the purchase and sale of the Interests pursuant hereto, the sole member of each of the Companies shall be Buyer.</w:t>
      </w:r>
    </w:p>
    <w:p>
      <w:pPr>
        <w:spacing w:after="0" w:line="169" w:lineRule="exact"/>
        <w:rPr>
          <w:rFonts w:ascii="Arial" w:cs="Arial" w:eastAsia="Arial" w:hAnsi="Arial"/>
          <w:sz w:val="16"/>
          <w:szCs w:val="16"/>
          <w:color w:val="auto"/>
        </w:rPr>
      </w:pPr>
    </w:p>
    <w:p>
      <w:pPr>
        <w:ind w:left="660" w:hanging="301"/>
        <w:spacing w:after="0"/>
        <w:tabs>
          <w:tab w:leader="none" w:pos="660" w:val="left"/>
        </w:tabs>
        <w:numPr>
          <w:ilvl w:val="1"/>
          <w:numId w:val="233"/>
        </w:numPr>
        <w:rPr>
          <w:rFonts w:ascii="Arial" w:cs="Arial" w:eastAsia="Arial" w:hAnsi="Arial"/>
          <w:sz w:val="16"/>
          <w:szCs w:val="16"/>
          <w:color w:val="auto"/>
        </w:rPr>
      </w:pPr>
      <w:r>
        <w:rPr>
          <w:rFonts w:ascii="Arial" w:cs="Arial" w:eastAsia="Arial" w:hAnsi="Arial"/>
          <w:sz w:val="16"/>
          <w:szCs w:val="16"/>
          <w:i w:val="1"/>
          <w:iCs w:val="1"/>
          <w:color w:val="auto"/>
        </w:rPr>
        <w:t xml:space="preserve">Deliveries.  </w:t>
      </w:r>
      <w:r>
        <w:rPr>
          <w:rFonts w:ascii="Arial" w:cs="Arial" w:eastAsia="Arial" w:hAnsi="Arial"/>
          <w:sz w:val="16"/>
          <w:szCs w:val="16"/>
          <w:color w:val="auto"/>
        </w:rPr>
        <w:t>With this Agreement: (i) Seller is executing and delivering to Buyer a Bill of Sale and Assignment of Membership Interests duly; and</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Buyer is delivering to Seller the Purchase Price in immediately available funds.</w:t>
      </w:r>
    </w:p>
    <w:p>
      <w:pPr>
        <w:spacing w:after="0" w:line="218" w:lineRule="exact"/>
        <w:rPr>
          <w:rFonts w:ascii="Arial" w:cs="Arial" w:eastAsia="Arial" w:hAnsi="Arial"/>
          <w:sz w:val="18"/>
          <w:szCs w:val="18"/>
          <w:color w:val="auto"/>
        </w:rPr>
      </w:pPr>
    </w:p>
    <w:p>
      <w:pPr>
        <w:ind w:right="420" w:firstLine="359"/>
        <w:spacing w:after="0" w:line="259" w:lineRule="auto"/>
        <w:tabs>
          <w:tab w:leader="none" w:pos="658" w:val="left"/>
        </w:tabs>
        <w:numPr>
          <w:ilvl w:val="1"/>
          <w:numId w:val="234"/>
        </w:numPr>
        <w:rPr>
          <w:rFonts w:ascii="Arial" w:cs="Arial" w:eastAsia="Arial" w:hAnsi="Arial"/>
          <w:sz w:val="18"/>
          <w:szCs w:val="18"/>
          <w:color w:val="auto"/>
        </w:rPr>
      </w:pPr>
      <w:r>
        <w:rPr>
          <w:rFonts w:ascii="Arial" w:cs="Arial" w:eastAsia="Arial" w:hAnsi="Arial"/>
          <w:sz w:val="18"/>
          <w:szCs w:val="18"/>
          <w:i w:val="1"/>
          <w:iCs w:val="1"/>
          <w:color w:val="auto"/>
        </w:rPr>
        <w:t xml:space="preserve">Guaranty. </w:t>
      </w:r>
      <w:r>
        <w:rPr>
          <w:rFonts w:ascii="Arial" w:cs="Arial" w:eastAsia="Arial" w:hAnsi="Arial"/>
          <w:sz w:val="18"/>
          <w:szCs w:val="18"/>
          <w:color w:val="auto"/>
        </w:rPr>
        <w:t>Buyer shall deliver to Bank of America, N.A. that certain Continuing Guaranty, dated concurrently herewith, with respect to Bank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N.A. as lender and World Travel as borrower, and take all further actions necessary or advisable to cause Seller to be released from the Continuing Guaranty, dated February 28, 2002, that Seller delivered to Bank of America, N.A.</w:t>
      </w:r>
    </w:p>
    <w:p>
      <w:pPr>
        <w:spacing w:after="0" w:line="194" w:lineRule="exact"/>
        <w:rPr>
          <w:rFonts w:ascii="Arial" w:cs="Arial" w:eastAsia="Arial" w:hAnsi="Arial"/>
          <w:sz w:val="18"/>
          <w:szCs w:val="18"/>
          <w:color w:val="auto"/>
        </w:rPr>
      </w:pPr>
    </w:p>
    <w:p>
      <w:pPr>
        <w:ind w:right="120" w:firstLine="359"/>
        <w:spacing w:after="0" w:line="268" w:lineRule="auto"/>
        <w:tabs>
          <w:tab w:leader="none" w:pos="658" w:val="left"/>
        </w:tabs>
        <w:numPr>
          <w:ilvl w:val="1"/>
          <w:numId w:val="234"/>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 </w:t>
      </w:r>
      <w:r>
        <w:rPr>
          <w:rFonts w:ascii="Arial" w:cs="Arial" w:eastAsia="Arial" w:hAnsi="Arial"/>
          <w:sz w:val="18"/>
          <w:szCs w:val="18"/>
          <w:color w:val="auto"/>
        </w:rPr>
        <w:t>Seller represents and warrants to Buyer that Seller owns the Interests, free and clear of any mortgage, lien, pledge, charge, or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or any option or right of first refusal requiring Seller to sell the Interests to a third party.</w:t>
      </w:r>
    </w:p>
    <w:p>
      <w:pPr>
        <w:spacing w:after="0" w:line="185" w:lineRule="exact"/>
        <w:rPr>
          <w:rFonts w:ascii="Arial" w:cs="Arial" w:eastAsia="Arial" w:hAnsi="Arial"/>
          <w:sz w:val="18"/>
          <w:szCs w:val="18"/>
          <w:color w:val="auto"/>
        </w:rPr>
      </w:pPr>
    </w:p>
    <w:p>
      <w:pPr>
        <w:ind w:firstLine="359"/>
        <w:spacing w:after="0" w:line="256" w:lineRule="auto"/>
        <w:tabs>
          <w:tab w:leader="none" w:pos="658" w:val="left"/>
        </w:tabs>
        <w:numPr>
          <w:ilvl w:val="1"/>
          <w:numId w:val="234"/>
        </w:numPr>
        <w:rPr>
          <w:rFonts w:ascii="Arial" w:cs="Arial" w:eastAsia="Arial" w:hAnsi="Arial"/>
          <w:sz w:val="18"/>
          <w:szCs w:val="18"/>
          <w:color w:val="auto"/>
        </w:rPr>
      </w:pPr>
      <w:r>
        <w:rPr>
          <w:rFonts w:ascii="Arial" w:cs="Arial" w:eastAsia="Arial" w:hAnsi="Arial"/>
          <w:sz w:val="18"/>
          <w:szCs w:val="18"/>
          <w:i w:val="1"/>
          <w:iCs w:val="1"/>
          <w:color w:val="auto"/>
        </w:rPr>
        <w:t xml:space="preserve">Securities Laws. </w:t>
      </w:r>
      <w:r>
        <w:rPr>
          <w:rFonts w:ascii="Arial" w:cs="Arial" w:eastAsia="Arial" w:hAnsi="Arial"/>
          <w:sz w:val="18"/>
          <w:szCs w:val="18"/>
          <w:color w:val="auto"/>
        </w:rPr>
        <w:t>Buyer understands and hereby acknowledges that the Interests are not registered under the Securities Act of 1933 or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laws of any state of the United States, and must be held indefinitely unless they are so registered or an exemption from registration is available. Buyer is acquiring the Interests for Buyer's own account as principal, for investment and not with a view to, or for resale in connection with, any distribution of the Interests.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1" w:lineRule="exact"/>
        <w:rPr>
          <w:rFonts w:ascii="Arial" w:cs="Arial" w:eastAsia="Arial" w:hAnsi="Arial"/>
          <w:sz w:val="18"/>
          <w:szCs w:val="18"/>
          <w:color w:val="auto"/>
        </w:rPr>
      </w:pPr>
    </w:p>
    <w:p>
      <w:pPr>
        <w:ind w:left="660" w:hanging="301"/>
        <w:spacing w:after="0"/>
        <w:tabs>
          <w:tab w:leader="none" w:pos="660" w:val="left"/>
        </w:tabs>
        <w:numPr>
          <w:ilvl w:val="1"/>
          <w:numId w:val="234"/>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-504825</wp:posOffset>
            </wp:positionV>
            <wp:extent cx="7250430" cy="215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jc w:val="both"/>
        <w:ind w:left="540" w:right="120" w:firstLine="359"/>
        <w:spacing w:after="0" w:line="256" w:lineRule="auto"/>
        <w:tabs>
          <w:tab w:leader="none" w:pos="1262" w:val="left"/>
        </w:tabs>
        <w:numPr>
          <w:ilvl w:val="0"/>
          <w:numId w:val="235"/>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Any and all notices or demands by any party hereto to any other party, required or desired to be given hereunder, shall be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shall be deemed validly given and received (i) if served personally, (ii) if delivered by a nationally recognized overnight courier service, or (iii) three days after it is posted with the United States Postal Service if it is sent via certified mail, return receipt requested, postage prepaid. All notices shall be addressed as follows:</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Buyer: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Marc H. Rubinstein, Senior Vice President—General Counsel</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Las Vegas, Nevada 89109</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to Seller: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Stephen A. Wynn</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Las Vegas, Nevada 89109</w:t>
      </w:r>
    </w:p>
    <w:p>
      <w:pPr>
        <w:spacing w:after="0" w:line="219" w:lineRule="exact"/>
        <w:rPr>
          <w:sz w:val="20"/>
          <w:szCs w:val="20"/>
          <w:color w:val="auto"/>
        </w:rPr>
      </w:pPr>
    </w:p>
    <w:p>
      <w:pPr>
        <w:ind w:left="540" w:right="200"/>
        <w:spacing w:after="0" w:line="370" w:lineRule="auto"/>
        <w:rPr>
          <w:sz w:val="20"/>
          <w:szCs w:val="20"/>
          <w:color w:val="auto"/>
        </w:rPr>
      </w:pPr>
      <w:r>
        <w:rPr>
          <w:rFonts w:ascii="Arial" w:cs="Arial" w:eastAsia="Arial" w:hAnsi="Arial"/>
          <w:sz w:val="15"/>
          <w:szCs w:val="15"/>
          <w:color w:val="auto"/>
        </w:rPr>
        <w:t>Any party hereto may change his or its address for the purpose of receiving notices or demands as hereinabove provided by a written notice given in the manner aforesaid to the other party. All notices shall be as specific as reasonably necessary to enable the party receiving the same to respond thereto.</w:t>
      </w:r>
    </w:p>
    <w:p>
      <w:pPr>
        <w:sectPr>
          <w:pgSz w:w="11900" w:h="16838" w:orient="portrait"/>
          <w:cols w:equalWidth="0" w:num="1">
            <w:col w:w="11420"/>
          </w:cols>
          <w:pgMar w:left="240" w:top="361" w:right="239" w:bottom="0" w:gutter="0" w:footer="0" w:header="0"/>
        </w:sectPr>
      </w:pPr>
    </w:p>
    <w:bookmarkStart w:id="154" w:name="page155"/>
    <w:bookmarkEnd w:id="154"/>
    <w:p>
      <w:pPr>
        <w:ind w:left="540" w:right="180" w:firstLine="359"/>
        <w:spacing w:after="0" w:line="268" w:lineRule="auto"/>
        <w:tabs>
          <w:tab w:leader="none" w:pos="1271"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laws of the State of Nevada applicable to contracts made in that State, without giving effect to its conflict of law rules,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govern the validity, construction, performance and effect of this Agreement.</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62"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 xml:space="preserve">Consent to Jurisdiction. </w:t>
      </w:r>
      <w:r>
        <w:rPr>
          <w:rFonts w:ascii="Arial" w:cs="Arial" w:eastAsia="Arial" w:hAnsi="Arial"/>
          <w:sz w:val="18"/>
          <w:szCs w:val="18"/>
          <w:color w:val="auto"/>
        </w:rPr>
        <w:t>Each party hereto consents to the jurisdiction of the Courts of the State of Nevada in the event any action is brought</w:t>
      </w:r>
      <w:r>
        <w:rPr>
          <w:rFonts w:ascii="Arial" w:cs="Arial" w:eastAsia="Arial" w:hAnsi="Arial"/>
          <w:sz w:val="18"/>
          <w:szCs w:val="18"/>
          <w:i w:val="1"/>
          <w:iCs w:val="1"/>
          <w:color w:val="auto"/>
        </w:rPr>
        <w:t xml:space="preserve"> </w:t>
      </w:r>
      <w:r>
        <w:rPr>
          <w:rFonts w:ascii="Arial" w:cs="Arial" w:eastAsia="Arial" w:hAnsi="Arial"/>
          <w:sz w:val="18"/>
          <w:szCs w:val="18"/>
          <w:color w:val="auto"/>
        </w:rPr>
        <w:t>for declaratory relief or enforcement of any of the terms and provisions of this Agreement.</w:t>
      </w:r>
    </w:p>
    <w:p>
      <w:pPr>
        <w:spacing w:after="0" w:line="185" w:lineRule="exact"/>
        <w:rPr>
          <w:rFonts w:ascii="Arial" w:cs="Arial" w:eastAsia="Arial" w:hAnsi="Arial"/>
          <w:sz w:val="18"/>
          <w:szCs w:val="18"/>
          <w:color w:val="auto"/>
        </w:rPr>
      </w:pPr>
    </w:p>
    <w:p>
      <w:pPr>
        <w:ind w:left="540" w:right="60" w:firstLine="359"/>
        <w:spacing w:after="0" w:line="332" w:lineRule="auto"/>
        <w:tabs>
          <w:tab w:leader="none" w:pos="1268"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t xml:space="preserve">Attorneys' Fees. </w:t>
      </w:r>
      <w:r>
        <w:rPr>
          <w:rFonts w:ascii="Arial" w:cs="Arial" w:eastAsia="Arial" w:hAnsi="Arial"/>
          <w:sz w:val="16"/>
          <w:szCs w:val="16"/>
          <w:color w:val="auto"/>
        </w:rPr>
        <w:t>In the event that any action or proceeding is instituted to interpret or enforce the terms and provisions of this Agreement,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prevailing party shall be entitled to its costs and reasonable attorneys' fees, in addition to any other relief it may obtain or be entitled to.</w:t>
      </w:r>
    </w:p>
    <w:p>
      <w:pPr>
        <w:spacing w:after="0" w:line="139" w:lineRule="exact"/>
        <w:rPr>
          <w:rFonts w:ascii="Arial" w:cs="Arial" w:eastAsia="Arial" w:hAnsi="Arial"/>
          <w:sz w:val="16"/>
          <w:szCs w:val="16"/>
          <w:color w:val="auto"/>
        </w:rPr>
      </w:pPr>
    </w:p>
    <w:p>
      <w:pPr>
        <w:ind w:left="540" w:firstLine="359"/>
        <w:spacing w:after="0" w:line="298" w:lineRule="auto"/>
        <w:tabs>
          <w:tab w:leader="none" w:pos="1262"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t xml:space="preserve">Interpretation. </w:t>
      </w:r>
      <w:r>
        <w:rPr>
          <w:rFonts w:ascii="Arial" w:cs="Arial" w:eastAsia="Arial" w:hAnsi="Arial"/>
          <w:sz w:val="16"/>
          <w:szCs w:val="16"/>
          <w:color w:val="auto"/>
        </w:rPr>
        <w:t>In the interpretation of this Agreement, the singular may be read as the plural, and</w:t>
      </w:r>
      <w:r>
        <w:rPr>
          <w:rFonts w:ascii="Arial" w:cs="Arial" w:eastAsia="Arial" w:hAnsi="Arial"/>
          <w:sz w:val="16"/>
          <w:szCs w:val="16"/>
          <w:i w:val="1"/>
          <w:iCs w:val="1"/>
          <w:color w:val="auto"/>
        </w:rPr>
        <w:t xml:space="preserve"> vice versa</w:t>
      </w:r>
      <w:r>
        <w:rPr>
          <w:rFonts w:ascii="Arial" w:cs="Arial" w:eastAsia="Arial" w:hAnsi="Arial"/>
          <w:sz w:val="16"/>
          <w:szCs w:val="16"/>
          <w:color w:val="auto"/>
        </w:rPr>
        <w:t>, the neuter gender as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masculine or feminine,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and the future tense as the past or present, and </w:t>
      </w:r>
      <w:r>
        <w:rPr>
          <w:rFonts w:ascii="Arial" w:cs="Arial" w:eastAsia="Arial" w:hAnsi="Arial"/>
          <w:sz w:val="16"/>
          <w:szCs w:val="16"/>
          <w:i w:val="1"/>
          <w:iCs w:val="1"/>
          <w:color w:val="auto"/>
        </w:rPr>
        <w:t>vice versa</w:t>
      </w:r>
      <w:r>
        <w:rPr>
          <w:rFonts w:ascii="Arial" w:cs="Arial" w:eastAsia="Arial" w:hAnsi="Arial"/>
          <w:sz w:val="16"/>
          <w:szCs w:val="16"/>
          <w:color w:val="auto"/>
        </w:rPr>
        <w:t>, all interchangeably as the context may require in order to fully effectuate the intent of the parties and the transactions contemplated herein. Syntax shall yield to the substance of the terms and provisions hereof. Paragraph headings are for convenience of reference only and shall not be used in the interpretation of the Agreement.</w:t>
      </w:r>
    </w:p>
    <w:p>
      <w:pPr>
        <w:spacing w:after="0" w:line="166" w:lineRule="exact"/>
        <w:rPr>
          <w:rFonts w:ascii="Arial" w:cs="Arial" w:eastAsia="Arial" w:hAnsi="Arial"/>
          <w:sz w:val="16"/>
          <w:szCs w:val="16"/>
          <w:color w:val="auto"/>
        </w:rPr>
      </w:pPr>
    </w:p>
    <w:p>
      <w:pPr>
        <w:ind w:left="540" w:right="300" w:firstLine="359"/>
        <w:spacing w:after="0" w:line="259" w:lineRule="auto"/>
        <w:tabs>
          <w:tab w:leader="none" w:pos="1242"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 xml:space="preserve">Entire Agreement. </w:t>
      </w:r>
      <w:r>
        <w:rPr>
          <w:rFonts w:ascii="Arial" w:cs="Arial" w:eastAsia="Arial" w:hAnsi="Arial"/>
          <w:sz w:val="18"/>
          <w:szCs w:val="18"/>
          <w:color w:val="auto"/>
        </w:rPr>
        <w:t>This Agreement sets forth the entire understanding of the parties, and supersedes all previous agreements, negotiations,</w:t>
      </w:r>
      <w:r>
        <w:rPr>
          <w:rFonts w:ascii="Arial" w:cs="Arial" w:eastAsia="Arial" w:hAnsi="Arial"/>
          <w:sz w:val="18"/>
          <w:szCs w:val="18"/>
          <w:i w:val="1"/>
          <w:iCs w:val="1"/>
          <w:color w:val="auto"/>
        </w:rPr>
        <w:t xml:space="preserve"> </w:t>
      </w:r>
      <w:r>
        <w:rPr>
          <w:rFonts w:ascii="Arial" w:cs="Arial" w:eastAsia="Arial" w:hAnsi="Arial"/>
          <w:sz w:val="18"/>
          <w:szCs w:val="18"/>
          <w:color w:val="auto"/>
        </w:rPr>
        <w:t>memoranda, and understandings, whether written or oral. In the event of any conflict between this Agreement and any exhibits or schedules attached hereto, this Agreement shall control.</w:t>
      </w:r>
    </w:p>
    <w:p>
      <w:pPr>
        <w:spacing w:after="0" w:line="194" w:lineRule="exact"/>
        <w:rPr>
          <w:rFonts w:ascii="Arial" w:cs="Arial" w:eastAsia="Arial" w:hAnsi="Arial"/>
          <w:sz w:val="18"/>
          <w:szCs w:val="18"/>
          <w:color w:val="auto"/>
        </w:rPr>
      </w:pPr>
    </w:p>
    <w:p>
      <w:pPr>
        <w:ind w:left="1280" w:hanging="381"/>
        <w:spacing w:after="0"/>
        <w:tabs>
          <w:tab w:leader="none" w:pos="1280"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t xml:space="preserve">Modifications.  </w:t>
      </w:r>
      <w:r>
        <w:rPr>
          <w:rFonts w:ascii="Arial" w:cs="Arial" w:eastAsia="Arial" w:hAnsi="Arial"/>
          <w:sz w:val="16"/>
          <w:szCs w:val="16"/>
          <w:color w:val="auto"/>
        </w:rPr>
        <w:t>This Agreement shall not be modified, amended or changed in any manner unless in writing executed by each of the parties</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18" w:lineRule="exact"/>
        <w:rPr>
          <w:rFonts w:ascii="Arial" w:cs="Arial" w:eastAsia="Arial" w:hAnsi="Arial"/>
          <w:sz w:val="16"/>
          <w:szCs w:val="16"/>
          <w:color w:val="auto"/>
        </w:rPr>
      </w:pPr>
    </w:p>
    <w:p>
      <w:pPr>
        <w:ind w:left="540" w:right="120" w:firstLine="359"/>
        <w:spacing w:after="0" w:line="259" w:lineRule="auto"/>
        <w:tabs>
          <w:tab w:leader="none" w:pos="1271"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 xml:space="preserve">Waivers. </w:t>
      </w:r>
      <w:r>
        <w:rPr>
          <w:rFonts w:ascii="Arial" w:cs="Arial" w:eastAsia="Arial" w:hAnsi="Arial"/>
          <w:sz w:val="18"/>
          <w:szCs w:val="18"/>
          <w:color w:val="auto"/>
        </w:rPr>
        <w:t>No waiver of any of the provisions of this Agreement shall be deemed, or shall constitute, a waiver of any other provision,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or not similar, nor shall any waiver constitute a continuing waiver, and no waiver shall be binding unless evidenced by an instrument in writing and executed by the party making the waiver.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 w:firstLine="359"/>
        <w:spacing w:after="0" w:line="256" w:lineRule="auto"/>
        <w:tabs>
          <w:tab w:leader="none" w:pos="1232"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 xml:space="preserve">Invalidity. </w:t>
      </w:r>
      <w:r>
        <w:rPr>
          <w:rFonts w:ascii="Arial" w:cs="Arial" w:eastAsia="Arial" w:hAnsi="Arial"/>
          <w:sz w:val="18"/>
          <w:szCs w:val="18"/>
          <w:color w:val="auto"/>
        </w:rPr>
        <w:t>If any term, provision, covenant or condition of this Agreement, or any application thereof, should be held by a Court of competent</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to be invalid, void or unenforceable, that provision shall be deemed severable and all terms, provisions, covenants, and conditions of this Agreement, and all applications thereof not held invalid, void or unenforceable, shall continue in full force and effect and shall in no way be affected, impaired or invalidated thereby.</w:t>
      </w:r>
    </w:p>
    <w:p>
      <w:pPr>
        <w:spacing w:after="0" w:line="197" w:lineRule="exact"/>
        <w:rPr>
          <w:rFonts w:ascii="Arial" w:cs="Arial" w:eastAsia="Arial" w:hAnsi="Arial"/>
          <w:sz w:val="18"/>
          <w:szCs w:val="18"/>
          <w:color w:val="auto"/>
        </w:rPr>
      </w:pPr>
    </w:p>
    <w:p>
      <w:pPr>
        <w:ind w:left="540" w:right="260" w:firstLine="359"/>
        <w:spacing w:after="0" w:line="268" w:lineRule="auto"/>
        <w:tabs>
          <w:tab w:leader="none" w:pos="1232"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 xml:space="preserve">Binding Effect. </w:t>
      </w:r>
      <w:r>
        <w:rPr>
          <w:rFonts w:ascii="Arial" w:cs="Arial" w:eastAsia="Arial" w:hAnsi="Arial"/>
          <w:sz w:val="18"/>
          <w:szCs w:val="18"/>
          <w:color w:val="auto"/>
        </w:rPr>
        <w:t>This Agreement shall be binding on and inure to the benefit of the heirs, personal representatives, successors and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assigns of the parties hereto.</w:t>
      </w:r>
    </w:p>
    <w:p>
      <w:pPr>
        <w:spacing w:after="0" w:line="185" w:lineRule="exact"/>
        <w:rPr>
          <w:rFonts w:ascii="Arial" w:cs="Arial" w:eastAsia="Arial" w:hAnsi="Arial"/>
          <w:sz w:val="18"/>
          <w:szCs w:val="18"/>
          <w:color w:val="auto"/>
        </w:rPr>
      </w:pPr>
    </w:p>
    <w:p>
      <w:pPr>
        <w:ind w:left="1280" w:hanging="381"/>
        <w:spacing w:after="0"/>
        <w:tabs>
          <w:tab w:leader="none" w:pos="1280"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executed in multiple counterparts, which together shall constitute one and the same document.</w:t>
      </w:r>
    </w:p>
    <w:p>
      <w:pPr>
        <w:spacing w:after="0" w:line="248" w:lineRule="exact"/>
        <w:rPr>
          <w:rFonts w:ascii="Arial" w:cs="Arial" w:eastAsia="Arial" w:hAnsi="Arial"/>
          <w:sz w:val="16"/>
          <w:szCs w:val="16"/>
          <w:color w:val="auto"/>
        </w:rPr>
      </w:pPr>
    </w:p>
    <w:p>
      <w:pPr>
        <w:ind w:left="5680" w:right="4480" w:hanging="607"/>
        <w:spacing w:after="0" w:line="519" w:lineRule="auto"/>
        <w:rPr>
          <w:rFonts w:ascii="Arial" w:cs="Arial" w:eastAsia="Arial" w:hAnsi="Arial"/>
          <w:sz w:val="16"/>
          <w:szCs w:val="16"/>
          <w:color w:val="auto"/>
        </w:rPr>
      </w:pPr>
      <w:r>
        <w:rPr>
          <w:rFonts w:ascii="Arial" w:cs="Arial" w:eastAsia="Arial" w:hAnsi="Arial"/>
          <w:sz w:val="18"/>
          <w:szCs w:val="18"/>
          <w:i w:val="1"/>
          <w:iCs w:val="1"/>
          <w:color w:val="auto"/>
        </w:rPr>
        <w:t xml:space="preserve">[signature page to follow] </w:t>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have executed this Agreement effective the day and year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"SELLER"</w:t>
      </w:r>
    </w:p>
    <w:p>
      <w:pPr>
        <w:spacing w:after="0" w:line="225"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Wynn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"BUYER"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p>
      <w:pPr>
        <w:ind w:left="5720"/>
        <w:spacing w:after="0"/>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 xml:space="preserve">Stephen A. Wynn, </w:t>
      </w:r>
      <w:r>
        <w:rPr>
          <w:rFonts w:ascii="Arial" w:cs="Arial" w:eastAsia="Arial" w:hAnsi="Arial"/>
          <w:sz w:val="18"/>
          <w:szCs w:val="18"/>
          <w:i w:val="1"/>
          <w:iCs w:val="1"/>
          <w:color w:val="auto"/>
        </w:rPr>
        <w:t>Managing Member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380"/>
          </w:cols>
          <w:pgMar w:left="240" w:top="131" w:right="279" w:bottom="265" w:gutter="0" w:footer="0" w:header="0"/>
        </w:sectPr>
      </w:pP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54">
        <w:r>
          <w:rPr>
            <w:rFonts w:ascii="Arial" w:cs="Arial" w:eastAsia="Arial" w:hAnsi="Arial"/>
            <w:sz w:val="16"/>
            <w:szCs w:val="16"/>
            <w:u w:val="single" w:color="auto"/>
            <w:color w:val="0000EE"/>
          </w:rPr>
          <w:t>PURCHASE AGREEMENT</w:t>
        </w:r>
      </w:hyperlink>
    </w:p>
    <w:p>
      <w:pPr>
        <w:sectPr>
          <w:pgSz w:w="11900" w:h="16838" w:orient="portrait"/>
          <w:cols w:equalWidth="0" w:num="1">
            <w:col w:w="11380"/>
          </w:cols>
          <w:pgMar w:left="240" w:top="131" w:right="279" w:bottom="265" w:gutter="0" w:footer="0" w:header="0"/>
          <w:type w:val="continuous"/>
        </w:sectPr>
      </w:pPr>
    </w:p>
    <w:bookmarkStart w:id="155" w:name="page156"/>
    <w:bookmarkEnd w:id="155"/>
    <w:p>
      <w:pPr>
        <w:spacing w:after="0"/>
        <w:rPr>
          <w:rFonts w:ascii="Arial" w:cs="Arial" w:eastAsia="Arial" w:hAnsi="Arial"/>
          <w:sz w:val="22"/>
          <w:szCs w:val="22"/>
          <w:color w:val="0000EE"/>
        </w:rPr>
      </w:pPr>
      <w:hyperlink w:anchor="page16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EMPLOYMENT AGREEMENT</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("Agreement")</w:t>
      </w:r>
    </w:p>
    <w:p>
      <w:pPr>
        <w:spacing w:after="0" w:line="21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and between-</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VALVINO LAMORE, LLC,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("Employer")</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MATT MADDOX</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DATED: as of May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EMPLOYMENT AGREEMENT</w:t>
      </w:r>
    </w:p>
    <w:p>
      <w:pPr>
        <w:sectPr>
          <w:pgSz w:w="11900" w:h="16838" w:orient="portrait"/>
          <w:cols w:equalWidth="0" w:num="1">
            <w:col w:w="11380"/>
          </w:cols>
          <w:pgMar w:left="240" w:top="361" w:right="279" w:bottom="101" w:gutter="0" w:footer="0" w:header="0"/>
        </w:sectPr>
      </w:pPr>
    </w:p>
    <w:p>
      <w:pPr>
        <w:spacing w:after="0" w:line="225"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w:t>
      </w:r>
      <w:r>
        <w:rPr>
          <w:rFonts w:ascii="Arial" w:cs="Arial" w:eastAsia="Arial" w:hAnsi="Arial"/>
          <w:sz w:val="18"/>
          <w:szCs w:val="18"/>
          <w:b w:val="1"/>
          <w:bCs w:val="1"/>
          <w:color w:val="auto"/>
        </w:rPr>
        <w:t xml:space="preserve"> LAMORE, LLC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MATT MADDOX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day of May, 2002, by and between </w:t>
      </w:r>
      <w:r>
        <w:rPr>
          <w:rFonts w:ascii="Arial" w:cs="Arial" w:eastAsia="Arial" w:hAnsi="Arial"/>
          <w:sz w:val="16"/>
          <w:szCs w:val="16"/>
          <w:b w:val="1"/>
          <w:bCs w:val="1"/>
          <w:color w:val="auto"/>
        </w:rPr>
        <w:t>VALVINO</w:t>
      </w:r>
    </w:p>
    <w:p>
      <w:pPr>
        <w:spacing w:after="0" w:line="490" w:lineRule="exact"/>
        <w:rPr>
          <w:sz w:val="20"/>
          <w:szCs w:val="20"/>
          <w:color w:val="auto"/>
        </w:rPr>
      </w:pPr>
    </w:p>
    <w:p>
      <w:pPr>
        <w:sectPr>
          <w:pgSz w:w="11900" w:h="16838" w:orient="portrait"/>
          <w:cols w:equalWidth="0" w:num="2">
            <w:col w:w="6840" w:space="520"/>
            <w:col w:w="4020"/>
          </w:cols>
          <w:pgMar w:left="240" w:top="361" w:right="279" w:bottom="101" w:gutter="0" w:footer="0" w:header="0"/>
          <w:type w:val="continuous"/>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Employer is a limited liability company duly organized and existing under the laws of the State of Nevada, maintains its principal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3145 Las Vegas Blvd. South, Las Vegas, Nevada, and is engaged in the business of developing, constructing and operating a casino/hotel complex at such principal place of business;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furtherance of its business, Employer has need of qualified, experienced personnel;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is an adult individual residing at 10164 Birch Bluff Lane, Las Vegas, Nevada 89145; and,</w:t>
      </w:r>
    </w:p>
    <w:p>
      <w:pPr>
        <w:spacing w:after="0" w:line="225"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has represented and warranted to Employer that Employee possesses sufficient qualifications and expertise in order to fulfill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employment stated in this Agreement; and,</w:t>
      </w:r>
    </w:p>
    <w:p>
      <w:pPr>
        <w:spacing w:after="0" w:line="174"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conditions set forth herein;</w:t>
      </w:r>
    </w:p>
    <w:p>
      <w:pPr>
        <w:spacing w:after="0" w:line="174" w:lineRule="exact"/>
        <w:rPr>
          <w:sz w:val="20"/>
          <w:szCs w:val="20"/>
          <w:color w:val="auto"/>
        </w:rPr>
      </w:pPr>
    </w:p>
    <w:p>
      <w:pPr>
        <w:jc w:val="both"/>
        <w:ind w:right="520" w:firstLine="351"/>
        <w:spacing w:after="0" w:line="26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pacing w:after="0" w:line="186" w:lineRule="exact"/>
        <w:rPr>
          <w:sz w:val="20"/>
          <w:szCs w:val="20"/>
          <w:color w:val="auto"/>
        </w:rPr>
      </w:pPr>
    </w:p>
    <w:p>
      <w:pPr>
        <w:ind w:right="160" w:firstLine="359"/>
        <w:spacing w:after="0" w:line="275" w:lineRule="auto"/>
        <w:tabs>
          <w:tab w:leader="none" w:pos="658"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this Agreement, the words and terms hereinafter defined have the respective meanings ascribed to them herein, unless a</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meaning clearly appears from the context:</w:t>
      </w:r>
    </w:p>
    <w:p>
      <w:pPr>
        <w:spacing w:after="0" w:line="173" w:lineRule="exact"/>
        <w:rPr>
          <w:rFonts w:ascii="Arial" w:cs="Arial" w:eastAsia="Arial" w:hAnsi="Arial"/>
          <w:sz w:val="18"/>
          <w:szCs w:val="18"/>
          <w:b w:val="1"/>
          <w:bCs w:val="1"/>
          <w:color w:val="auto"/>
        </w:rPr>
      </w:pPr>
    </w:p>
    <w:p>
      <w:pPr>
        <w:ind w:left="540" w:right="80" w:firstLine="359"/>
        <w:spacing w:after="0" w:line="296" w:lineRule="auto"/>
        <w:tabs>
          <w:tab w:leader="none" w:pos="1174" w:val="left"/>
        </w:tabs>
        <w:numPr>
          <w:ilvl w:val="1"/>
          <w:numId w:val="238"/>
        </w:numPr>
        <w:rPr>
          <w:rFonts w:ascii="Arial" w:cs="Arial" w:eastAsia="Arial" w:hAnsi="Arial"/>
          <w:sz w:val="16"/>
          <w:szCs w:val="16"/>
          <w:color w:val="auto"/>
        </w:rPr>
      </w:pPr>
      <w:r>
        <w:rPr>
          <w:rFonts w:ascii="Arial" w:cs="Arial" w:eastAsia="Arial" w:hAnsi="Arial"/>
          <w:sz w:val="16"/>
          <w:szCs w:val="16"/>
          <w:b w:val="1"/>
          <w:bCs w:val="1"/>
          <w:color w:val="auto"/>
        </w:rPr>
        <w:t>"Affiliate"</w:t>
      </w:r>
      <w:r>
        <w:rPr>
          <w:rFonts w:ascii="Arial" w:cs="Arial" w:eastAsia="Arial" w:hAnsi="Arial"/>
          <w:sz w:val="16"/>
          <w:szCs w:val="16"/>
          <w:color w:val="auto"/>
        </w:rPr>
        <w:t>—means with respect to a specified Person, any other Person who or which is (i) a principal of the specified Person, (ii)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controlling, controlled by or under common control with the specified Person, or (iii) any member, director, officer or manager of the specified Person. For purposes of this definition, "control", "controlling",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61" w:lineRule="exact"/>
        <w:rPr>
          <w:rFonts w:ascii="Arial" w:cs="Arial" w:eastAsia="Arial" w:hAnsi="Arial"/>
          <w:sz w:val="16"/>
          <w:szCs w:val="16"/>
          <w:color w:val="auto"/>
        </w:rPr>
      </w:pPr>
    </w:p>
    <w:p>
      <w:pPr>
        <w:ind w:left="1200" w:hanging="301"/>
        <w:spacing w:after="0"/>
        <w:tabs>
          <w:tab w:leader="none" w:pos="1200" w:val="left"/>
        </w:tabs>
        <w:numPr>
          <w:ilvl w:val="1"/>
          <w:numId w:val="238"/>
        </w:numPr>
        <w:rPr>
          <w:rFonts w:ascii="Arial" w:cs="Arial" w:eastAsia="Arial" w:hAnsi="Arial"/>
          <w:sz w:val="16"/>
          <w:szCs w:val="16"/>
          <w:color w:val="auto"/>
        </w:rPr>
      </w:pPr>
      <w:r>
        <w:rPr>
          <w:rFonts w:ascii="Arial" w:cs="Arial" w:eastAsia="Arial" w:hAnsi="Arial"/>
          <w:sz w:val="16"/>
          <w:szCs w:val="16"/>
          <w:b w:val="1"/>
          <w:bCs w:val="1"/>
          <w:color w:val="auto"/>
        </w:rPr>
        <w:t>"Anniversary"</w:t>
      </w:r>
      <w:r>
        <w:rPr>
          <w:rFonts w:ascii="Arial" w:cs="Arial" w:eastAsia="Arial" w:hAnsi="Arial"/>
          <w:sz w:val="16"/>
          <w:szCs w:val="16"/>
          <w:color w:val="auto"/>
        </w:rPr>
        <w:t>—means each annual anniversary date of the Effective Date during the Term of this Agreement (as defined in Section 6 hereof).</w:t>
      </w:r>
    </w:p>
    <w:p>
      <w:pPr>
        <w:spacing w:after="0" w:line="248" w:lineRule="exact"/>
        <w:rPr>
          <w:rFonts w:ascii="Arial" w:cs="Arial" w:eastAsia="Arial" w:hAnsi="Arial"/>
          <w:sz w:val="16"/>
          <w:szCs w:val="16"/>
          <w:color w:val="auto"/>
        </w:rPr>
      </w:pPr>
    </w:p>
    <w:p>
      <w:pPr>
        <w:ind w:left="1180" w:hanging="281"/>
        <w:spacing w:after="0"/>
        <w:tabs>
          <w:tab w:leader="none" w:pos="1180" w:val="left"/>
        </w:tabs>
        <w:numPr>
          <w:ilvl w:val="1"/>
          <w:numId w:val="238"/>
        </w:numPr>
        <w:rPr>
          <w:rFonts w:ascii="Arial" w:cs="Arial" w:eastAsia="Arial" w:hAnsi="Arial"/>
          <w:sz w:val="18"/>
          <w:szCs w:val="18"/>
          <w:color w:val="auto"/>
        </w:rPr>
      </w:pPr>
      <w:r>
        <w:rPr>
          <w:rFonts w:ascii="Arial" w:cs="Arial" w:eastAsia="Arial" w:hAnsi="Arial"/>
          <w:sz w:val="18"/>
          <w:szCs w:val="18"/>
          <w:b w:val="1"/>
          <w:bCs w:val="1"/>
          <w:color w:val="auto"/>
        </w:rPr>
        <w:t>"Cause"</w:t>
      </w:r>
      <w:r>
        <w:rPr>
          <w:rFonts w:ascii="Arial" w:cs="Arial" w:eastAsia="Arial" w:hAnsi="Arial"/>
          <w:sz w:val="18"/>
          <w:szCs w:val="18"/>
          <w:color w:val="auto"/>
        </w:rPr>
        <w:t>—means</w:t>
      </w:r>
    </w:p>
    <w:p>
      <w:pPr>
        <w:spacing w:after="0" w:line="231" w:lineRule="exact"/>
        <w:rPr>
          <w:rFonts w:ascii="Arial" w:cs="Arial" w:eastAsia="Arial" w:hAnsi="Arial"/>
          <w:sz w:val="18"/>
          <w:szCs w:val="18"/>
          <w:color w:val="auto"/>
        </w:rPr>
      </w:pPr>
    </w:p>
    <w:p>
      <w:pPr>
        <w:ind w:left="1780" w:hanging="340"/>
        <w:spacing w:after="0"/>
        <w:tabs>
          <w:tab w:leader="none" w:pos="178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the conviction of Employee of a felony by a court of competent jurisdiction;</w:t>
      </w:r>
    </w:p>
    <w:p>
      <w:pPr>
        <w:spacing w:after="0" w:line="225" w:lineRule="exact"/>
        <w:rPr>
          <w:rFonts w:ascii="Arial" w:cs="Arial" w:eastAsia="Arial" w:hAnsi="Arial"/>
          <w:sz w:val="18"/>
          <w:szCs w:val="18"/>
          <w:color w:val="auto"/>
        </w:rPr>
      </w:pPr>
    </w:p>
    <w:p>
      <w:pPr>
        <w:ind w:left="1080" w:right="740" w:firstLine="360"/>
        <w:spacing w:after="0" w:line="268" w:lineRule="auto"/>
        <w:tabs>
          <w:tab w:leader="none" w:pos="1734" w:val="left"/>
        </w:tabs>
        <w:numPr>
          <w:ilvl w:val="2"/>
          <w:numId w:val="238"/>
        </w:numPr>
        <w:rPr>
          <w:rFonts w:ascii="Arial" w:cs="Arial" w:eastAsia="Arial" w:hAnsi="Arial"/>
          <w:sz w:val="18"/>
          <w:szCs w:val="18"/>
          <w:color w:val="auto"/>
        </w:rPr>
      </w:pPr>
      <w:r>
        <w:rPr>
          <w:rFonts w:ascii="Arial" w:cs="Arial" w:eastAsia="Arial" w:hAnsi="Arial"/>
          <w:sz w:val="18"/>
          <w:szCs w:val="18"/>
          <w:color w:val="auto"/>
        </w:rPr>
        <w:t>the indictment of Employee by a state or federal grand jury of competent jurisdiction for embezzlement or misappropriation of Employer's funds or for any act of dishonesty or lack of fidelity towards Employer;</w:t>
      </w:r>
    </w:p>
    <w:p>
      <w:pPr>
        <w:spacing w:after="0" w:line="185" w:lineRule="exact"/>
        <w:rPr>
          <w:rFonts w:ascii="Arial" w:cs="Arial" w:eastAsia="Arial" w:hAnsi="Arial"/>
          <w:sz w:val="18"/>
          <w:szCs w:val="18"/>
          <w:color w:val="auto"/>
        </w:rPr>
      </w:pPr>
    </w:p>
    <w:p>
      <w:pPr>
        <w:ind w:left="1800" w:hanging="360"/>
        <w:spacing w:after="0"/>
        <w:tabs>
          <w:tab w:leader="none" w:pos="1800" w:val="left"/>
        </w:tabs>
        <w:numPr>
          <w:ilvl w:val="2"/>
          <w:numId w:val="238"/>
        </w:numPr>
        <w:rPr>
          <w:rFonts w:ascii="Arial" w:cs="Arial" w:eastAsia="Arial" w:hAnsi="Arial"/>
          <w:sz w:val="16"/>
          <w:szCs w:val="16"/>
          <w:color w:val="auto"/>
        </w:rPr>
      </w:pPr>
      <w:r>
        <w:rPr>
          <w:rFonts w:ascii="Arial" w:cs="Arial" w:eastAsia="Arial" w:hAnsi="Arial"/>
          <w:sz w:val="16"/>
          <w:szCs w:val="16"/>
          <w:color w:val="auto"/>
        </w:rPr>
        <w:t>a decree of a court of competent jurisdiction that Employee is not mentally competent or is unable to handle his/her own affairs;</w:t>
      </w:r>
    </w:p>
    <w:p>
      <w:pPr>
        <w:spacing w:after="0" w:line="248" w:lineRule="exact"/>
        <w:rPr>
          <w:rFonts w:ascii="Arial" w:cs="Arial" w:eastAsia="Arial" w:hAnsi="Arial"/>
          <w:sz w:val="16"/>
          <w:szCs w:val="16"/>
          <w:color w:val="auto"/>
        </w:rPr>
      </w:pPr>
    </w:p>
    <w:p>
      <w:pPr>
        <w:ind w:left="1780" w:hanging="340"/>
        <w:spacing w:after="0"/>
        <w:tabs>
          <w:tab w:leader="none" w:pos="1780" w:val="left"/>
        </w:tabs>
        <w:numPr>
          <w:ilvl w:val="2"/>
          <w:numId w:val="238"/>
        </w:numPr>
        <w:rPr>
          <w:rFonts w:ascii="Arial" w:cs="Arial" w:eastAsia="Arial" w:hAnsi="Arial"/>
          <w:sz w:val="16"/>
          <w:szCs w:val="16"/>
          <w:color w:val="auto"/>
        </w:rPr>
      </w:pPr>
      <w:r>
        <w:rPr>
          <w:rFonts w:ascii="Arial" w:cs="Arial" w:eastAsia="Arial" w:hAnsi="Arial"/>
          <w:sz w:val="16"/>
          <w:szCs w:val="16"/>
          <w:color w:val="auto"/>
        </w:rPr>
        <w:t>the written confession by Employee of any act of dishonesty towards Employer or any embezzlement or misappropriation of Employer's</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01" w:gutter="0" w:footer="0" w:header="0"/>
          <w:type w:val="continuous"/>
        </w:sectPr>
      </w:pPr>
    </w:p>
    <w:bookmarkStart w:id="156" w:name="page157"/>
    <w:bookmarkEnd w:id="156"/>
    <w:p>
      <w:pPr>
        <w:jc w:val="both"/>
        <w:ind w:left="1080" w:right="60" w:firstLine="360"/>
        <w:spacing w:after="0" w:line="256" w:lineRule="auto"/>
        <w:tabs>
          <w:tab w:leader="none" w:pos="172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payment (or, by the operation solely of the effect of a deductible, the failure of payment) by a surety or insurer of a claim under a fidelity bond issued to the benefit of Employer reimbursing Employer for a loss due the wrongful act or wrongful omission to act of Employee (the occurrence of which shall cause Employee to be indebted to Employer for the LESSER of either (A) the loss incurred by Employer or (B) the sums paid by Employer to Employee pursuant to this Agreement);</w:t>
      </w:r>
    </w:p>
    <w:p>
      <w:pPr>
        <w:spacing w:after="0" w:line="197" w:lineRule="exact"/>
        <w:rPr>
          <w:rFonts w:ascii="Arial" w:cs="Arial" w:eastAsia="Arial" w:hAnsi="Arial"/>
          <w:sz w:val="18"/>
          <w:szCs w:val="18"/>
          <w:color w:val="auto"/>
        </w:rPr>
      </w:pPr>
    </w:p>
    <w:p>
      <w:pPr>
        <w:ind w:left="1780" w:hanging="340"/>
        <w:spacing w:after="0"/>
        <w:tabs>
          <w:tab w:leader="none" w:pos="17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Employee's breach of the restrictive covenant set forth in Section 11 of this Agreement;</w:t>
      </w:r>
    </w:p>
    <w:p>
      <w:pPr>
        <w:spacing w:after="0" w:line="225" w:lineRule="exact"/>
        <w:rPr>
          <w:rFonts w:ascii="Arial" w:cs="Arial" w:eastAsia="Arial" w:hAnsi="Arial"/>
          <w:sz w:val="18"/>
          <w:szCs w:val="18"/>
          <w:color w:val="auto"/>
        </w:rPr>
      </w:pPr>
    </w:p>
    <w:p>
      <w:pPr>
        <w:ind w:left="1080" w:right="80" w:firstLine="360"/>
        <w:spacing w:after="0" w:line="268" w:lineRule="auto"/>
        <w:tabs>
          <w:tab w:leader="none" w:pos="177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Employee's failure to maintain in force and in good standing any and all licenses, permits and/or approvals required of Employee by the relevant governmental authorities for the discharge of the obligations of Employee under this Agreement; or</w:t>
      </w:r>
    </w:p>
    <w:p>
      <w:pPr>
        <w:spacing w:after="0" w:line="18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(viii)Employer's material violation of any statutory or common law duty of loyalty to Employer, any of its Affiliates or Wynn;</w:t>
      </w:r>
    </w:p>
    <w:p>
      <w:pPr>
        <w:spacing w:after="0" w:line="219" w:lineRule="exact"/>
        <w:rPr>
          <w:sz w:val="20"/>
          <w:szCs w:val="20"/>
          <w:color w:val="auto"/>
        </w:rPr>
      </w:pPr>
    </w:p>
    <w:p>
      <w:pPr>
        <w:ind w:left="1080" w:right="140"/>
        <w:spacing w:after="0" w:line="275" w:lineRule="auto"/>
        <w:rPr>
          <w:sz w:val="20"/>
          <w:szCs w:val="20"/>
          <w:color w:val="auto"/>
        </w:rPr>
      </w:pPr>
      <w:r>
        <w:rPr>
          <w:rFonts w:ascii="Arial" w:cs="Arial" w:eastAsia="Arial" w:hAnsi="Arial"/>
          <w:sz w:val="18"/>
          <w:szCs w:val="18"/>
          <w:b w:val="1"/>
          <w:bCs w:val="1"/>
          <w:i w:val="1"/>
          <w:iCs w:val="1"/>
          <w:color w:val="auto"/>
        </w:rPr>
        <w:t>provided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however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defined herein.</w:t>
      </w:r>
    </w:p>
    <w:p>
      <w:pPr>
        <w:spacing w:after="0" w:line="174" w:lineRule="exact"/>
        <w:rPr>
          <w:sz w:val="20"/>
          <w:szCs w:val="20"/>
          <w:color w:val="auto"/>
        </w:rPr>
      </w:pPr>
    </w:p>
    <w:p>
      <w:pPr>
        <w:ind w:left="540" w:right="220" w:firstLine="359"/>
        <w:spacing w:after="0" w:line="275" w:lineRule="auto"/>
        <w:tabs>
          <w:tab w:leader="none" w:pos="1184" w:val="left"/>
        </w:tabs>
        <w:numPr>
          <w:ilvl w:val="1"/>
          <w:numId w:val="240"/>
        </w:numPr>
        <w:rPr>
          <w:rFonts w:ascii="Arial" w:cs="Arial" w:eastAsia="Arial" w:hAnsi="Arial"/>
          <w:sz w:val="18"/>
          <w:szCs w:val="18"/>
          <w:color w:val="auto"/>
        </w:rPr>
      </w:pPr>
      <w:r>
        <w:rPr>
          <w:rFonts w:ascii="Arial" w:cs="Arial" w:eastAsia="Arial" w:hAnsi="Arial"/>
          <w:sz w:val="18"/>
          <w:szCs w:val="18"/>
          <w:b w:val="1"/>
          <w:bCs w:val="1"/>
          <w:color w:val="auto"/>
        </w:rPr>
        <w:t>"Complete Disability"</w:t>
      </w:r>
      <w:r>
        <w:rPr>
          <w:rFonts w:ascii="Arial" w:cs="Arial" w:eastAsia="Arial" w:hAnsi="Arial"/>
          <w:sz w:val="18"/>
          <w:szCs w:val="18"/>
          <w:color w:val="auto"/>
        </w:rPr>
        <w:t>—means the inability of Employee, due to illness or accident or other mental or physical incapacity, to perform his/her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this Agreement for a period as defined by Employer's local disability plan or plans.</w:t>
      </w:r>
    </w:p>
    <w:p>
      <w:pPr>
        <w:spacing w:after="0" w:line="173" w:lineRule="exact"/>
        <w:rPr>
          <w:rFonts w:ascii="Arial" w:cs="Arial" w:eastAsia="Arial" w:hAnsi="Arial"/>
          <w:sz w:val="18"/>
          <w:szCs w:val="18"/>
          <w:color w:val="auto"/>
        </w:rPr>
      </w:pPr>
    </w:p>
    <w:p>
      <w:pPr>
        <w:ind w:left="1180" w:hanging="281"/>
        <w:spacing w:after="0"/>
        <w:tabs>
          <w:tab w:leader="none" w:pos="1180" w:val="left"/>
        </w:tabs>
        <w:numPr>
          <w:ilvl w:val="1"/>
          <w:numId w:val="240"/>
        </w:numPr>
        <w:rPr>
          <w:rFonts w:ascii="Arial" w:cs="Arial" w:eastAsia="Arial" w:hAnsi="Arial"/>
          <w:sz w:val="18"/>
          <w:szCs w:val="18"/>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—means June 3, 2002.</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1"/>
          <w:numId w:val="240"/>
        </w:numPr>
        <w:rPr>
          <w:rFonts w:ascii="Arial" w:cs="Arial" w:eastAsia="Arial" w:hAnsi="Arial"/>
          <w:sz w:val="18"/>
          <w:szCs w:val="18"/>
          <w:color w:val="auto"/>
        </w:rPr>
      </w:pPr>
      <w:r>
        <w:rPr>
          <w:rFonts w:ascii="Arial" w:cs="Arial" w:eastAsia="Arial" w:hAnsi="Arial"/>
          <w:sz w:val="18"/>
          <w:szCs w:val="18"/>
          <w:b w:val="1"/>
          <w:bCs w:val="1"/>
          <w:color w:val="auto"/>
        </w:rPr>
        <w:t>"Prior Employment"</w:t>
      </w:r>
      <w:r>
        <w:rPr>
          <w:rFonts w:ascii="Arial" w:cs="Arial" w:eastAsia="Arial" w:hAnsi="Arial"/>
          <w:sz w:val="18"/>
          <w:szCs w:val="18"/>
          <w:color w:val="auto"/>
        </w:rPr>
        <w:t>—means any prior employment Employee has had with either Employer or Employer's Affiliate.</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240"/>
        </w:numPr>
        <w:rPr>
          <w:rFonts w:ascii="Arial" w:cs="Arial" w:eastAsia="Arial" w:hAnsi="Arial"/>
          <w:sz w:val="18"/>
          <w:szCs w:val="18"/>
          <w:color w:val="auto"/>
        </w:rPr>
      </w:pPr>
      <w:r>
        <w:rPr>
          <w:rFonts w:ascii="Arial" w:cs="Arial" w:eastAsia="Arial" w:hAnsi="Arial"/>
          <w:sz w:val="18"/>
          <w:szCs w:val="18"/>
          <w:b w:val="1"/>
          <w:bCs w:val="1"/>
          <w:color w:val="auto"/>
        </w:rPr>
        <w:t>"Wynn"</w:t>
      </w:r>
      <w:r>
        <w:rPr>
          <w:rFonts w:ascii="Arial" w:cs="Arial" w:eastAsia="Arial" w:hAnsi="Arial"/>
          <w:sz w:val="18"/>
          <w:szCs w:val="18"/>
          <w:color w:val="auto"/>
        </w:rPr>
        <w:t>—means Stephen A. Wynn.</w:t>
      </w:r>
    </w:p>
    <w:p>
      <w:pPr>
        <w:spacing w:after="0" w:line="225" w:lineRule="exact"/>
        <w:rPr>
          <w:rFonts w:ascii="Arial" w:cs="Arial" w:eastAsia="Arial" w:hAnsi="Arial"/>
          <w:sz w:val="18"/>
          <w:szCs w:val="18"/>
          <w:color w:val="auto"/>
        </w:rPr>
      </w:pPr>
    </w:p>
    <w:p>
      <w:pPr>
        <w:ind w:right="140" w:firstLine="359"/>
        <w:spacing w:after="0" w:line="258" w:lineRule="auto"/>
        <w:tabs>
          <w:tab w:leader="none" w:pos="658"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EMPLOYMENT. </w:t>
      </w:r>
      <w:r>
        <w:rPr>
          <w:rFonts w:ascii="Arial" w:cs="Arial" w:eastAsia="Arial" w:hAnsi="Arial"/>
          <w:sz w:val="18"/>
          <w:szCs w:val="18"/>
          <w:color w:val="auto"/>
        </w:rPr>
        <w:t>This Agreement supersedes and replaces any and all prior employment agreements, change in control agreements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plans or agreements, whether written or oral, by and between Employee, on the one side, and Employer or any of Employer's Affiliates, on the other side, or under which Employee is a participant. From and after the Effective Date, Employee shall be the employee of Employer under the terms and pursuant to the conditions set forth in this Agreement.</w:t>
      </w:r>
    </w:p>
    <w:p>
      <w:pPr>
        <w:spacing w:after="0" w:line="190" w:lineRule="exact"/>
        <w:rPr>
          <w:rFonts w:ascii="Arial" w:cs="Arial" w:eastAsia="Arial" w:hAnsi="Arial"/>
          <w:sz w:val="18"/>
          <w:szCs w:val="18"/>
          <w:b w:val="1"/>
          <w:bCs w:val="1"/>
          <w:color w:val="auto"/>
        </w:rPr>
      </w:pPr>
    </w:p>
    <w:p>
      <w:pPr>
        <w:ind w:right="120" w:firstLine="359"/>
        <w:spacing w:after="0" w:line="296" w:lineRule="auto"/>
        <w:tabs>
          <w:tab w:leader="none" w:pos="658"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BASIC EMPLOYMENT AGREEMENT. </w:t>
      </w:r>
      <w:r>
        <w:rPr>
          <w:rFonts w:ascii="Arial" w:cs="Arial" w:eastAsia="Arial" w:hAnsi="Arial"/>
          <w:sz w:val="16"/>
          <w:szCs w:val="16"/>
          <w:color w:val="auto"/>
        </w:rPr>
        <w:t>Subject to the terms and pursuant to the conditions hereinafter set forth, Employer hereby employs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during the Term hereinafter specified to serve in a capacity, under a title, and with such duties not inconsistent with those set forth in Section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that no change in Employee's titles or reporting responsibilities shall in itself be a basis for finding a material reduction in the level of duties.</w:t>
      </w:r>
    </w:p>
    <w:p>
      <w:pPr>
        <w:spacing w:after="0" w:line="161" w:lineRule="exact"/>
        <w:rPr>
          <w:rFonts w:ascii="Arial" w:cs="Arial" w:eastAsia="Arial" w:hAnsi="Arial"/>
          <w:sz w:val="16"/>
          <w:szCs w:val="16"/>
          <w:b w:val="1"/>
          <w:bCs w:val="1"/>
          <w:color w:val="auto"/>
        </w:rPr>
      </w:pPr>
    </w:p>
    <w:p>
      <w:pPr>
        <w:ind w:right="180" w:firstLine="359"/>
        <w:spacing w:after="0" w:line="255" w:lineRule="auto"/>
        <w:tabs>
          <w:tab w:leader="none" w:pos="658"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EMPLOYEE. </w:t>
      </w:r>
      <w:r>
        <w:rPr>
          <w:rFonts w:ascii="Arial" w:cs="Arial" w:eastAsia="Arial" w:hAnsi="Arial"/>
          <w:sz w:val="18"/>
          <w:szCs w:val="18"/>
          <w:color w:val="auto"/>
        </w:rPr>
        <w:t>Employee shall perform such duties assigned to Employee by Employer as are generally associated with the duties of</w:t>
      </w:r>
      <w:r>
        <w:rPr>
          <w:rFonts w:ascii="Arial" w:cs="Arial" w:eastAsia="Arial" w:hAnsi="Arial"/>
          <w:sz w:val="18"/>
          <w:szCs w:val="18"/>
          <w:b w:val="1"/>
          <w:bCs w:val="1"/>
          <w:color w:val="auto"/>
        </w:rPr>
        <w:t xml:space="preserve"> Vice President—Investor Relations &amp; Treasurer </w:t>
      </w:r>
      <w:r>
        <w:rPr>
          <w:rFonts w:ascii="Arial" w:cs="Arial" w:eastAsia="Arial" w:hAnsi="Arial"/>
          <w:sz w:val="18"/>
          <w:szCs w:val="18"/>
          <w:color w:val="auto"/>
        </w:rPr>
        <w:t>for Employer or such similar duties as may be assigned to Employee by Employer as Employer may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including, but not limited to (i) the efficient and continuous operation of Employer and Employer's Affiliates; (ii) the preparation of relevant budgets and allocation or relevant funds; (iii) the selection and delegation of duties and responsibilities of subordinates; (iv) the direction, review and oversight of all programs under Employee's supervision; and (v) such other and further duties specifically related to such duties as assigned by Employer to Employee. The foregoing notwithstanding,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Employee shall devote such time to Employer's Affiliates as may be required by Employer, provided such duties are not inconsistent with Employee's primary duties to Employer hereunder.</w:t>
      </w:r>
    </w:p>
    <w:p>
      <w:pPr>
        <w:spacing w:after="0" w:line="180" w:lineRule="exact"/>
        <w:rPr>
          <w:sz w:val="20"/>
          <w:szCs w:val="20"/>
          <w:color w:val="auto"/>
        </w:rPr>
      </w:pPr>
    </w:p>
    <w:p>
      <w:pPr>
        <w:ind w:right="60" w:firstLine="359"/>
        <w:spacing w:after="0" w:line="256" w:lineRule="auto"/>
        <w:tabs>
          <w:tab w:leader="none" w:pos="649"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ACCEPTANCE OF EMPLOYMENT. </w:t>
      </w:r>
      <w:r>
        <w:rPr>
          <w:rFonts w:ascii="Arial" w:cs="Arial" w:eastAsia="Arial" w:hAnsi="Arial"/>
          <w:sz w:val="18"/>
          <w:szCs w:val="18"/>
          <w:color w:val="auto"/>
        </w:rPr>
        <w:t>Employee hereby unconditionally accepts the employment set forth hereunder, under the terms and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192" w:lineRule="exact"/>
        <w:rPr>
          <w:rFonts w:ascii="Arial" w:cs="Arial" w:eastAsia="Arial" w:hAnsi="Arial"/>
          <w:sz w:val="18"/>
          <w:szCs w:val="18"/>
          <w:b w:val="1"/>
          <w:bCs w:val="1"/>
          <w:color w:val="auto"/>
        </w:rPr>
      </w:pPr>
    </w:p>
    <w:p>
      <w:pPr>
        <w:ind w:right="80" w:firstLine="359"/>
        <w:spacing w:after="0" w:line="275" w:lineRule="auto"/>
        <w:tabs>
          <w:tab w:leader="none" w:pos="655"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consist of four (4) years commencing</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Effective Date of this Agreement and terminating on the fourth Anniversary of the Effective Date.</w:t>
      </w:r>
    </w:p>
    <w:p>
      <w:pPr>
        <w:spacing w:after="0" w:line="173" w:lineRule="exact"/>
        <w:rPr>
          <w:rFonts w:ascii="Arial" w:cs="Arial" w:eastAsia="Arial" w:hAnsi="Arial"/>
          <w:sz w:val="18"/>
          <w:szCs w:val="18"/>
          <w:b w:val="1"/>
          <w:bCs w:val="1"/>
          <w:color w:val="auto"/>
        </w:rPr>
      </w:pPr>
    </w:p>
    <w:p>
      <w:pPr>
        <w:ind w:firstLine="359"/>
        <w:spacing w:after="0" w:line="275" w:lineRule="auto"/>
        <w:tabs>
          <w:tab w:leader="none" w:pos="658"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SPECIAL TERMINATION PROVISIONS. </w:t>
      </w:r>
      <w:r>
        <w:rPr>
          <w:rFonts w:ascii="Arial" w:cs="Arial" w:eastAsia="Arial" w:hAnsi="Arial"/>
          <w:sz w:val="18"/>
          <w:szCs w:val="18"/>
          <w:color w:val="auto"/>
        </w:rPr>
        <w:t>Notwithstanding the provisions of Section 6 of this Agreement, this Agreement shall terminate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of any of the following events:</w:t>
      </w:r>
    </w:p>
    <w:p>
      <w:pPr>
        <w:spacing w:after="0" w:line="179" w:lineRule="exact"/>
        <w:rPr>
          <w:rFonts w:ascii="Arial" w:cs="Arial" w:eastAsia="Arial" w:hAnsi="Arial"/>
          <w:sz w:val="18"/>
          <w:szCs w:val="18"/>
          <w:b w:val="1"/>
          <w:bCs w:val="1"/>
          <w:color w:val="auto"/>
        </w:rPr>
      </w:pPr>
    </w:p>
    <w:p>
      <w:pPr>
        <w:ind w:left="1180" w:hanging="281"/>
        <w:spacing w:after="0"/>
        <w:tabs>
          <w:tab w:leader="none" w:pos="11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248" w:lineRule="exact"/>
        <w:rPr>
          <w:rFonts w:ascii="Arial" w:cs="Arial" w:eastAsia="Arial" w:hAnsi="Arial"/>
          <w:sz w:val="16"/>
          <w:szCs w:val="16"/>
          <w:color w:val="auto"/>
        </w:rPr>
      </w:pPr>
    </w:p>
    <w:p>
      <w:pPr>
        <w:ind w:left="1180" w:hanging="281"/>
        <w:spacing w:after="0"/>
        <w:tabs>
          <w:tab w:leader="none" w:pos="118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248" w:lineRule="exact"/>
        <w:rPr>
          <w:rFonts w:ascii="Arial" w:cs="Arial" w:eastAsia="Arial" w:hAnsi="Arial"/>
          <w:sz w:val="16"/>
          <w:szCs w:val="16"/>
          <w:color w:val="auto"/>
        </w:rPr>
      </w:pPr>
    </w:p>
    <w:p>
      <w:pPr>
        <w:ind w:left="540" w:right="340" w:firstLine="359"/>
        <w:spacing w:after="0" w:line="268" w:lineRule="auto"/>
        <w:tabs>
          <w:tab w:leader="none" w:pos="118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following a disapproval of this Agreement or the denial, suspension, limitation or revocation of Employee's License (as defined in Section 9(b) of this Agreement);</w:t>
      </w:r>
    </w:p>
    <w:p>
      <w:pPr>
        <w:spacing w:after="0" w:line="185" w:lineRule="exact"/>
        <w:rPr>
          <w:rFonts w:ascii="Arial" w:cs="Arial" w:eastAsia="Arial" w:hAnsi="Arial"/>
          <w:sz w:val="18"/>
          <w:szCs w:val="18"/>
          <w:color w:val="auto"/>
        </w:rPr>
      </w:pPr>
    </w:p>
    <w:p>
      <w:pPr>
        <w:ind w:left="540" w:right="280" w:firstLine="359"/>
        <w:spacing w:after="0" w:line="268" w:lineRule="auto"/>
        <w:tabs>
          <w:tab w:leader="none" w:pos="117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giving of written notice by Employee to Employer upon a material breach of this Agreement by Employer, which material breach remains uncured for a period of thirty (30) days after the giving of such notice; or</w:t>
      </w:r>
    </w:p>
    <w:p>
      <w:pPr>
        <w:sectPr>
          <w:pgSz w:w="11900" w:h="16838" w:orient="portrait"/>
          <w:cols w:equalWidth="0" w:num="1">
            <w:col w:w="11420"/>
          </w:cols>
          <w:pgMar w:left="240" w:top="590" w:right="239" w:bottom="0" w:gutter="0" w:footer="0" w:header="0"/>
        </w:sectPr>
      </w:pPr>
    </w:p>
    <w:bookmarkStart w:id="157" w:name="page158"/>
    <w:bookmarkEnd w:id="157"/>
    <w:p>
      <w:pPr>
        <w:ind w:left="1260" w:hanging="361"/>
        <w:spacing w:after="0"/>
        <w:tabs>
          <w:tab w:leader="none" w:pos="12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giving of written notice by Employee to Employer of termination of this Agreement without cause.</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the event of a termination of this Agreement pursuant to the provisions of Subsection 7(a), (b), (c), (d), or (f), Employer shall not be required to make any payments to Employee other than payment of Base Salary and vacation pay accrued but unpaid and expenses incurred but not reimbursed through the termination date; specifically, in such event, Employee shall not be entitled to any benefits pursuant to any severance plan in effect by Employer or any of Employer's Affiliates. In addition, in the event of a termination of this Agreement pursuant to Subsection 7(f), the provisions of Subsection 11(a) shall continue to apply for the Term and the provisions of Subsection 11(b) shall continue to apply for one (1) year following the expiration of the Term.</w:t>
      </w:r>
    </w:p>
    <w:p>
      <w:pPr>
        <w:spacing w:after="0" w:line="164" w:lineRule="exact"/>
        <w:rPr>
          <w:sz w:val="20"/>
          <w:szCs w:val="20"/>
          <w:color w:val="auto"/>
        </w:rPr>
      </w:pPr>
    </w:p>
    <w:p>
      <w:pPr>
        <w:ind w:right="100" w:firstLine="359"/>
        <w:spacing w:after="0" w:line="262" w:lineRule="auto"/>
        <w:tabs>
          <w:tab w:leader="none" w:pos="658"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COMPENSATION TO EMPLOYEE. </w:t>
      </w:r>
      <w:r>
        <w:rPr>
          <w:rFonts w:ascii="Arial" w:cs="Arial" w:eastAsia="Arial" w:hAnsi="Arial"/>
          <w:sz w:val="18"/>
          <w:szCs w:val="18"/>
          <w:color w:val="auto"/>
        </w:rPr>
        <w:t>For and in complete consideration of Employee's full and faithful performance of Employee's duties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Employer hereby covenants and agrees to pay to Employee, and Employee hereby covenants and agrees to accept from Employer, the following items of compensation:</w:t>
      </w:r>
    </w:p>
    <w:p>
      <w:pPr>
        <w:spacing w:after="0" w:line="186" w:lineRule="exact"/>
        <w:rPr>
          <w:rFonts w:ascii="Arial" w:cs="Arial" w:eastAsia="Arial" w:hAnsi="Arial"/>
          <w:sz w:val="18"/>
          <w:szCs w:val="18"/>
          <w:b w:val="1"/>
          <w:bCs w:val="1"/>
          <w:color w:val="auto"/>
        </w:rPr>
      </w:pPr>
    </w:p>
    <w:p>
      <w:pPr>
        <w:ind w:left="540" w:right="100" w:firstLine="359"/>
        <w:spacing w:after="0" w:line="301" w:lineRule="auto"/>
        <w:tabs>
          <w:tab w:leader="none" w:pos="1174" w:val="left"/>
        </w:tabs>
        <w:numPr>
          <w:ilvl w:val="1"/>
          <w:numId w:val="244"/>
        </w:numPr>
        <w:rPr>
          <w:rFonts w:ascii="Arial" w:cs="Arial" w:eastAsia="Arial" w:hAnsi="Arial"/>
          <w:sz w:val="16"/>
          <w:szCs w:val="16"/>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Employer hereby covenants and agrees to pay to Employee, and Employee hereby covenants and agrees to accept from</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a base salary at the rate of Two Hundred Thousand Dollars ($200,000.00) per annum during the Term, payable in such installments as shall be convenient to Employer (the "</w:t>
      </w:r>
      <w:r>
        <w:rPr>
          <w:rFonts w:ascii="Arial" w:cs="Arial" w:eastAsia="Arial" w:hAnsi="Arial"/>
          <w:sz w:val="16"/>
          <w:szCs w:val="16"/>
          <w:b w:val="1"/>
          <w:bCs w:val="1"/>
          <w:color w:val="auto"/>
        </w:rPr>
        <w:t>Base Salary</w:t>
      </w:r>
      <w:r>
        <w:rPr>
          <w:rFonts w:ascii="Arial" w:cs="Arial" w:eastAsia="Arial" w:hAnsi="Arial"/>
          <w:sz w:val="16"/>
          <w:szCs w:val="16"/>
          <w:color w:val="auto"/>
        </w:rPr>
        <w:t>"). Such Base Salary shall be exclusive of and in addition to any other benefits which Employer, in its sole discretion, may make available to Employee, including, but not limited to, any discretionary bonus, stock option plan, profit sharing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40" w:right="40"/>
        <w:spacing w:after="0" w:line="259" w:lineRule="auto"/>
        <w:rPr>
          <w:sz w:val="20"/>
          <w:szCs w:val="20"/>
          <w:color w:val="auto"/>
        </w:rPr>
      </w:pPr>
      <w:r>
        <w:rPr>
          <w:rFonts w:ascii="Arial" w:cs="Arial" w:eastAsia="Arial" w:hAnsi="Arial"/>
          <w:sz w:val="18"/>
          <w:szCs w:val="18"/>
          <w:color w:val="auto"/>
        </w:rPr>
        <w:t>plan, pension plan, retirement plan, disability or life insurance plan, medical and/or hospitalization plan, or any and all other benefit plan which may be in effect during the Term. Such Base Salary shall be subject to merit reviews on each Anniversary Date and may be increased, but not decreased, as a result of such merit review(s).</w:t>
      </w:r>
    </w:p>
    <w:p>
      <w:pPr>
        <w:spacing w:after="0" w:line="188" w:lineRule="exact"/>
        <w:rPr>
          <w:sz w:val="20"/>
          <w:szCs w:val="20"/>
          <w:color w:val="auto"/>
        </w:rPr>
      </w:pPr>
    </w:p>
    <w:p>
      <w:pPr>
        <w:ind w:left="540" w:firstLine="359"/>
        <w:spacing w:after="0" w:line="256" w:lineRule="auto"/>
        <w:tabs>
          <w:tab w:leader="none" w:pos="1184" w:val="left"/>
        </w:tabs>
        <w:numPr>
          <w:ilvl w:val="1"/>
          <w:numId w:val="245"/>
        </w:numPr>
        <w:rPr>
          <w:rFonts w:ascii="Arial" w:cs="Arial" w:eastAsia="Arial" w:hAnsi="Arial"/>
          <w:sz w:val="18"/>
          <w:szCs w:val="18"/>
          <w:color w:val="auto"/>
        </w:rPr>
      </w:pPr>
      <w:r>
        <w:rPr>
          <w:rFonts w:ascii="Arial" w:cs="Arial" w:eastAsia="Arial" w:hAnsi="Arial"/>
          <w:sz w:val="18"/>
          <w:szCs w:val="18"/>
          <w:b w:val="1"/>
          <w:bCs w:val="1"/>
          <w:color w:val="auto"/>
        </w:rPr>
        <w:t xml:space="preserve">BONUS COMPENSATION. </w:t>
      </w:r>
      <w:r>
        <w:rPr>
          <w:rFonts w:ascii="Arial" w:cs="Arial" w:eastAsia="Arial" w:hAnsi="Arial"/>
          <w:sz w:val="18"/>
          <w:szCs w:val="18"/>
          <w:color w:val="auto"/>
        </w:rPr>
        <w:t>Employee also will be eligible to receive a bonus at such times and in such amounts as Employer,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and unreviewable discretion, may determine, but in no event shall Employee's annual bonus be less than Fifty Thousand Dollars ($50,000.00) during any full calendar year of the Term of this Agreement. The goals, if any, that Employee must meet or exceed in order to become eligible for bonus compensation shall be determined by Employer in Employer's sole discretion, and disclosed to Employee before or at the commencement of the period for which such goals may apply.</w:t>
      </w:r>
    </w:p>
    <w:p>
      <w:pPr>
        <w:spacing w:after="0" w:line="192" w:lineRule="exact"/>
        <w:rPr>
          <w:rFonts w:ascii="Arial" w:cs="Arial" w:eastAsia="Arial" w:hAnsi="Arial"/>
          <w:sz w:val="18"/>
          <w:szCs w:val="18"/>
          <w:color w:val="auto"/>
        </w:rPr>
      </w:pPr>
    </w:p>
    <w:p>
      <w:pPr>
        <w:ind w:left="540" w:right="140" w:firstLine="359"/>
        <w:spacing w:after="0" w:line="255" w:lineRule="auto"/>
        <w:tabs>
          <w:tab w:leader="none" w:pos="1174" w:val="left"/>
        </w:tabs>
        <w:numPr>
          <w:ilvl w:val="1"/>
          <w:numId w:val="245"/>
        </w:numPr>
        <w:rPr>
          <w:rFonts w:ascii="Arial" w:cs="Arial" w:eastAsia="Arial" w:hAnsi="Arial"/>
          <w:sz w:val="18"/>
          <w:szCs w:val="18"/>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Employer hereby covenants and agrees that it shall include Employee, if otherwise eligible, in 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plan, profit sharing plan, pension plan, retirement plan, disability or life insurance plan, medical and/or hospitalization plan, and any and all other benefit plan which may be placed in effect by Employer or any of its Affiliates for the benefit of Employer's employees during the Term. Unless prohibited by law or the terms of the applicable plan, Employee's eligibility for medical and/or hospitalization benefits shall commence on the Effective Date of this Agreement. Nothing in this Agreement shall limit Employer's or its Affiliates' ability to adopt, amend or terminate any such benefit plan at any time.</w:t>
      </w:r>
    </w:p>
    <w:p>
      <w:pPr>
        <w:spacing w:after="0" w:line="193" w:lineRule="exact"/>
        <w:rPr>
          <w:rFonts w:ascii="Arial" w:cs="Arial" w:eastAsia="Arial" w:hAnsi="Arial"/>
          <w:sz w:val="18"/>
          <w:szCs w:val="18"/>
          <w:color w:val="auto"/>
        </w:rPr>
      </w:pPr>
    </w:p>
    <w:p>
      <w:pPr>
        <w:ind w:left="540" w:right="40" w:firstLine="359"/>
        <w:spacing w:after="0" w:line="256" w:lineRule="auto"/>
        <w:tabs>
          <w:tab w:leader="none" w:pos="1184" w:val="left"/>
        </w:tabs>
        <w:numPr>
          <w:ilvl w:val="1"/>
          <w:numId w:val="245"/>
        </w:numPr>
        <w:rPr>
          <w:rFonts w:ascii="Arial" w:cs="Arial" w:eastAsia="Arial" w:hAnsi="Arial"/>
          <w:sz w:val="18"/>
          <w:szCs w:val="18"/>
          <w:color w:val="auto"/>
        </w:rPr>
      </w:pPr>
      <w:r>
        <w:rPr>
          <w:rFonts w:ascii="Arial" w:cs="Arial" w:eastAsia="Arial" w:hAnsi="Arial"/>
          <w:sz w:val="18"/>
          <w:szCs w:val="18"/>
          <w:b w:val="1"/>
          <w:bCs w:val="1"/>
          <w:color w:val="auto"/>
        </w:rPr>
        <w:t xml:space="preserve">EXPENSE REIMBURSEMENT. </w:t>
      </w:r>
      <w:r>
        <w:rPr>
          <w:rFonts w:ascii="Arial" w:cs="Arial" w:eastAsia="Arial" w:hAnsi="Arial"/>
          <w:sz w:val="18"/>
          <w:szCs w:val="18"/>
          <w:color w:val="auto"/>
        </w:rPr>
        <w:t>During the Term and provided the same are authorized in advance by Employer, Employer shall either pay</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reimburse Employee for Employee's reasonable expenses incurred for the benefit of Employer in accordance with Employer's general policy regarding reimbursement, as the same may be amended, modified or changed from time to time. Prior to such payment or reimbursement, Employee shall provide Employer with sufficient detailed invoices of such expenses in accordance with the then applicable guidelines of the Internal Revenue Service so as to entitle Employer to a deduction for such expenses.</w:t>
      </w:r>
    </w:p>
    <w:p>
      <w:pPr>
        <w:spacing w:after="0" w:line="192" w:lineRule="exact"/>
        <w:rPr>
          <w:rFonts w:ascii="Arial" w:cs="Arial" w:eastAsia="Arial" w:hAnsi="Arial"/>
          <w:sz w:val="18"/>
          <w:szCs w:val="18"/>
          <w:color w:val="auto"/>
        </w:rPr>
      </w:pPr>
    </w:p>
    <w:p>
      <w:pPr>
        <w:ind w:left="540" w:firstLine="359"/>
        <w:spacing w:after="0" w:line="258" w:lineRule="auto"/>
        <w:tabs>
          <w:tab w:leader="none" w:pos="1174" w:val="left"/>
        </w:tabs>
        <w:numPr>
          <w:ilvl w:val="1"/>
          <w:numId w:val="245"/>
        </w:numPr>
        <w:rPr>
          <w:rFonts w:ascii="Arial" w:cs="Arial" w:eastAsia="Arial" w:hAnsi="Arial"/>
          <w:sz w:val="18"/>
          <w:szCs w:val="18"/>
          <w:color w:val="auto"/>
        </w:rPr>
      </w:pPr>
      <w:r>
        <w:rPr>
          <w:rFonts w:ascii="Arial" w:cs="Arial" w:eastAsia="Arial" w:hAnsi="Arial"/>
          <w:sz w:val="18"/>
          <w:szCs w:val="18"/>
          <w:b w:val="1"/>
          <w:bCs w:val="1"/>
          <w:color w:val="auto"/>
        </w:rPr>
        <w:t xml:space="preserve">VACATIONS AND HOLIDAYS. </w:t>
      </w:r>
      <w:r>
        <w:rPr>
          <w:rFonts w:ascii="Arial" w:cs="Arial" w:eastAsia="Arial" w:hAnsi="Arial"/>
          <w:sz w:val="18"/>
          <w:szCs w:val="18"/>
          <w:color w:val="auto"/>
        </w:rPr>
        <w:t>Commencing as of the Effective Date of this Agreement, Employee shall be entitled to (i) annual paid</w:t>
      </w:r>
      <w:r>
        <w:rPr>
          <w:rFonts w:ascii="Arial" w:cs="Arial" w:eastAsia="Arial" w:hAnsi="Arial"/>
          <w:sz w:val="18"/>
          <w:szCs w:val="18"/>
          <w:b w:val="1"/>
          <w:bCs w:val="1"/>
          <w:color w:val="auto"/>
        </w:rPr>
        <w:t xml:space="preserve"> </w:t>
      </w:r>
      <w:r>
        <w:rPr>
          <w:rFonts w:ascii="Arial" w:cs="Arial" w:eastAsia="Arial" w:hAnsi="Arial"/>
          <w:sz w:val="18"/>
          <w:szCs w:val="18"/>
          <w:color w:val="auto"/>
        </w:rPr>
        <w:t>vacation leave in accordance with Employer's standard policy therefor to be taken at such times as selected by Employee and approved by Employer, but in no event less than two (2) weeks during any year of the Term, and (ii) paid holidays (or, at Employer's option, an equivalent number of paid days off) in accordance with Employer's standard policy therefor.</w:t>
      </w:r>
    </w:p>
    <w:p>
      <w:pPr>
        <w:spacing w:after="0" w:line="190" w:lineRule="exact"/>
        <w:rPr>
          <w:rFonts w:ascii="Arial" w:cs="Arial" w:eastAsia="Arial" w:hAnsi="Arial"/>
          <w:sz w:val="18"/>
          <w:szCs w:val="18"/>
          <w:color w:val="auto"/>
        </w:rPr>
      </w:pPr>
    </w:p>
    <w:p>
      <w:pPr>
        <w:ind w:left="660" w:hanging="301"/>
        <w:spacing w:after="0"/>
        <w:tabs>
          <w:tab w:leader="none" w:pos="6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LICENSING REQUIREMENTS.</w:t>
      </w:r>
    </w:p>
    <w:p>
      <w:pPr>
        <w:spacing w:after="0" w:line="231" w:lineRule="exact"/>
        <w:rPr>
          <w:rFonts w:ascii="Arial" w:cs="Arial" w:eastAsia="Arial" w:hAnsi="Arial"/>
          <w:sz w:val="18"/>
          <w:szCs w:val="18"/>
          <w:b w:val="1"/>
          <w:bCs w:val="1"/>
          <w:color w:val="auto"/>
        </w:rPr>
      </w:pPr>
    </w:p>
    <w:p>
      <w:pPr>
        <w:ind w:left="540" w:right="20" w:firstLine="359"/>
        <w:spacing w:after="0" w:line="291" w:lineRule="auto"/>
        <w:tabs>
          <w:tab w:leader="none" w:pos="1174" w:val="left"/>
        </w:tabs>
        <w:numPr>
          <w:ilvl w:val="1"/>
          <w:numId w:val="246"/>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this Agreement may be subject to the approval of one or more gaming regulatory authorities (the "</w:t>
      </w:r>
      <w:r>
        <w:rPr>
          <w:rFonts w:ascii="Arial" w:cs="Arial" w:eastAsia="Arial" w:hAnsi="Arial"/>
          <w:sz w:val="16"/>
          <w:szCs w:val="16"/>
          <w:b w:val="1"/>
          <w:bCs w:val="1"/>
          <w:color w:val="auto"/>
        </w:rPr>
        <w:t>Authorities</w:t>
      </w:r>
      <w:r>
        <w:rPr>
          <w:rFonts w:ascii="Arial" w:cs="Arial" w:eastAsia="Arial" w:hAnsi="Arial"/>
          <w:sz w:val="16"/>
          <w:szCs w:val="16"/>
          <w:color w:val="auto"/>
        </w:rPr>
        <w:t>") pursuant to the provisions of the relevant gaming regulatory statutes (the "</w:t>
      </w:r>
      <w:r>
        <w:rPr>
          <w:rFonts w:ascii="Arial" w:cs="Arial" w:eastAsia="Arial" w:hAnsi="Arial"/>
          <w:sz w:val="16"/>
          <w:szCs w:val="16"/>
          <w:b w:val="1"/>
          <w:bCs w:val="1"/>
          <w:color w:val="auto"/>
        </w:rPr>
        <w:t>Gaming Acts</w:t>
      </w:r>
      <w:r>
        <w:rPr>
          <w:rFonts w:ascii="Arial" w:cs="Arial" w:eastAsia="Arial" w:hAnsi="Arial"/>
          <w:sz w:val="16"/>
          <w:szCs w:val="16"/>
          <w:color w:val="auto"/>
        </w:rPr>
        <w:t>") and the regulations promulgated thereunder (the "</w:t>
      </w:r>
      <w:r>
        <w:rPr>
          <w:rFonts w:ascii="Arial" w:cs="Arial" w:eastAsia="Arial" w:hAnsi="Arial"/>
          <w:sz w:val="16"/>
          <w:szCs w:val="16"/>
          <w:b w:val="1"/>
          <w:bCs w:val="1"/>
          <w:color w:val="auto"/>
        </w:rPr>
        <w:t>Gaming Regulations</w:t>
      </w:r>
      <w:r>
        <w:rPr>
          <w:rFonts w:ascii="Arial" w:cs="Arial" w:eastAsia="Arial" w:hAnsi="Arial"/>
          <w:sz w:val="16"/>
          <w:szCs w:val="16"/>
          <w:color w:val="auto"/>
        </w:rPr>
        <w:t>"). Employer and Employee hereby covenant and agree to use their best efforts to obtain any and all approvals required by the Gaming Acts and/or Gaming Regulations. In the event that (i) an approval of this Agreement by the Authorities is required for Employee to carry out his duties and responsibilities set forth in Section 4 of this Agreement, (ii) Employer and Employee have used their best efforts to obtain such approval, and (iii) this Agreement is not so approved by the Authorities, then this Agreement shall immediately terminate and shall be null and void.</w:t>
      </w:r>
    </w:p>
    <w:p>
      <w:pPr>
        <w:spacing w:after="0" w:line="174" w:lineRule="exact"/>
        <w:rPr>
          <w:rFonts w:ascii="Arial" w:cs="Arial" w:eastAsia="Arial" w:hAnsi="Arial"/>
          <w:sz w:val="16"/>
          <w:szCs w:val="16"/>
          <w:color w:val="auto"/>
        </w:rPr>
      </w:pPr>
    </w:p>
    <w:p>
      <w:pPr>
        <w:ind w:left="540" w:right="60" w:firstLine="359"/>
        <w:spacing w:after="0" w:line="256" w:lineRule="auto"/>
        <w:tabs>
          <w:tab w:leader="none" w:pos="1184"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If applicable, Employer and Employee hereby covenant and agree that, in order for Employee to discharge the duties required under this Agreement, Employee may be required to apply for or hold a license, registration, permit or other approval (the "</w:t>
      </w:r>
      <w:r>
        <w:rPr>
          <w:rFonts w:ascii="Arial" w:cs="Arial" w:eastAsia="Arial" w:hAnsi="Arial"/>
          <w:sz w:val="18"/>
          <w:szCs w:val="18"/>
          <w:b w:val="1"/>
          <w:bCs w:val="1"/>
          <w:color w:val="auto"/>
        </w:rPr>
        <w:t>License</w:t>
      </w:r>
      <w:r>
        <w:rPr>
          <w:rFonts w:ascii="Arial" w:cs="Arial" w:eastAsia="Arial" w:hAnsi="Arial"/>
          <w:sz w:val="18"/>
          <w:szCs w:val="18"/>
          <w:color w:val="auto"/>
        </w:rPr>
        <w:t>") as issued by the Authorities pursuant to the terms of the relevant Gaming Act and as otherwise required by this Agreement. In the event Employee fails to apply for and secure, or the Authorities refuse to issue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or renew Employee's License, Employee, at Employer's sole cost and expense, shall promptly defend such action and shall take such reasonable steps as may be required to either remove the objections or secure the Authorities' approval, respectively. The foregoing notwithstanding, if the source of the objections or the Authorities' refusal to renew Employee's License arise as a result of any of the events described in Subsection 1(c) of this Agreement, then Employer's obligations under this Section 9 shall not be operative and Employee shall promptly reimburse Employer upon demand for any expenses incurred by Employer pursuant to this Section 9.</w:t>
      </w:r>
    </w:p>
    <w:p>
      <w:pPr>
        <w:spacing w:after="0" w:line="197" w:lineRule="exact"/>
        <w:rPr>
          <w:sz w:val="20"/>
          <w:szCs w:val="20"/>
          <w:color w:val="auto"/>
        </w:rPr>
      </w:pPr>
    </w:p>
    <w:p>
      <w:pPr>
        <w:ind w:left="540" w:right="180" w:firstLine="359"/>
        <w:spacing w:after="0" w:line="268" w:lineRule="auto"/>
        <w:tabs>
          <w:tab w:leader="none" w:pos="117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Section 9 shall apply in the event Employee's duties require that Employee also be licensed by governmental agencies other than the Authorities.</w:t>
      </w:r>
    </w:p>
    <w:p>
      <w:pPr>
        <w:sectPr>
          <w:pgSz w:w="11900" w:h="16838" w:orient="portrait"/>
          <w:cols w:equalWidth="0" w:num="1">
            <w:col w:w="11400"/>
          </w:cols>
          <w:pgMar w:left="240" w:top="131" w:right="259" w:bottom="0" w:gutter="0" w:footer="0" w:header="0"/>
        </w:sectPr>
      </w:pPr>
    </w:p>
    <w:bookmarkStart w:id="158" w:name="page159"/>
    <w:bookmarkEnd w:id="158"/>
    <w:p>
      <w:pPr>
        <w:ind w:firstLine="359"/>
        <w:spacing w:after="0" w:line="288" w:lineRule="auto"/>
        <w:tabs>
          <w:tab w:leader="none" w:pos="658" w:val="left"/>
        </w:tabs>
        <w:numPr>
          <w:ilvl w:val="0"/>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CONFIDENTIALITY. </w:t>
      </w:r>
      <w:r>
        <w:rPr>
          <w:rFonts w:ascii="Arial" w:cs="Arial" w:eastAsia="Arial" w:hAnsi="Arial"/>
          <w:sz w:val="16"/>
          <w:szCs w:val="16"/>
          <w:color w:val="auto"/>
        </w:rPr>
        <w:t>Employee hereby warrants, covenants and agrees that, without the prior express written approval of Employer, Employee shall</w:t>
      </w:r>
      <w:r>
        <w:rPr>
          <w:rFonts w:ascii="Arial" w:cs="Arial" w:eastAsia="Arial" w:hAnsi="Arial"/>
          <w:sz w:val="16"/>
          <w:szCs w:val="16"/>
          <w:b w:val="1"/>
          <w:bCs w:val="1"/>
          <w:color w:val="auto"/>
        </w:rPr>
        <w:t xml:space="preserve"> </w:t>
      </w:r>
      <w:r>
        <w:rPr>
          <w:rFonts w:ascii="Arial" w:cs="Arial" w:eastAsia="Arial" w:hAnsi="Arial"/>
          <w:sz w:val="16"/>
          <w:szCs w:val="16"/>
          <w:color w:val="auto"/>
        </w:rPr>
        <w:t>hold in the strictest confidence, and shall not disclose to any person, firm, corporation or other entity, any and all of Employer's confidential data, including but not limited to (a) information, drawings, sketches, plans or other documents concerning Employer's business or development plans, customers or suppliers or those of Employer's Affiliates; (b) Employer's or its Affiliates' development, design, construction or sales and marketing methods or techniques; or (c) Employer's trade secrets and other "know-how" or information not of a public nature, regardless of how such information came to the custody of Employee. For purposes of this Agreement, such confidential information shall include, but not be limited to, information, including a formula, pattern, compilation, program, device, method, technique or process, that (x) derives independent economic value, present or potential, from not being generally known to, and not being readily ascertainable by proper means by, other persons who can obtain economic value from its disclosure or use, and (y) is the subject of efforts that are reasonable under the circumstances to maintain its secrecy. The warranty, covenant and agreement set forth in this Section 10 shall not expire, shall survive this Agreement, and shall be binding upon Employee without regard to the passage of time or other events.</w:t>
      </w:r>
    </w:p>
    <w:p>
      <w:pPr>
        <w:spacing w:after="0" w:line="169" w:lineRule="exact"/>
        <w:rPr>
          <w:rFonts w:ascii="Arial" w:cs="Arial" w:eastAsia="Arial" w:hAnsi="Arial"/>
          <w:sz w:val="16"/>
          <w:szCs w:val="16"/>
          <w:b w:val="1"/>
          <w:bCs w:val="1"/>
          <w:color w:val="auto"/>
        </w:rPr>
      </w:pPr>
    </w:p>
    <w:p>
      <w:pPr>
        <w:ind w:left="660" w:hanging="301"/>
        <w:spacing w:after="0"/>
        <w:tabs>
          <w:tab w:leader="none" w:pos="6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COVENANT/NO SOLICITATION.</w:t>
      </w:r>
    </w:p>
    <w:p>
      <w:pPr>
        <w:spacing w:after="0" w:line="231" w:lineRule="exact"/>
        <w:rPr>
          <w:rFonts w:ascii="Arial" w:cs="Arial" w:eastAsia="Arial" w:hAnsi="Arial"/>
          <w:sz w:val="18"/>
          <w:szCs w:val="18"/>
          <w:b w:val="1"/>
          <w:bCs w:val="1"/>
          <w:color w:val="auto"/>
        </w:rPr>
      </w:pPr>
    </w:p>
    <w:p>
      <w:pPr>
        <w:ind w:left="540" w:right="80" w:firstLine="359"/>
        <w:spacing w:after="0" w:line="288" w:lineRule="auto"/>
        <w:tabs>
          <w:tab w:leader="none" w:pos="1174" w:val="left"/>
        </w:tabs>
        <w:numPr>
          <w:ilvl w:val="1"/>
          <w:numId w:val="248"/>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longer period so long as Employer pays to Employee the compensation set forth in Subsection 8(a) of this Agreement, Employee shall not directly or indirectly, either as a principal, agent, employee, employer, consultant, partner, member of a limited liability company, shareholder of a closely held corporation, or shareholder in excess of two (2%) per cent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Employer's Affiliates, in or about any market in which Employer or Employer's Affiliates have or have publicly announced a plan for hotel or gaming operations. Employee hereby further covenants and agrees that the restrictive covenant contained in this Section 11 is reasonable as to duration, terms and geographical area and that the same protects the legitimate interests of Employer, imposes no undue hardship on Employee, and is not injurious to the public.</w:t>
      </w:r>
    </w:p>
    <w:p>
      <w:pPr>
        <w:spacing w:after="0" w:line="173" w:lineRule="exact"/>
        <w:rPr>
          <w:rFonts w:ascii="Arial" w:cs="Arial" w:eastAsia="Arial" w:hAnsi="Arial"/>
          <w:sz w:val="16"/>
          <w:szCs w:val="16"/>
          <w:color w:val="auto"/>
        </w:rPr>
      </w:pPr>
    </w:p>
    <w:p>
      <w:pPr>
        <w:ind w:left="540" w:right="180" w:firstLine="359"/>
        <w:spacing w:after="0" w:line="255" w:lineRule="auto"/>
        <w:tabs>
          <w:tab w:leader="none" w:pos="118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during the Term and for a period of one (1) year following the expiration of the Term, Employee shall not directly or indirectly, and Employee shall not suffer others to,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hotel or gaming operations.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359"/>
        <w:spacing w:after="0" w:line="275" w:lineRule="auto"/>
        <w:tabs>
          <w:tab w:leader="none" w:pos="658"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BEST EVIDENCE.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an original.</w:t>
      </w:r>
    </w:p>
    <w:p>
      <w:pPr>
        <w:spacing w:after="0" w:line="173" w:lineRule="exact"/>
        <w:rPr>
          <w:rFonts w:ascii="Arial" w:cs="Arial" w:eastAsia="Arial" w:hAnsi="Arial"/>
          <w:sz w:val="18"/>
          <w:szCs w:val="18"/>
          <w:b w:val="1"/>
          <w:bCs w:val="1"/>
          <w:color w:val="auto"/>
        </w:rPr>
      </w:pPr>
    </w:p>
    <w:p>
      <w:pPr>
        <w:ind w:left="660" w:hanging="301"/>
        <w:spacing w:after="0"/>
        <w:tabs>
          <w:tab w:leader="none" w:pos="660" w:val="left"/>
        </w:tabs>
        <w:numPr>
          <w:ilvl w:val="0"/>
          <w:numId w:val="2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SUCCESSION.  </w:t>
      </w:r>
      <w:r>
        <w:rPr>
          <w:rFonts w:ascii="Arial" w:cs="Arial" w:eastAsia="Arial" w:hAnsi="Arial"/>
          <w:sz w:val="16"/>
          <w:szCs w:val="16"/>
          <w:color w:val="auto"/>
        </w:rPr>
        <w:t>This Agreement shall be binding upon and inure to the benefit of Employer and Employee and their respective successors and</w:t>
      </w:r>
    </w:p>
    <w:p>
      <w:pPr>
        <w:spacing w:after="0" w:line="4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assigns.</w:t>
      </w:r>
    </w:p>
    <w:p>
      <w:pPr>
        <w:spacing w:after="0" w:line="212" w:lineRule="exact"/>
        <w:rPr>
          <w:rFonts w:ascii="Arial" w:cs="Arial" w:eastAsia="Arial" w:hAnsi="Arial"/>
          <w:sz w:val="16"/>
          <w:szCs w:val="16"/>
          <w:b w:val="1"/>
          <w:bCs w:val="1"/>
          <w:color w:val="auto"/>
        </w:rPr>
      </w:pPr>
    </w:p>
    <w:p>
      <w:pPr>
        <w:jc w:val="both"/>
        <w:ind w:right="180" w:firstLine="359"/>
        <w:spacing w:after="0" w:line="262" w:lineRule="auto"/>
        <w:tabs>
          <w:tab w:leader="none" w:pos="649"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w:t>
      </w:r>
      <w:r>
        <w:rPr>
          <w:rFonts w:ascii="Arial" w:cs="Arial" w:eastAsia="Arial" w:hAnsi="Arial"/>
          <w:sz w:val="18"/>
          <w:szCs w:val="18"/>
          <w:color w:val="auto"/>
        </w:rPr>
        <w:t>Employee shall not assign this Agreement nor delegate his duties hereunder without the express written prior consent of Employer</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Any purported assignment by Employee in violation of this Section 14 shall be null and void and of no force or effect. Employer shall have the right to assign this Agreement freely.</w:t>
      </w:r>
    </w:p>
    <w:p>
      <w:pPr>
        <w:spacing w:after="0" w:line="186" w:lineRule="exact"/>
        <w:rPr>
          <w:rFonts w:ascii="Arial" w:cs="Arial" w:eastAsia="Arial" w:hAnsi="Arial"/>
          <w:sz w:val="18"/>
          <w:szCs w:val="18"/>
          <w:b w:val="1"/>
          <w:bCs w:val="1"/>
          <w:color w:val="auto"/>
        </w:rPr>
      </w:pPr>
    </w:p>
    <w:p>
      <w:pPr>
        <w:ind w:right="400" w:firstLine="359"/>
        <w:spacing w:after="0" w:line="275" w:lineRule="auto"/>
        <w:tabs>
          <w:tab w:leader="none" w:pos="649"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OR MODIFICATION.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and Employee.</w:t>
      </w:r>
    </w:p>
    <w:p>
      <w:pPr>
        <w:spacing w:after="0" w:line="173" w:lineRule="exact"/>
        <w:rPr>
          <w:rFonts w:ascii="Arial" w:cs="Arial" w:eastAsia="Arial" w:hAnsi="Arial"/>
          <w:sz w:val="18"/>
          <w:szCs w:val="18"/>
          <w:b w:val="1"/>
          <w:bCs w:val="1"/>
          <w:color w:val="auto"/>
        </w:rPr>
      </w:pPr>
    </w:p>
    <w:p>
      <w:pPr>
        <w:ind w:right="60" w:firstLine="359"/>
        <w:spacing w:after="0" w:line="275" w:lineRule="auto"/>
        <w:tabs>
          <w:tab w:leader="none" w:pos="658"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in accordance with the laws of the jurisdiction where Employer's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place of business is located in effect on the Effective Date of this Agreement, without regard to conflicts of law principles.</w:t>
      </w:r>
    </w:p>
    <w:p>
      <w:pPr>
        <w:spacing w:after="0" w:line="173" w:lineRule="exact"/>
        <w:rPr>
          <w:rFonts w:ascii="Arial" w:cs="Arial" w:eastAsia="Arial" w:hAnsi="Arial"/>
          <w:sz w:val="18"/>
          <w:szCs w:val="18"/>
          <w:b w:val="1"/>
          <w:bCs w:val="1"/>
          <w:color w:val="auto"/>
        </w:rPr>
      </w:pPr>
    </w:p>
    <w:p>
      <w:pPr>
        <w:ind w:right="200" w:firstLine="359"/>
        <w:spacing w:after="0" w:line="275" w:lineRule="auto"/>
        <w:tabs>
          <w:tab w:leader="none" w:pos="658"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requested, addressed to:</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208"/>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 EMPLOYER:</w:t>
            </w:r>
          </w:p>
        </w:tc>
        <w:tc>
          <w:tcPr>
            <w:tcW w:w="50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Valvino Lamore, LLC</w:t>
            </w:r>
          </w:p>
        </w:tc>
      </w:tr>
      <w:tr>
        <w:trPr>
          <w:trHeight w:val="216"/>
        </w:trPr>
        <w:tc>
          <w:tcPr>
            <w:tcW w:w="2940" w:type="dxa"/>
            <w:vAlign w:val="bottom"/>
            <w:shd w:val="clear" w:color="auto" w:fill="CCEEFF"/>
          </w:tcPr>
          <w:p>
            <w:pPr>
              <w:spacing w:after="0"/>
              <w:rPr>
                <w:sz w:val="18"/>
                <w:szCs w:val="18"/>
                <w:color w:val="auto"/>
              </w:rPr>
            </w:pPr>
          </w:p>
        </w:tc>
        <w:tc>
          <w:tcPr>
            <w:tcW w:w="50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3145 Las Vegas Boulevard South</w:t>
            </w:r>
          </w:p>
        </w:tc>
      </w:tr>
      <w:tr>
        <w:trPr>
          <w:trHeight w:val="216"/>
        </w:trPr>
        <w:tc>
          <w:tcPr>
            <w:tcW w:w="2940" w:type="dxa"/>
            <w:vAlign w:val="bottom"/>
            <w:shd w:val="clear" w:color="auto" w:fill="CCEEFF"/>
          </w:tcPr>
          <w:p>
            <w:pPr>
              <w:spacing w:after="0"/>
              <w:rPr>
                <w:sz w:val="18"/>
                <w:szCs w:val="18"/>
                <w:color w:val="auto"/>
              </w:rPr>
            </w:pPr>
          </w:p>
        </w:tc>
        <w:tc>
          <w:tcPr>
            <w:tcW w:w="50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Las Vegas, Nevada 89109</w:t>
            </w:r>
          </w:p>
        </w:tc>
      </w:tr>
      <w:tr>
        <w:trPr>
          <w:trHeight w:val="224"/>
        </w:trPr>
        <w:tc>
          <w:tcPr>
            <w:tcW w:w="2940" w:type="dxa"/>
            <w:vAlign w:val="bottom"/>
            <w:shd w:val="clear" w:color="auto" w:fill="CCEEFF"/>
          </w:tcPr>
          <w:p>
            <w:pPr>
              <w:spacing w:after="0"/>
              <w:rPr>
                <w:sz w:val="19"/>
                <w:szCs w:val="19"/>
                <w:color w:val="auto"/>
              </w:rPr>
            </w:pPr>
          </w:p>
        </w:tc>
        <w:tc>
          <w:tcPr>
            <w:tcW w:w="50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Attn: Human Resources</w:t>
            </w:r>
          </w:p>
        </w:tc>
      </w:tr>
      <w:tr>
        <w:trPr>
          <w:trHeight w:val="424"/>
        </w:trPr>
        <w:tc>
          <w:tcPr>
            <w:tcW w:w="2940" w:type="dxa"/>
            <w:vAlign w:val="bottom"/>
          </w:tcPr>
          <w:p>
            <w:pPr>
              <w:spacing w:after="0"/>
              <w:rPr>
                <w:sz w:val="20"/>
                <w:szCs w:val="20"/>
                <w:color w:val="auto"/>
              </w:rPr>
            </w:pPr>
            <w:r>
              <w:rPr>
                <w:rFonts w:ascii="Arial" w:cs="Arial" w:eastAsia="Arial" w:hAnsi="Arial"/>
                <w:sz w:val="18"/>
                <w:szCs w:val="18"/>
                <w:color w:val="auto"/>
              </w:rPr>
              <w:t>WITH A COPY</w:t>
            </w:r>
          </w:p>
        </w:tc>
        <w:tc>
          <w:tcPr>
            <w:tcW w:w="5040" w:type="dxa"/>
            <w:vAlign w:val="bottom"/>
          </w:tcPr>
          <w:p>
            <w:pPr>
              <w:ind w:left="1200"/>
              <w:spacing w:after="0"/>
              <w:rPr>
                <w:sz w:val="20"/>
                <w:szCs w:val="20"/>
                <w:color w:val="auto"/>
              </w:rPr>
            </w:pPr>
            <w:r>
              <w:rPr>
                <w:rFonts w:ascii="Arial" w:cs="Arial" w:eastAsia="Arial" w:hAnsi="Arial"/>
                <w:sz w:val="18"/>
                <w:szCs w:val="18"/>
                <w:color w:val="auto"/>
              </w:rPr>
              <w:t>Wynn Resorts, LLC</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THAT SHALL NOT BE</w:t>
            </w:r>
          </w:p>
        </w:tc>
        <w:tc>
          <w:tcPr>
            <w:tcW w:w="5040" w:type="dxa"/>
            <w:vAlign w:val="bottom"/>
          </w:tcPr>
          <w:p>
            <w:pPr>
              <w:ind w:left="1200"/>
              <w:spacing w:after="0"/>
              <w:rPr>
                <w:sz w:val="20"/>
                <w:szCs w:val="20"/>
                <w:color w:val="auto"/>
              </w:rPr>
            </w:pPr>
            <w:r>
              <w:rPr>
                <w:rFonts w:ascii="Arial" w:cs="Arial" w:eastAsia="Arial" w:hAnsi="Arial"/>
                <w:sz w:val="18"/>
                <w:szCs w:val="18"/>
                <w:color w:val="auto"/>
              </w:rPr>
              <w:t>3145 Las Vegas Boulevard South</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NOTICE TO:</w:t>
            </w:r>
          </w:p>
        </w:tc>
        <w:tc>
          <w:tcPr>
            <w:tcW w:w="5040" w:type="dxa"/>
            <w:vAlign w:val="bottom"/>
          </w:tcPr>
          <w:p>
            <w:pPr>
              <w:ind w:left="1200"/>
              <w:spacing w:after="0"/>
              <w:rPr>
                <w:sz w:val="20"/>
                <w:szCs w:val="20"/>
                <w:color w:val="auto"/>
              </w:rPr>
            </w:pPr>
            <w:r>
              <w:rPr>
                <w:rFonts w:ascii="Arial" w:cs="Arial" w:eastAsia="Arial" w:hAnsi="Arial"/>
                <w:sz w:val="18"/>
                <w:szCs w:val="18"/>
                <w:color w:val="auto"/>
              </w:rPr>
              <w:t>Las Vegas, Nevada 89109</w:t>
            </w:r>
          </w:p>
        </w:tc>
      </w:tr>
      <w:tr>
        <w:trPr>
          <w:trHeight w:val="223"/>
        </w:trPr>
        <w:tc>
          <w:tcPr>
            <w:tcW w:w="2940" w:type="dxa"/>
            <w:vAlign w:val="bottom"/>
          </w:tcPr>
          <w:p>
            <w:pPr>
              <w:spacing w:after="0"/>
              <w:rPr>
                <w:sz w:val="19"/>
                <w:szCs w:val="19"/>
                <w:color w:val="auto"/>
              </w:rPr>
            </w:pPr>
          </w:p>
        </w:tc>
        <w:tc>
          <w:tcPr>
            <w:tcW w:w="5040" w:type="dxa"/>
            <w:vAlign w:val="bottom"/>
          </w:tcPr>
          <w:p>
            <w:pPr>
              <w:ind w:left="1200"/>
              <w:spacing w:after="0"/>
              <w:rPr>
                <w:sz w:val="20"/>
                <w:szCs w:val="20"/>
                <w:color w:val="auto"/>
              </w:rPr>
            </w:pPr>
            <w:r>
              <w:rPr>
                <w:rFonts w:ascii="Arial" w:cs="Arial" w:eastAsia="Arial" w:hAnsi="Arial"/>
                <w:sz w:val="18"/>
                <w:szCs w:val="18"/>
                <w:color w:val="auto"/>
              </w:rPr>
              <w:t>Attn: Legal Department</w:t>
            </w:r>
          </w:p>
        </w:tc>
      </w:tr>
      <w:tr>
        <w:trPr>
          <w:trHeight w:val="425"/>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 EMPLOYEE:</w:t>
            </w:r>
          </w:p>
        </w:tc>
        <w:tc>
          <w:tcPr>
            <w:tcW w:w="50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Matt Maddox</w:t>
            </w:r>
          </w:p>
        </w:tc>
      </w:tr>
      <w:tr>
        <w:trPr>
          <w:trHeight w:val="216"/>
        </w:trPr>
        <w:tc>
          <w:tcPr>
            <w:tcW w:w="2940" w:type="dxa"/>
            <w:vAlign w:val="bottom"/>
            <w:shd w:val="clear" w:color="auto" w:fill="CCEEFF"/>
          </w:tcPr>
          <w:p>
            <w:pPr>
              <w:spacing w:after="0"/>
              <w:rPr>
                <w:sz w:val="18"/>
                <w:szCs w:val="18"/>
                <w:color w:val="auto"/>
              </w:rPr>
            </w:pPr>
          </w:p>
        </w:tc>
        <w:tc>
          <w:tcPr>
            <w:tcW w:w="50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10164 Birch Bluff Lane</w:t>
            </w:r>
          </w:p>
        </w:tc>
      </w:tr>
      <w:tr>
        <w:trPr>
          <w:trHeight w:val="224"/>
        </w:trPr>
        <w:tc>
          <w:tcPr>
            <w:tcW w:w="2940" w:type="dxa"/>
            <w:vAlign w:val="bottom"/>
            <w:shd w:val="clear" w:color="auto" w:fill="CCEEFF"/>
          </w:tcPr>
          <w:p>
            <w:pPr>
              <w:spacing w:after="0"/>
              <w:rPr>
                <w:sz w:val="19"/>
                <w:szCs w:val="19"/>
                <w:color w:val="auto"/>
              </w:rPr>
            </w:pPr>
          </w:p>
        </w:tc>
        <w:tc>
          <w:tcPr>
            <w:tcW w:w="50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Las Vegas, NV 89145</w:t>
            </w:r>
          </w:p>
        </w:tc>
      </w:tr>
    </w:tbl>
    <w:p>
      <w:pPr>
        <w:spacing w:after="0" w:line="20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133" w:lineRule="exact"/>
        <w:rPr>
          <w:sz w:val="20"/>
          <w:szCs w:val="20"/>
          <w:color w:val="auto"/>
        </w:rPr>
      </w:pPr>
    </w:p>
    <w:p>
      <w:pPr>
        <w:ind w:right="420" w:firstLine="359"/>
        <w:spacing w:after="0" w:line="275" w:lineRule="auto"/>
        <w:tabs>
          <w:tab w:leader="none" w:pos="658"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INTERPRETATION. </w:t>
      </w:r>
      <w:r>
        <w:rPr>
          <w:rFonts w:ascii="Arial" w:cs="Arial" w:eastAsia="Arial" w:hAnsi="Arial"/>
          <w:sz w:val="18"/>
          <w:szCs w:val="18"/>
          <w:color w:val="auto"/>
        </w:rPr>
        <w:t>The preamble recitals to this Agreement are incorporated into and made a part of this Agreement; titles of sections are for</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 only and are not to be considered a part of this Agreement.</w:t>
      </w:r>
    </w:p>
    <w:p>
      <w:pPr>
        <w:spacing w:after="0" w:line="173" w:lineRule="exact"/>
        <w:rPr>
          <w:rFonts w:ascii="Arial" w:cs="Arial" w:eastAsia="Arial" w:hAnsi="Arial"/>
          <w:sz w:val="18"/>
          <w:szCs w:val="18"/>
          <w:b w:val="1"/>
          <w:bCs w:val="1"/>
          <w:color w:val="auto"/>
        </w:rPr>
      </w:pPr>
    </w:p>
    <w:p>
      <w:pPr>
        <w:ind w:right="40" w:firstLine="359"/>
        <w:spacing w:after="0" w:line="339" w:lineRule="auto"/>
        <w:tabs>
          <w:tab w:leader="none" w:pos="658" w:val="left"/>
        </w:tabs>
        <w:numPr>
          <w:ilvl w:val="0"/>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ectPr>
          <w:pgSz w:w="11900" w:h="16838" w:orient="portrait"/>
          <w:cols w:equalWidth="0" w:num="1">
            <w:col w:w="11400"/>
          </w:cols>
          <w:pgMar w:left="240" w:top="125" w:right="259" w:bottom="0" w:gutter="0" w:footer="0" w:header="0"/>
        </w:sectPr>
      </w:pPr>
    </w:p>
    <w:bookmarkStart w:id="159" w:name="page160"/>
    <w:bookmarkEnd w:id="159"/>
    <w:p>
      <w:pPr>
        <w:ind w:right="60" w:firstLine="359"/>
        <w:spacing w:after="0" w:line="293" w:lineRule="auto"/>
        <w:tabs>
          <w:tab w:leader="none" w:pos="658"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DISPUTE RESOLUTION. </w:t>
      </w:r>
      <w:r>
        <w:rPr>
          <w:rFonts w:ascii="Arial" w:cs="Arial" w:eastAsia="Arial" w:hAnsi="Arial"/>
          <w:sz w:val="16"/>
          <w:szCs w:val="16"/>
          <w:color w:val="auto"/>
        </w:rPr>
        <w:t>Except for equitable actions seeking to enforce the provisions of Sections 10 and 11 of this Agreement, jurisdiction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venue for which is hereby granted to the court of general trial jurisdiction in the state and county where Employer's principal place of business is located, any and all claims, disputes, or controversies arising between the parties hereto regarding any of the terms of this Agreement or the breach thereof, on the written demand of either of the parties hereto, shall be submitted to and be determined by final and binding arbitration held in the state and county where Employer's principal place is located, in accordance with Employer's or Employer's Affiliates' arbitration policy governing employment disputes. This agreement to arbitrate shall be specifically enforceable in any court of competent jurisdiction.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359"/>
        <w:spacing w:after="0" w:line="262" w:lineRule="auto"/>
        <w:tabs>
          <w:tab w:leader="none" w:pos="655"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None of the terms of this Agreement, including this Section 21, or any term, right or remedy hereunder shall be deemed waived unless such</w:t>
      </w:r>
      <w:r>
        <w:rPr>
          <w:rFonts w:ascii="Arial" w:cs="Arial" w:eastAsia="Arial" w:hAnsi="Arial"/>
          <w:sz w:val="18"/>
          <w:szCs w:val="18"/>
          <w:b w:val="1"/>
          <w:bCs w:val="1"/>
          <w:color w:val="auto"/>
        </w:rPr>
        <w:t xml:space="preserve"> </w:t>
      </w:r>
      <w:r>
        <w:rPr>
          <w:rFonts w:ascii="Arial" w:cs="Arial" w:eastAsia="Arial" w:hAnsi="Arial"/>
          <w:sz w:val="18"/>
          <w:szCs w:val="18"/>
          <w:color w:val="auto"/>
        </w:rPr>
        <w:t>waiver is in writing and signed by the party to be charged therewith and in no event by reason of any failure to assert or delay in asserting any such term, right or remedy or similar term, right or remedy hereunder.</w:t>
      </w:r>
    </w:p>
    <w:p>
      <w:pPr>
        <w:spacing w:after="0" w:line="186" w:lineRule="exact"/>
        <w:rPr>
          <w:rFonts w:ascii="Arial" w:cs="Arial" w:eastAsia="Arial" w:hAnsi="Arial"/>
          <w:sz w:val="18"/>
          <w:szCs w:val="18"/>
          <w:b w:val="1"/>
          <w:bCs w:val="1"/>
          <w:color w:val="auto"/>
        </w:rPr>
      </w:pPr>
    </w:p>
    <w:p>
      <w:pPr>
        <w:ind w:right="160" w:firstLine="359"/>
        <w:spacing w:after="0" w:line="310" w:lineRule="auto"/>
        <w:tabs>
          <w:tab w:leader="none" w:pos="658" w:val="left"/>
        </w:tabs>
        <w:numPr>
          <w:ilvl w:val="0"/>
          <w:numId w:val="2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PAROL. </w:t>
      </w:r>
      <w:r>
        <w:rPr>
          <w:rFonts w:ascii="Arial" w:cs="Arial" w:eastAsia="Arial" w:hAnsi="Arial"/>
          <w:sz w:val="16"/>
          <w:szCs w:val="16"/>
          <w:color w:val="auto"/>
        </w:rPr>
        <w:t>This Agreement constitutes the entire agreement between Employer and Employee with respect to the subject matter hereto and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supersedes 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151" w:lineRule="exact"/>
        <w:rPr>
          <w:sz w:val="20"/>
          <w:szCs w:val="20"/>
          <w:color w:val="auto"/>
        </w:rPr>
      </w:pPr>
    </w:p>
    <w:p>
      <w:pPr>
        <w:ind w:right="100" w:firstLine="351"/>
        <w:spacing w:after="0" w:line="275" w:lineRule="auto"/>
        <w:rPr>
          <w:sz w:val="20"/>
          <w:szCs w:val="20"/>
          <w:color w:val="auto"/>
        </w:rPr>
      </w:pPr>
      <w:r>
        <w:rPr>
          <w:rFonts w:ascii="Arial" w:cs="Arial" w:eastAsia="Arial" w:hAnsi="Arial"/>
          <w:sz w:val="18"/>
          <w:szCs w:val="18"/>
          <w:b w:val="1"/>
          <w:b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year and date first above written.</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VALVINO LAMORE, LLC</w:t>
            </w:r>
          </w:p>
        </w:tc>
        <w:tc>
          <w:tcPr>
            <w:tcW w:w="2000" w:type="dxa"/>
            <w:vAlign w:val="bottom"/>
          </w:tcPr>
          <w:p>
            <w:pPr>
              <w:spacing w:after="0"/>
              <w:rPr>
                <w:sz w:val="19"/>
                <w:szCs w:val="19"/>
                <w:color w:val="auto"/>
              </w:rPr>
            </w:pPr>
          </w:p>
        </w:tc>
        <w:tc>
          <w:tcPr>
            <w:tcW w:w="5360" w:type="dxa"/>
            <w:vAlign w:val="bottom"/>
            <w:gridSpan w:val="2"/>
          </w:tcPr>
          <w:p>
            <w:pPr>
              <w:ind w:left="340"/>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Pr>
          <w:p>
            <w:pPr>
              <w:spacing w:after="0"/>
              <w:rPr>
                <w:sz w:val="20"/>
                <w:szCs w:val="20"/>
                <w:color w:val="auto"/>
              </w:rPr>
            </w:pPr>
            <w:r>
              <w:rPr>
                <w:rFonts w:ascii="Arial" w:cs="Arial" w:eastAsia="Arial" w:hAnsi="Arial"/>
                <w:sz w:val="18"/>
                <w:szCs w:val="18"/>
                <w:color w:val="auto"/>
              </w:rPr>
              <w:t>/s/ MARC SCHORR</w:t>
            </w:r>
          </w:p>
        </w:tc>
        <w:tc>
          <w:tcPr>
            <w:tcW w:w="2000" w:type="dxa"/>
            <w:vAlign w:val="bottom"/>
          </w:tcPr>
          <w:p>
            <w:pPr>
              <w:spacing w:after="0"/>
              <w:rPr>
                <w:sz w:val="24"/>
                <w:szCs w:val="24"/>
                <w:color w:val="auto"/>
              </w:rPr>
            </w:pP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/s/ MATT MADDOX</w:t>
            </w:r>
          </w:p>
        </w:tc>
      </w:tr>
      <w:tr>
        <w:trPr>
          <w:trHeight w:val="120"/>
        </w:trPr>
        <w:tc>
          <w:tcPr>
            <w:tcW w:w="920" w:type="dxa"/>
            <w:vAlign w:val="bottom"/>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r>
      <w:tr>
        <w:trPr>
          <w:trHeight w:val="319"/>
        </w:trPr>
        <w:tc>
          <w:tcPr>
            <w:tcW w:w="9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Matt Maddox</w:t>
            </w:r>
          </w:p>
        </w:tc>
      </w:tr>
      <w:tr>
        <w:trPr>
          <w:trHeight w:val="432"/>
        </w:trPr>
        <w:tc>
          <w:tcPr>
            <w:tcW w:w="9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0" w:type="dxa"/>
            <w:vAlign w:val="bottom"/>
          </w:tcPr>
          <w:p>
            <w:pPr>
              <w:jc w:val="right"/>
              <w:ind w:right="212"/>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-648970</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-648970</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-648970</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-648970</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Exhibit 10.23</w:t>
        </w:r>
      </w:hyperlink>
    </w:p>
    <w:p>
      <w:pPr>
        <w:spacing w:after="0" w:line="225" w:lineRule="exact"/>
        <w:rPr>
          <w:sz w:val="20"/>
          <w:szCs w:val="20"/>
          <w:color w:val="auto"/>
        </w:rPr>
      </w:pPr>
    </w:p>
    <w:p>
      <w:pPr>
        <w:ind w:right="880"/>
        <w:spacing w:after="0" w:line="268" w:lineRule="auto"/>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EMPLOYMENT AGREEMENT ("Agreement") -by and between- VALVINO LAMORE, LLC, ("Employer") -and- MATT MADDOX ("Employee")</w:t>
        </w:r>
      </w:hyperlink>
      <w:r>
        <w:rPr>
          <w:rFonts w:ascii="Arial" w:cs="Arial" w:eastAsia="Arial" w:hAnsi="Arial"/>
          <w:sz w:val="18"/>
          <w:szCs w:val="18"/>
          <w:u w:val="single" w:color="auto"/>
          <w:color w:val="0000EE"/>
        </w:rPr>
        <w:t xml:space="preserve"> </w:t>
      </w:r>
      <w:hyperlink w:anchor="page156">
        <w:r>
          <w:rPr>
            <w:rFonts w:ascii="Arial" w:cs="Arial" w:eastAsia="Arial" w:hAnsi="Arial"/>
            <w:sz w:val="18"/>
            <w:szCs w:val="18"/>
            <w:u w:val="single" w:color="auto"/>
            <w:color w:val="0000EE"/>
          </w:rPr>
          <w:t>WITNESSETH</w:t>
        </w:r>
      </w:hyperlink>
    </w:p>
    <w:p>
      <w:pPr>
        <w:sectPr>
          <w:pgSz w:w="11900" w:h="16838" w:orient="portrait"/>
          <w:cols w:equalWidth="0" w:num="1">
            <w:col w:w="11420"/>
          </w:cols>
          <w:pgMar w:left="240" w:top="125" w:right="239" w:bottom="1440" w:gutter="0" w:footer="0" w:header="0"/>
        </w:sectPr>
      </w:pPr>
    </w:p>
    <w:bookmarkStart w:id="160" w:name="page161"/>
    <w:bookmarkEnd w:id="160"/>
    <w:p>
      <w:pPr>
        <w:spacing w:after="0"/>
        <w:rPr>
          <w:rFonts w:ascii="Arial" w:cs="Arial" w:eastAsia="Arial" w:hAnsi="Arial"/>
          <w:sz w:val="22"/>
          <w:szCs w:val="22"/>
          <w:color w:val="0000EE"/>
        </w:rPr>
      </w:pPr>
      <w:hyperlink w:anchor="page18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10.24</w:t>
      </w:r>
    </w:p>
    <w:p>
      <w:pPr>
        <w:spacing w:after="0" w:line="24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CONCESSION CONTRACT FOR THE OPERATION</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OF GAMES OF CHANCE OR OTHER GAMES IN CASINOS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 THE MACAU SPECIAL ADMINISTRATIVE REGION</w:t>
      </w:r>
    </w:p>
    <w:p>
      <w:pPr>
        <w:spacing w:after="0" w:line="219" w:lineRule="exact"/>
        <w:rPr>
          <w:sz w:val="20"/>
          <w:szCs w:val="20"/>
          <w:color w:val="auto"/>
        </w:rPr>
      </w:pPr>
    </w:p>
    <w:p>
      <w:pPr>
        <w:ind w:right="80" w:firstLine="351"/>
        <w:spacing w:after="0" w:line="229" w:lineRule="auto"/>
        <w:rPr>
          <w:sz w:val="20"/>
          <w:szCs w:val="20"/>
          <w:color w:val="auto"/>
        </w:rPr>
      </w:pPr>
      <w:r>
        <w:rPr>
          <w:rFonts w:ascii="Arial" w:cs="Arial" w:eastAsia="Arial" w:hAnsi="Arial"/>
          <w:sz w:val="18"/>
          <w:szCs w:val="18"/>
          <w:color w:val="auto"/>
        </w:rPr>
        <w:t>On the 24th of June of the year 2002 in Macau and at the Seat of the Government of the Macau Special Administrative Region, at Avenida da Praia Grande, before me, Chu Iek Chong, licensed,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class technician of the Juridical Advisory Nucleus of the Finance Services Bureau, as alternate private notary of this Bureau in the absence of the head of this office, having been appointed by Dispatch number 216/2000 of the Head of the Executive, of 8 November, before me appeared as Parties:</w:t>
      </w:r>
    </w:p>
    <w:p>
      <w:pPr>
        <w:spacing w:after="0" w:line="204" w:lineRule="exact"/>
        <w:rPr>
          <w:sz w:val="20"/>
          <w:szCs w:val="20"/>
          <w:color w:val="auto"/>
        </w:rPr>
      </w:pPr>
    </w:p>
    <w:p>
      <w:pPr>
        <w:ind w:right="200" w:firstLine="351"/>
        <w:spacing w:after="0" w:line="262" w:lineRule="auto"/>
        <w:rPr>
          <w:sz w:val="20"/>
          <w:szCs w:val="20"/>
          <w:color w:val="auto"/>
        </w:rPr>
      </w:pPr>
      <w:r>
        <w:rPr>
          <w:rFonts w:ascii="Arial" w:cs="Arial" w:eastAsia="Arial" w:hAnsi="Arial"/>
          <w:sz w:val="18"/>
          <w:szCs w:val="18"/>
          <w:b w:val="1"/>
          <w:bCs w:val="1"/>
          <w:i w:val="1"/>
          <w:iCs w:val="1"/>
          <w:color w:val="auto"/>
        </w:rPr>
        <w:t xml:space="preserve">FIRST PARTY: </w:t>
      </w:r>
      <w:r>
        <w:rPr>
          <w:rFonts w:ascii="Arial" w:cs="Arial" w:eastAsia="Arial" w:hAnsi="Arial"/>
          <w:sz w:val="18"/>
          <w:szCs w:val="18"/>
          <w:b w:val="1"/>
          <w:bCs w:val="1"/>
          <w:color w:val="auto"/>
        </w:rPr>
        <w:t>The Macau Special Administrative Region,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represented by the Chief Executive, Ho Hau Wah, married, with professional address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Macau, at the Government House of the Macau Special Administrative Region, located at Avenida da Praia Grande, with the capacity and powers conferred for the present act by Article 45 of the Basic Law of the Macau Special Administrative Region.</w:t>
      </w:r>
    </w:p>
    <w:p>
      <w:pPr>
        <w:spacing w:after="0" w:line="194" w:lineRule="exact"/>
        <w:rPr>
          <w:sz w:val="20"/>
          <w:szCs w:val="20"/>
          <w:color w:val="auto"/>
        </w:rPr>
      </w:pPr>
    </w:p>
    <w:p>
      <w:pPr>
        <w:ind w:right="140" w:firstLine="351"/>
        <w:spacing w:after="0"/>
        <w:rPr>
          <w:sz w:val="20"/>
          <w:szCs w:val="20"/>
          <w:color w:val="auto"/>
        </w:rPr>
      </w:pPr>
      <w:r>
        <w:rPr>
          <w:rFonts w:ascii="Arial" w:cs="Arial" w:eastAsia="Arial" w:hAnsi="Arial"/>
          <w:sz w:val="17"/>
          <w:szCs w:val="17"/>
          <w:b w:val="1"/>
          <w:bCs w:val="1"/>
          <w:i w:val="1"/>
          <w:iCs w:val="1"/>
          <w:color w:val="auto"/>
        </w:rPr>
        <w:t xml:space="preserve">SECOND PARTY: </w:t>
      </w:r>
      <w:r>
        <w:rPr>
          <w:rFonts w:ascii="Arial" w:cs="Arial" w:eastAsia="Arial" w:hAnsi="Arial"/>
          <w:sz w:val="17"/>
          <w:szCs w:val="17"/>
          <w:b w:val="1"/>
          <w:bCs w:val="1"/>
          <w:color w:val="auto"/>
        </w:rPr>
        <w:t>Wynn Resorts (Macau), S.A.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head office in Macau, at Avenida da Amizade, number 918, "World Trade Centre" building, 8</w:t>
      </w:r>
      <w:r>
        <w:rPr>
          <w:rFonts w:ascii="Arial" w:cs="Arial" w:eastAsia="Arial" w:hAnsi="Arial"/>
          <w:sz w:val="28"/>
          <w:szCs w:val="28"/>
          <w:color w:val="auto"/>
          <w:vertAlign w:val="superscript"/>
        </w:rPr>
        <w:t>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floor "C", registered at the Commercial and Automobile Central Registry Office under the number 14917, represented in this present act by its director Stephen Alan Wynn, married and residing at One Shadow Creek Drive, Las Vegas North, State of Nevada, United States of America, the capacity and powers of whom I have verified by certificate issued by the above mentioned Central Registry Office, which I have filed.</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 verified the identity of the Parties by Passport No. 055142925, issued on 20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of January of 1998, by the San Francisco Passport Agency of United States of</w:t>
      </w:r>
    </w:p>
    <w:p>
      <w:pPr>
        <w:spacing w:after="0"/>
        <w:rPr>
          <w:sz w:val="20"/>
          <w:szCs w:val="20"/>
          <w:color w:val="auto"/>
        </w:rPr>
      </w:pPr>
      <w:r>
        <w:rPr>
          <w:rFonts w:ascii="Arial" w:cs="Arial" w:eastAsia="Arial" w:hAnsi="Arial"/>
          <w:sz w:val="18"/>
          <w:szCs w:val="18"/>
          <w:color w:val="auto"/>
        </w:rPr>
        <w:t>America. And for the first party, with the indicated capacity and powers, the following was stated:</w:t>
      </w:r>
    </w:p>
    <w:p>
      <w:pPr>
        <w:spacing w:after="0" w:line="211"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 public tender was opened by Dispatch number 217/2001 of the Chief Executive, for the granting of 3 (three) concessions for the operation of games of chance or other games in casinos;</w:t>
      </w:r>
    </w:p>
    <w:p>
      <w:pPr>
        <w:spacing w:after="0" w:line="18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public tender for the granting of 3 concessions for the operation of games of chance or other games in casinos had, as a first stage, the opening of the proposals for awarding, that was divided into two phases—the opening of the outward wrappings which were marked on the exterior with the indication "Documentos" and the opening of the outward wrappings which were marked on the exterior the indication "Propostas", which was followed by a phase of consultations for the presentation and analysis of the proposals for awarding, and ended with the preparation of a Documented Report, based on which the Chief Executive provisionally awarded the concessions for the operation of games of chance in casinos which were put up for tender;</w:t>
      </w:r>
    </w:p>
    <w:p>
      <w:pPr>
        <w:spacing w:after="0" w:line="170"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"Wynn Resorts (Macau), S.A." hereinafter designated as the concessionaire, was provisionally awarded by Dispatch number 26/2002 of the Chief Executive, one of the concessions for the operation of games of chance or other games in casinos, that were the subject of the tender;</w:t>
      </w:r>
    </w:p>
    <w:p>
      <w:pPr>
        <w:spacing w:after="0" w:line="139" w:lineRule="exact"/>
        <w:rPr>
          <w:sz w:val="20"/>
          <w:szCs w:val="20"/>
          <w:color w:val="auto"/>
        </w:rPr>
      </w:pPr>
    </w:p>
    <w:p>
      <w:pPr>
        <w:ind w:right="1020" w:firstLine="348"/>
        <w:spacing w:after="0" w:line="268" w:lineRule="auto"/>
        <w:rPr>
          <w:sz w:val="20"/>
          <w:szCs w:val="20"/>
          <w:color w:val="auto"/>
        </w:rPr>
      </w:pPr>
      <w:r>
        <w:rPr>
          <w:rFonts w:ascii="Arial" w:cs="Arial" w:eastAsia="Arial" w:hAnsi="Arial"/>
          <w:sz w:val="18"/>
          <w:szCs w:val="18"/>
          <w:color w:val="auto"/>
        </w:rPr>
        <w:t>The concessionaire deposited a bank guarantee to guarantee the fulfilment of its legal or contractual obligations, as per article 84, number 1, of Administrative Rule number 26/2001.</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Evidence was produced by the concessionaire to the Commission of the first public tender for the granting of concessions for the operation of games of chance in casinos that its capital stock, amounting to not less than MOP 200,000,000.00 (two hundred million patacas), is totally paid up in money and deposited in a local credit institution or in a branch or subsidiary of a credit institution authorized to operate in the Macau Special Administrative Region, under the terms of article 82, number 5, of Administrative Rule number 26/2001;</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minutes of the present concession contract for the operation of games of chance or other games in casinos in the Macau Special Administrative Region was approved by the concessionaire;</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concessionaire, the shareholders holding 5% or more of its capital stock and its directors have been submitted to a suitability verification process, which led to the preparation of a report stating their suitability;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concessionaire was submitted to verification process of its financial capacity to undertake a concession for the operation of games of chance or other games in casinos, which led to the preparation of a report stating that it has an adequate financial capacity;</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By Dispatch number 142/2002 of the Chief Executive, "Wynn Resorts (Macau), S.A." was awarded one of the concessions for the operation of games of chance or other games in casinos that were the subject of tender.</w:t>
      </w:r>
    </w:p>
    <w:p>
      <w:pPr>
        <w:spacing w:after="0" w:line="186"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And both Parties in their respective capacities said that the present administrative concession contract for the operation of games of chance or other games in casinos is mutually accepted and reciprocally agreed, being ruled by the conditions hereinafter described.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CHAPTER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Object, type and term of the concession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Object of the concession</w:t>
      </w:r>
    </w:p>
    <w:p>
      <w:pPr>
        <w:spacing w:after="0" w:line="21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ONE—The object of the concession awarded by the present concession contract is the operation of games of chance or other games in casinos in the Macau Special Administrative Region of the People's Republic of China, hereafter designated as the Macau Special Administrative Region or the grantee.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TWO—The concession does not cover the operation of:</w:t>
      </w:r>
    </w:p>
    <w:p>
      <w:pPr>
        <w:sectPr>
          <w:pgSz w:w="11900" w:h="16838" w:orient="portrait"/>
          <w:cols w:equalWidth="0" w:num="1">
            <w:col w:w="11400"/>
          </w:cols>
          <w:pgMar w:left="240" w:top="361" w:right="259" w:bottom="0" w:gutter="0" w:footer="0" w:header="0"/>
        </w:sectPr>
      </w:pPr>
    </w:p>
    <w:bookmarkStart w:id="161" w:name="page162"/>
    <w:bookmarkEnd w:id="161"/>
    <w:p>
      <w:pPr>
        <w:ind w:left="1080" w:hanging="532"/>
        <w:spacing w:after="0"/>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Mutual betting;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Operations offered to the public except as provided for in number 7 of article 3 of Law number 16/2001: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Interactive games;</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Games of chance or any other type of gaming, betting or operations on board ship or aircraft, except as established in paragraph 1) of number 3 and number 4 of article 5 of Law number 16/2001.</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Two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Objectives of the concession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concessionaire is committed to:</w:t>
      </w:r>
    </w:p>
    <w:p>
      <w:pPr>
        <w:spacing w:after="0" w:line="252" w:lineRule="exact"/>
        <w:rPr>
          <w:sz w:val="20"/>
          <w:szCs w:val="20"/>
          <w:color w:val="auto"/>
        </w:rPr>
      </w:pPr>
    </w:p>
    <w:p>
      <w:pPr>
        <w:ind w:left="1080" w:hanging="532"/>
        <w:spacing w:after="0"/>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Ensure the adequate operation and management of games of chance or other games in casinos;</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Employ in the management and operation of games of chance or other games in casinos, solely persons suitable for those functions and for assuming those responsibilities;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Manage and operate the games of chance or other games in casinos in a fair and honest manner, free of criminal influence; and</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Safeguard and protect the interests of the Macau Special Administrative Region in the receiving of taxes resultant from the operation of their casinos and other gaming areas.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Three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Applicable Law and proper jurisdiction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ONE—The present concession contract is exclusively governed by the law of the Macau Special Administrative Region.</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TWO—The concessionaire renounces litigation in any other jurisdiction outside of the Macau Special Administrative Region, as it recognizes and submits to the exclusive jurisdiction of the courts of the Macau Special Administrative Region to decide any litigation or conflicts of interests that may arise.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Four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with the legislation of the Macau Special Administrative Region</w:t>
      </w:r>
    </w:p>
    <w:p>
      <w:pPr>
        <w:spacing w:after="0" w:line="219"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The concessionaire shall comply with the applicable legislation applicable in the Macau Special Administrative Region, and shall renounce to invoke legislation from outside the Macau Special Administrative Region, namely in order to be considered exempt from fulfilling the obligations or the conduct to which it is committed.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Five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Participation in the operation of games of chance or any other games 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casinos in other jurisdictions</w:t>
      </w:r>
    </w:p>
    <w:p>
      <w:pPr>
        <w:spacing w:after="0" w:line="219"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ONE—If the Concessionaire engages in any licensing process or contract to operate casino gaming or other forms of gaming in any other jurisdictions, including the participation in operation merely through a management contract, it shall inform the Government of such engagement or contract. If the Concessionaire is aware that any of its directors, any of its controlling shareholders, including the ultimate controlling shareholder, or if any one who directly or indirectly holds 10% or over 10% of the company capital of the Concessionaire has the aforesaid engagement or contract, it shall also inform the Government immediately</w:t>
      </w:r>
      <w:r>
        <w:rPr>
          <w:rFonts w:ascii="Arial" w:cs="Arial" w:eastAsia="Arial" w:hAnsi="Arial"/>
          <w:sz w:val="18"/>
          <w:szCs w:val="18"/>
          <w:i w:val="1"/>
          <w:iCs w:val="1"/>
          <w:color w:val="auto"/>
        </w:rPr>
        <w:t>.</w:t>
      </w:r>
    </w:p>
    <w:p>
      <w:pPr>
        <w:spacing w:after="0" w:line="197"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TWO—For the purposes of the above the Concessionaire should submit to and inform the Government, or make due diligence to obtain, any documents, information or data that the Government may require as long such documents, information and data are not subject to confidentiality under the laws of the respective jurisdiction.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Six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Concession system</w:t>
      </w:r>
    </w:p>
    <w:p>
      <w:pPr>
        <w:spacing w:after="0" w:line="219" w:lineRule="exact"/>
        <w:rPr>
          <w:sz w:val="20"/>
          <w:szCs w:val="20"/>
          <w:color w:val="auto"/>
        </w:rPr>
      </w:pPr>
    </w:p>
    <w:p>
      <w:pPr>
        <w:ind w:right="260" w:firstLine="348"/>
        <w:spacing w:after="0" w:line="335" w:lineRule="auto"/>
        <w:rPr>
          <w:sz w:val="20"/>
          <w:szCs w:val="20"/>
          <w:color w:val="auto"/>
        </w:rPr>
      </w:pPr>
      <w:r>
        <w:rPr>
          <w:rFonts w:ascii="Arial" w:cs="Arial" w:eastAsia="Arial" w:hAnsi="Arial"/>
          <w:sz w:val="15"/>
          <w:szCs w:val="15"/>
          <w:color w:val="auto"/>
        </w:rPr>
        <w:t>The concession system is included in the legal framework, which comprises the juridical system for the operation of games of chance or other games in casinos, approved by Law number 16/2001, Administrative Rule number 26/2001, the rules for the operation of games of chance, namely those foreseen under article 55 of Law number 16/2001, and further complementary regulations of the referred Law number 16/2001, as well as the present concession contract.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Seven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Operation of the concession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concessionaire shall operate the concession under the terms and conditions established in the present concession contract.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Eight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of the concession</w:t>
      </w:r>
    </w:p>
    <w:p>
      <w:pPr>
        <w:spacing w:after="0" w:line="220" w:lineRule="exact"/>
        <w:rPr>
          <w:sz w:val="20"/>
          <w:szCs w:val="20"/>
          <w:color w:val="auto"/>
        </w:rPr>
      </w:pPr>
    </w:p>
    <w:p>
      <w:pPr>
        <w:ind w:right="20" w:firstLine="351"/>
        <w:spacing w:after="0" w:line="229" w:lineRule="auto"/>
        <w:rPr>
          <w:sz w:val="20"/>
          <w:szCs w:val="20"/>
          <w:color w:val="auto"/>
        </w:rPr>
      </w:pPr>
      <w:r>
        <w:rPr>
          <w:rFonts w:ascii="Arial" w:cs="Arial" w:eastAsia="Arial" w:hAnsi="Arial"/>
          <w:sz w:val="18"/>
          <w:szCs w:val="18"/>
          <w:color w:val="auto"/>
        </w:rPr>
        <w:t>ONE—The term of the concession granted under the present contract is of twenty years, beginning on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June of the year two thousand and two and terminating on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June of the year two thousand and twenty two.</w:t>
      </w:r>
    </w:p>
    <w:p>
      <w:pPr>
        <w:sectPr>
          <w:pgSz w:w="11900" w:h="16838" w:orient="portrait"/>
          <w:cols w:equalWidth="0" w:num="1">
            <w:col w:w="11420"/>
          </w:cols>
          <w:pgMar w:left="240" w:top="145" w:right="239" w:bottom="0" w:gutter="0" w:footer="0" w:header="0"/>
        </w:sectPr>
      </w:pPr>
    </w:p>
    <w:bookmarkStart w:id="162" w:name="page163"/>
    <w:bookmarkEnd w:id="162"/>
    <w:p>
      <w:pPr>
        <w:ind w:right="100" w:firstLine="348"/>
        <w:spacing w:after="0" w:line="268" w:lineRule="auto"/>
        <w:rPr>
          <w:sz w:val="20"/>
          <w:szCs w:val="20"/>
          <w:color w:val="auto"/>
        </w:rPr>
      </w:pPr>
      <w:r>
        <w:rPr>
          <w:rFonts w:ascii="Arial" w:cs="Arial" w:eastAsia="Arial" w:hAnsi="Arial"/>
          <w:sz w:val="18"/>
          <w:szCs w:val="18"/>
          <w:color w:val="auto"/>
        </w:rPr>
        <w:t>TWO—The provisions of the previous article do not inhibit the applicability of the clauses of the present concession contract that may last beyond the term of the concession.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CHAPTER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Locations for the operation and functioning of the casinos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other gaming areas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Nine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Locations for the operation of the concession</w:t>
      </w:r>
    </w:p>
    <w:p>
      <w:pPr>
        <w:spacing w:after="0" w:line="219"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ONE—In carrying out its activity, the concessionaire may only operate games of chance or other games, in casinos and other gaming areas previously authorized and classified by the Government.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TWO—The allocation of any other premises to the operation of the concession requires the authorization of the Government.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Ten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Types of games, gaming tables and electric or mechanic gaming machines</w:t>
      </w:r>
    </w:p>
    <w:p>
      <w:pPr>
        <w:spacing w:after="0" w:line="21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 xml:space="preserve">ONE—The concessionaire is authorized to operate all types of gaming established under number 3 of article 3 of Law number 16/2001, as well as other types of games authorized under the terms of numbers 4 and 5 of the same article. The concessionaire is furthermore authorized to operate any electrical or mechanical gaming machines, including </w:t>
      </w:r>
      <w:r>
        <w:rPr>
          <w:rFonts w:ascii="Arial" w:cs="Arial" w:eastAsia="Arial" w:hAnsi="Arial"/>
          <w:sz w:val="18"/>
          <w:szCs w:val="18"/>
          <w:i w:val="1"/>
          <w:iCs w:val="1"/>
          <w:color w:val="auto"/>
        </w:rPr>
        <w:t>"slot machines"</w:t>
      </w:r>
      <w:r>
        <w:rPr>
          <w:rFonts w:ascii="Arial" w:cs="Arial" w:eastAsia="Arial" w:hAnsi="Arial"/>
          <w:sz w:val="18"/>
          <w:szCs w:val="18"/>
          <w:color w:val="auto"/>
        </w:rPr>
        <w:t>, under the terms of the law.</w:t>
      </w:r>
    </w:p>
    <w:p>
      <w:pPr>
        <w:spacing w:after="0" w:line="19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 xml:space="preserve">TWO—The concessionaire shall annually submit, during the month of December, to the Games Supervision and Coordination Bureau, (Direcção de Inspecção e Coordenação de Jogos) hereinafter designated as DICJ, a list which shall specify the number of gaming tables and electrical or mechanical machines, including </w:t>
      </w:r>
      <w:r>
        <w:rPr>
          <w:rFonts w:ascii="Arial" w:cs="Arial" w:eastAsia="Arial" w:hAnsi="Arial"/>
          <w:sz w:val="16"/>
          <w:szCs w:val="16"/>
          <w:i w:val="1"/>
          <w:iCs w:val="1"/>
          <w:color w:val="auto"/>
        </w:rPr>
        <w:t>"slot machines</w:t>
      </w:r>
      <w:r>
        <w:rPr>
          <w:rFonts w:ascii="Arial" w:cs="Arial" w:eastAsia="Arial" w:hAnsi="Arial"/>
          <w:sz w:val="16"/>
          <w:szCs w:val="16"/>
          <w:color w:val="auto"/>
        </w:rPr>
        <w:t>", that it intends to operate during the following year, as well as their respective location.</w:t>
      </w:r>
    </w:p>
    <w:p>
      <w:pPr>
        <w:spacing w:after="0" w:line="16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 xml:space="preserve">THREE—The number of gaming tables and of electrical or mechanical machines, including </w:t>
      </w:r>
      <w:r>
        <w:rPr>
          <w:rFonts w:ascii="Arial" w:cs="Arial" w:eastAsia="Arial" w:hAnsi="Arial"/>
          <w:sz w:val="18"/>
          <w:szCs w:val="18"/>
          <w:i w:val="1"/>
          <w:iCs w:val="1"/>
          <w:color w:val="auto"/>
        </w:rPr>
        <w:t>"slot machines"</w:t>
      </w:r>
      <w:r>
        <w:rPr>
          <w:rFonts w:ascii="Arial" w:cs="Arial" w:eastAsia="Arial" w:hAnsi="Arial"/>
          <w:sz w:val="18"/>
          <w:szCs w:val="18"/>
          <w:color w:val="auto"/>
        </w:rPr>
        <w:t xml:space="preserve"> to be operated by the concessionaire may be altered by means of prior communication to DICJ.</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Eleven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Continuous functioning of the casinos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ONE—The concessionaire shall open the casinos every day of each year.</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TWO—Without prejudice of the provisions of the previous article the concessionaire may establish a daily period of opening to the public of the casinos and the activities they integrate.</w:t>
      </w:r>
    </w:p>
    <w:p>
      <w:pPr>
        <w:spacing w:after="0" w:line="186"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THREE—The schedule of the daily period of opening to the public of the casinos and the activities they integrate, shall be submitted in advance to the Government, and affixed at the entrance to the casinos.</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FOUR—The alteration to the daily period in which casinos and the activities they integrate are open to the public shall be submitted to the Government with a minimum advance of three days.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Twelve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Suspension of operations of the casino and other gaming areas</w:t>
      </w:r>
    </w:p>
    <w:p>
      <w:pPr>
        <w:spacing w:after="0" w:line="21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ONE—The concessionaire shall request from the Government, with a minimum advance of three days, by means of a documented petition, authorization to suspend the operations of one or more casinos and other gaming areas for a period of one or more days.</w:t>
      </w:r>
    </w:p>
    <w:p>
      <w:pPr>
        <w:spacing w:after="0" w:line="186"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 xml:space="preserve">TWO—The authorization referred to in the previous article is waived in emergency situations or in cases of </w:t>
      </w:r>
      <w:r>
        <w:rPr>
          <w:rFonts w:ascii="Arial" w:cs="Arial" w:eastAsia="Arial" w:hAnsi="Arial"/>
          <w:sz w:val="18"/>
          <w:szCs w:val="18"/>
          <w:i w:val="1"/>
          <w:iCs w:val="1"/>
          <w:color w:val="auto"/>
        </w:rPr>
        <w:t>force majeure</w:t>
      </w:r>
      <w:r>
        <w:rPr>
          <w:rFonts w:ascii="Arial" w:cs="Arial" w:eastAsia="Arial" w:hAnsi="Arial"/>
          <w:sz w:val="18"/>
          <w:szCs w:val="18"/>
          <w:color w:val="auto"/>
        </w:rPr>
        <w:t>, namely those resulting from serious accident, catastrophe or natural calamity, that may entail serious risk to the safety of persons, in which case the concessionaire shall inform the Government as soon as possible, of the suspension of operation of the casino or other gaming areas.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Thirteen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Electronic equipment for surveillance and control</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ONE—The concessionaire shall install, in the casinos and other gaming areas, electronic equipment for surveillance and control of high international quality and approved by DICJ. To that effect, the concessionaire shall submit a written request to the same Bureau, identifying the equipment it intends to install, enclosing the technical specifications thereof. However, the DICJ may, at any moment, request the presentation of specimens or samples of the referred equipment.</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TWO—The concessionaire is further committed to install electronic equipment for surveillance and control approved by the DICJ, in other areas attached to the casinos and other gaming areas or in access and connecting areas, whenever so requested by the same Bureau.</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THREE—The concessionaire shall promote the installation of new electronic equipment for surveillance and control, approved by DICJ, whenever a substantiated request is made by the same Bureau namely in order to maintain the high international quality referred in number ONE.</w:t>
      </w:r>
    </w:p>
    <w:p>
      <w:pPr>
        <w:sectPr>
          <w:pgSz w:w="11900" w:h="16838" w:orient="portrait"/>
          <w:cols w:equalWidth="0" w:num="1">
            <w:col w:w="11380"/>
          </w:cols>
          <w:pgMar w:left="240" w:top="131" w:right="279" w:bottom="0" w:gutter="0" w:footer="0" w:header="0"/>
        </w:sectPr>
      </w:pPr>
    </w:p>
    <w:bookmarkStart w:id="163" w:name="page164"/>
    <w:bookmarkEnd w:id="163"/>
    <w:p>
      <w:pPr>
        <w:ind w:right="20" w:firstLine="351"/>
        <w:spacing w:after="0" w:line="268" w:lineRule="auto"/>
        <w:rPr>
          <w:sz w:val="20"/>
          <w:szCs w:val="20"/>
          <w:color w:val="auto"/>
        </w:rPr>
      </w:pPr>
      <w:r>
        <w:rPr>
          <w:rFonts w:ascii="Arial" w:cs="Arial" w:eastAsia="Arial" w:hAnsi="Arial"/>
          <w:sz w:val="18"/>
          <w:szCs w:val="18"/>
          <w:color w:val="auto"/>
        </w:rPr>
        <w:t>FOUR—The concessionaire shall inform the proper authorities as soon as possible, of any acts or facts which constitute crime or administrative infraction of which it has knowledge, as well as any other illegal acts or facts that it may consider as serious.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CHAPTER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Concessionaire Company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Fourteen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purpose, head office and form of company</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ONE—The concessionaire is committed to have, as an exclusive corporate purpose, the operation of games of chance or other games in casinos.</w:t>
      </w:r>
    </w:p>
    <w:p>
      <w:pPr>
        <w:spacing w:after="0" w:line="24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TWO—The corporate purpose of the concessionaire may, depending on Government authorization, include activities related to the operation of games of chance or other games in casinos.</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THREE—The concessionaire shall maintain its head office within the Macau Special Administrative Region under the form of Limited Liability Company.</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Fifteen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stock and shares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ONE—The concessionaire shall maintain a capital stock amounting to not less than MOP 200,000,000.00 (two hundred million patacas).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TWO—The total capital stock of the concessionaire is represented exclusively by registered nominative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THREE—An increase of the concessionaire's capital through public subscription requires authorization by the Government.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FOUR—The issuing of preferential shares by the concessionaire requires authorization by the Government.</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FIVE—Without prejudice of the established in the previous article, the creation or the issuing of types or series of shares representing the concessionaire's capital stock, as well as their conversion of one type of shares into another, requires Government authorization.</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SIX—The concessionaire shall make all efforts, to have the total capital stock of the concessionaire's shareholders who are corporate bodies, and the total capital stock of the holders of capital shares who are corporate bodies, and so on, up to the ultimate holders of capital shares, whether these are individual or corporate bodies, be exclusively represented by registered nominative shares, except in relation to corporate bodies that are quoted on the stock exchange in what refers to the transacted shares.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Sixteen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and encumbering of shares</w:t>
      </w:r>
    </w:p>
    <w:p>
      <w:pPr>
        <w:spacing w:after="0" w:line="21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ONE—The transfer or encumbering, for any reason, of the property or other rights on registered shares representing the concessionaire's capital stock or the carrying out of any other act that may involve the granting of voting rights or other social rights to a person other than the holder, requires government authorization.</w:t>
      </w:r>
    </w:p>
    <w:p>
      <w:pPr>
        <w:spacing w:after="0" w:line="19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TWO—In the case referred to in the previous article, the concessionaire shall always refuse the registry and shall not recognize as shareholder any entity that may acquire or possess shares representing its capital stock in violation of the provisions of the present concession contract or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law, and shall not carry out any action by which it, implicitly or explicitly recognises the transfer among living or encumbering as referred to in the previous article.</w:t>
      </w:r>
    </w:p>
    <w:p>
      <w:pPr>
        <w:spacing w:after="0" w:line="186" w:lineRule="exact"/>
        <w:rPr>
          <w:sz w:val="20"/>
          <w:szCs w:val="20"/>
          <w:color w:val="auto"/>
        </w:rPr>
      </w:pPr>
    </w:p>
    <w:p>
      <w:pPr>
        <w:ind w:right="300" w:firstLine="348"/>
        <w:spacing w:after="0" w:line="370" w:lineRule="auto"/>
        <w:rPr>
          <w:sz w:val="20"/>
          <w:szCs w:val="20"/>
          <w:color w:val="auto"/>
        </w:rPr>
      </w:pPr>
      <w:r>
        <w:rPr>
          <w:rFonts w:ascii="Arial" w:cs="Arial" w:eastAsia="Arial" w:hAnsi="Arial"/>
          <w:sz w:val="15"/>
          <w:szCs w:val="15"/>
          <w:color w:val="auto"/>
        </w:rPr>
        <w:t xml:space="preserve">THREE—The transfer </w:t>
      </w:r>
      <w:r>
        <w:rPr>
          <w:rFonts w:ascii="Arial" w:cs="Arial" w:eastAsia="Arial" w:hAnsi="Arial"/>
          <w:sz w:val="15"/>
          <w:szCs w:val="15"/>
          <w:i w:val="1"/>
          <w:iCs w:val="1"/>
          <w:color w:val="auto"/>
        </w:rPr>
        <w:t>mortis causa</w:t>
      </w:r>
      <w:r>
        <w:rPr>
          <w:rFonts w:ascii="Arial" w:cs="Arial" w:eastAsia="Arial" w:hAnsi="Arial"/>
          <w:sz w:val="15"/>
          <w:szCs w:val="15"/>
          <w:color w:val="auto"/>
        </w:rPr>
        <w:t xml:space="preserve"> of the property or other rights on shares representing the concessionaire's capital stock must be communicated to the Government, as soon as possible; the concessionaire shall, at the same time, make all efforts to have the transfer registered in its Shares Registration Book.</w:t>
      </w:r>
    </w:p>
    <w:p>
      <w:pPr>
        <w:spacing w:after="0" w:line="116"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FOUR—Once obtained the authorization referred in number ONE, the holder of the property or other right on shares representing the concessionaire's capital stock, when transferring or encumbering or carrying out an act which involves the transfer to another party of the voting right or other social rights, shall immediately inform the concessionaire, who shall inform the DICJ, within thirty days of the register in the Shares Registration Book of the concessionaire or equivalent formality, and shall send copy of the documents that formalize that juridical transaction and furnish detailed information on any established terms and conditions.</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FIVE—The concessionaire shall make all efforts to submit for Government approval any transfer between living parties, for whatever reason, of the property or other right on the capital shares of the holders representing the capital stock of the concessionaire, be they individual or corporate bodies and the capital stock of the holders of capital shares that are corporate bodies, whether these holders are individual or corporate bodies, and so on, up to the ultimate holders of capital shares, whether they are individual or corporate bodies, except for corporate bodies that are quoted on the exchange market in what refers to the shares therein traded, when this capital share directly or indirectly corresponds to a value of 5% or more of the concessionaire's capital stock.</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SIX—The transfer </w:t>
      </w:r>
      <w:r>
        <w:rPr>
          <w:rFonts w:ascii="Arial" w:cs="Arial" w:eastAsia="Arial" w:hAnsi="Arial"/>
          <w:sz w:val="16"/>
          <w:szCs w:val="16"/>
          <w:i w:val="1"/>
          <w:iCs w:val="1"/>
          <w:color w:val="auto"/>
        </w:rPr>
        <w:t>mortis causa</w:t>
      </w:r>
      <w:r>
        <w:rPr>
          <w:rFonts w:ascii="Arial" w:cs="Arial" w:eastAsia="Arial" w:hAnsi="Arial"/>
          <w:sz w:val="16"/>
          <w:szCs w:val="16"/>
          <w:color w:val="auto"/>
        </w:rPr>
        <w:t xml:space="preserve"> of the property or other right on the capital share of holders of 5% or more of capital shares representative the capital stock of the concessionaire's shareholders, whether individual or corporate bodies, and of the capital stock of the holders of 5% or more of capital shares of those that are corporate bodies, whether those holders are individual or corporate bodies, and so on, up to the ultimate holders of capital shares, whether these are individual or corporate bodies, should be submitted by the concessionaire to the Government, as soon as possible after the fact is known.</w:t>
      </w:r>
    </w:p>
    <w:p>
      <w:pPr>
        <w:spacing w:after="0" w:line="167"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SEVEN—The concessionaire shall, furthermore, inform the Government, as soon as the fact is known, of the encumbering, for any reason, of the capital share representing the capital stock of its shareholders and of the capital shares held by holders of the capital stock of these shareholders, and so on, up to the</w:t>
      </w:r>
    </w:p>
    <w:p>
      <w:pPr>
        <w:sectPr>
          <w:pgSz w:w="11900" w:h="16838" w:orient="portrait"/>
          <w:cols w:equalWidth="0" w:num="1">
            <w:col w:w="11400"/>
          </w:cols>
          <w:pgMar w:left="240" w:top="131" w:right="259" w:bottom="0" w:gutter="0" w:footer="0" w:header="0"/>
        </w:sectPr>
      </w:pPr>
    </w:p>
    <w:bookmarkStart w:id="164" w:name="page165"/>
    <w:bookmarkEnd w:id="164"/>
    <w:p>
      <w:pPr>
        <w:ind w:right="620"/>
        <w:spacing w:after="0" w:line="268" w:lineRule="auto"/>
        <w:rPr>
          <w:sz w:val="20"/>
          <w:szCs w:val="20"/>
          <w:color w:val="auto"/>
        </w:rPr>
      </w:pPr>
      <w:r>
        <w:rPr>
          <w:rFonts w:ascii="Arial" w:cs="Arial" w:eastAsia="Arial" w:hAnsi="Arial"/>
          <w:sz w:val="18"/>
          <w:szCs w:val="18"/>
          <w:color w:val="auto"/>
        </w:rPr>
        <w:t>capital share of the ultimate holders when the same capital share indirectly corresponds to 5% or more of the concessionaire's capital stock except for the corporate bodies that are quoted on the stock exchange in what concerns the shares therein traded,</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EIGHT—The previous article is equally applicable to the implementation of any acts that involve the granting of voting rights or other social rights to a person other than its holder, except as to corporate bodies that are quoted on the stock market in what refers to the shares therein traded.</w:t>
      </w:r>
    </w:p>
    <w:p>
      <w:pPr>
        <w:spacing w:after="0" w:line="139"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NINE—The provisions of number FOUR are applicable to the transfer, under any title, of the property or other right on the capital shares referred to in number FIVE, with the appropriate adaptations.</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TEN—In the case of a dominant shareholder of the concessionaire not wishing to continue to be a shareholder of the same, by virtue of having received written instructions to that end from an agency charged with the regulation of the activity of operation of games of chance or other games in casinos of another jurisdiction in which it is a concessionaire or is licensed to operate games of chance in casinos or in which it is the dominant partner of the concessionaire or company licensed to operate games of chance in casinos, the Government, if it considers that such written instructions result from acts not of the responsibility of the concessionaire or the referred dominant partner, authorizes that the dominant partner transfer the ownership of the capital stock it holds in the concessionaire, without prejudice of the necessity of authorization of the Government as to the acquisition of said capital stock by a third party.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Seventeen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Issue of bonds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 of bonds by the concessionaire requires Government authorization.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Eighteen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Quoted on the stock exchange</w:t>
      </w:r>
    </w:p>
    <w:p>
      <w:pPr>
        <w:spacing w:after="0" w:line="219"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ONE—The concessionaire or a company of which it is the dominant partner may not be quoted on the stock exchange, without prior Government authorization.</w:t>
      </w:r>
    </w:p>
    <w:p>
      <w:pPr>
        <w:spacing w:after="0" w:line="186"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TWO—The concessionaire shall also make all efforts so that the corporate bodies that are its dominant partners and whose principal activity consists on the execution, directly or indirectly, of projects referred to in the Investment Plan attached to the present concession contract, do not request or proceed to be quoted on the stock exchange without previously informing the Government.</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THREE—The request for authorization referred in number ONE, and the advance information of the Government referred in the previous number must be, respectively, formulated or effected by the concessionaire and documented with all the necessary data, without prejudice of the Government requesting additional documents, data or information.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Nineteen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 and capital stock structure</w:t>
      </w:r>
    </w:p>
    <w:p>
      <w:pPr>
        <w:spacing w:after="0" w:line="21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ONE—The concessionaire shall submit to the Government annually, during the month of December, its share structure as well as the structure of the capital stock of the corporate bodies, </w:t>
      </w:r>
      <w:r>
        <w:rPr>
          <w:rFonts w:ascii="Arial" w:cs="Arial" w:eastAsia="Arial" w:hAnsi="Arial"/>
          <w:sz w:val="18"/>
          <w:szCs w:val="18"/>
          <w:i w:val="1"/>
          <w:iCs w:val="1"/>
          <w:color w:val="auto"/>
        </w:rPr>
        <w:t>maxime</w:t>
      </w:r>
      <w:r>
        <w:rPr>
          <w:rFonts w:ascii="Arial" w:cs="Arial" w:eastAsia="Arial" w:hAnsi="Arial"/>
          <w:sz w:val="18"/>
          <w:szCs w:val="18"/>
          <w:color w:val="auto"/>
        </w:rPr>
        <w:t xml:space="preserve"> companies, holders of 5% or more of the concessionaire's capital stock, as well as the structure of the capital stock of the corporate bodies who are holders of 5% or more of the capital stock, and so on up to the individual or corporate bodies who are the ultimate shareholders, except in relation to corporate bodies that are quoted on the stock exchange in what refers to the shares therein traded, or submit a declaration attesting that these did not suffer any alteration.</w:t>
      </w:r>
    </w:p>
    <w:p>
      <w:pPr>
        <w:spacing w:after="0" w:line="197"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TWO—The concessionaire shall also endeavour to obtain and deliver to the Government, together with the update or the declaration referred to in the previous paragraph, a declaration signed by each of its shareholders and the persons referred to in the previous number, duly authenticated, attesting that they are holders of the number of shares declared, and that these are registered nominative shares, accompanied by a copy of the shares representing the respective equity.</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Twenty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Prohibition to concentrate positions in governing bodies</w:t>
      </w:r>
    </w:p>
    <w:p>
      <w:pPr>
        <w:spacing w:after="0" w:line="21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ONE—The concessionaire shall not appoint to the Board of Directors, the Board of the General Meeting, the Audit Board or any other governing body, any person who holds a position in a governing body of another concessionaire, sub-concessionaire or concessionaire's management company, operating in the Macau Special Administrative Region.</w:t>
      </w:r>
    </w:p>
    <w:p>
      <w:pPr>
        <w:spacing w:after="0" w:line="194" w:lineRule="exact"/>
        <w:rPr>
          <w:sz w:val="20"/>
          <w:szCs w:val="20"/>
          <w:color w:val="auto"/>
        </w:rPr>
      </w:pPr>
    </w:p>
    <w:p>
      <w:pPr>
        <w:jc w:val="both"/>
        <w:ind w:firstLine="348"/>
        <w:spacing w:after="0" w:line="332" w:lineRule="auto"/>
        <w:rPr>
          <w:sz w:val="20"/>
          <w:szCs w:val="20"/>
          <w:color w:val="auto"/>
        </w:rPr>
      </w:pPr>
      <w:r>
        <w:rPr>
          <w:rFonts w:ascii="Arial" w:cs="Arial" w:eastAsia="Arial" w:hAnsi="Arial"/>
          <w:sz w:val="16"/>
          <w:szCs w:val="16"/>
          <w:color w:val="auto"/>
        </w:rPr>
        <w:t>TWO—The concessionaire shall inform the government, in the shortest possible period of time, of the appointment of any person to assume a position in the Board of Directors, the Board of the General Meeting, the Audit Board or any other governing body of the concessionaire.</w:t>
      </w:r>
    </w:p>
    <w:p>
      <w:pPr>
        <w:spacing w:after="0" w:line="139"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THREE—The Government shall inform the concessionaire of the appointment of any person to assume a position on the Board of Directors, the Board of the General Meeting, the Audit Board or any other governing body of other concessionaires, sub-concessionaires or concessionaire's management companies, operating in the Macau Special Administrative Region.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Twenty One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ONE—The delegation of the management of the concessionaire, including the appointment of the Executive-Director, the scope of his powers and the term of the delegation, as well as any alteration,</w:t>
      </w:r>
    </w:p>
    <w:p>
      <w:pPr>
        <w:sectPr>
          <w:pgSz w:w="11900" w:h="16838" w:orient="portrait"/>
          <w:cols w:equalWidth="0" w:num="1">
            <w:col w:w="11380"/>
          </w:cols>
          <w:pgMar w:left="240" w:top="131" w:right="279" w:bottom="261"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261" w:gutter="0" w:footer="0" w:header="0"/>
          <w:type w:val="continuous"/>
        </w:sectPr>
      </w:pPr>
    </w:p>
    <w:bookmarkStart w:id="165" w:name="page166"/>
    <w:bookmarkEnd w:id="165"/>
    <w:p>
      <w:pPr>
        <w:ind w:right="200"/>
        <w:spacing w:after="0" w:line="294" w:lineRule="auto"/>
        <w:rPr>
          <w:sz w:val="20"/>
          <w:szCs w:val="20"/>
          <w:color w:val="auto"/>
        </w:rPr>
      </w:pPr>
      <w:r>
        <w:rPr>
          <w:rFonts w:ascii="Arial" w:cs="Arial" w:eastAsia="Arial" w:hAnsi="Arial"/>
          <w:sz w:val="16"/>
          <w:szCs w:val="16"/>
          <w:color w:val="auto"/>
        </w:rPr>
        <w:t>namely when involving replacement, temporary or definitive of the Executive-Director, is subject to Government authorization. For that purpose, the concessionaire shall send to the Government a draft of the resolution of its Board of Directors, containing the proposal for the delegation of the management of the concessionaire, including the identification of the Executive-Director, the scope of his powers and the term of the delegation, references relative to replacement in situations of impediment, as well as any deliberation relative to replacement, temporary of definitive, of the Executive-Director. A delegation of the management of the concessionaire does not have any effect, in any form, without the authorization of the Government in relation to every element.</w:t>
      </w:r>
    </w:p>
    <w:p>
      <w:pPr>
        <w:spacing w:after="0" w:line="170" w:lineRule="exact"/>
        <w:rPr>
          <w:sz w:val="20"/>
          <w:szCs w:val="20"/>
          <w:color w:val="auto"/>
        </w:rPr>
      </w:pPr>
    </w:p>
    <w:p>
      <w:pPr>
        <w:jc w:val="both"/>
        <w:ind w:right="160" w:firstLine="348"/>
        <w:spacing w:after="0" w:line="256" w:lineRule="auto"/>
        <w:rPr>
          <w:sz w:val="20"/>
          <w:szCs w:val="20"/>
          <w:color w:val="auto"/>
        </w:rPr>
      </w:pPr>
      <w:r>
        <w:rPr>
          <w:rFonts w:ascii="Arial" w:cs="Arial" w:eastAsia="Arial" w:hAnsi="Arial"/>
          <w:sz w:val="18"/>
          <w:szCs w:val="18"/>
          <w:color w:val="auto"/>
        </w:rPr>
        <w:t>TWO—If the Government does not approve any or some of the terms of the delegation referred in the previous paragraph, the concessionaire is bound to send to the Government, within fifteen days from the day the concessionaire receives the notification of non-acceptance, a new resolution draft, and in case the person appointed as Executive Director is not accepted by the Government, a new Annex II of the Administrative Rule number 26/2001 should be submitted by the new Executive Director.</w:t>
      </w:r>
    </w:p>
    <w:p>
      <w:pPr>
        <w:spacing w:after="0" w:line="197"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THREE—The concessionaire shall ensure that no powers of attorney granting, based on a stable relation, powers that are conferred on the Board of Directors, to carry out any business in relation to the operation of the company on behalf of the concessionaire, with the exception of acts of the mere running of current business, namely with public offices and services, except with the authorization of the Government.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Twenty Two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Association and shareholders agreements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ONE—Any change to the concessionaire's articles of association requires the approval of the Government.</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TWO—The project for the change of the concessionaire's articles of association shall be sent, for approval, to the Government, with a minimum advance of thirty days in relation to the date of the Shareholders General Assembly in which the change will be discussed.</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THREE—The concessionaire shall deliver to the Government an authenticated copy of the change to its articles of association, within thirty days after the execution.</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FOUR—The concessionaire shall inform the Government of any shareholders agreement of which it gains knowledge. To that effect, and without prejudice of other courses of action it can or shall take, the concessionaire is bound to enquire from its shareholders, in the 15 days preceding any shareholder's General Assembly, or in the course of a General Assembly if it was not called, on the existence of shareholders agreements namely in relation to the exercise of voting rights or other social rights, and to inform the Government of the result of such enquiries.</w:t>
      </w:r>
    </w:p>
    <w:p>
      <w:pPr>
        <w:spacing w:after="0" w:line="167"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FIVE—The government must, within sixty days, notify the concessionaire of the approval of the change of the Articles of Association and of the shareholders agreements.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Twenty Three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Duty to inform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ONE—Without prejudice of other obligations to inform established in the system of concessions referred to in clause six, the concessionaire shall:</w:t>
      </w:r>
    </w:p>
    <w:p>
      <w:pPr>
        <w:spacing w:after="0" w:line="262" w:lineRule="exact"/>
        <w:rPr>
          <w:sz w:val="20"/>
          <w:szCs w:val="20"/>
          <w:color w:val="auto"/>
        </w:rPr>
      </w:pPr>
    </w:p>
    <w:p>
      <w:pPr>
        <w:ind w:left="1080" w:right="160" w:hanging="532"/>
        <w:spacing w:after="0" w:line="291" w:lineRule="auto"/>
        <w:tabs>
          <w:tab w:leader="none" w:pos="10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Inform the Government, with the shortest possible delay, of any circumstances that may affect its normal functioning, such as those that may be related to its liquidity or solvency, the existence of any law proceedings against it or any one of its directors, shareholders with 5% or more of its capital stock and main employees with positions of relevance in the casino, any act or fact that takes place in the casinos and other gaming areas that may be considered a crime or administrative infraction that may come to its notice and any adverse attitude directed at the concessionaire or members of its governing bodies, by a responsible member of an entity or a worker of the Public Administration of the Macau Special Administrative Region, including agents of the Security Forces and Services.</w:t>
      </w:r>
    </w:p>
    <w:p>
      <w:pPr>
        <w:spacing w:after="0" w:line="20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Inform the Government, with the shortest possible delay, of any and every event that injure, hinder or substantially increase the financial burden or the difficulty in fully complying with the obligations resulting from the present concession contract, or that may cause the termination of the concession contract under the terms established in chapter XIX;</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Inform the Government, with the shortest possible delay, as to any of the following facts or occurrences: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Regular or incidental, periodical or extraordinary remuneration of its directors, financers and main employees with positions of relevance in the casino, whether these are received as salaries, wages, remunerations or other, and well as any mechanism for their participation in profits;</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Existing benefits or benefits to be created, including share in the profits;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Contracts for management and services, existing or to be proposed.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080" w:hanging="532"/>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Deliver to the Government, with the shortest possible delay, authenticated copies of: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Contracts or other instruments that refer or describe any remuneration mentioned in number 1 of the previous paragraph;</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Contracts or other instruments that refer or describe any benefits or forms of distribution of profits, existing or to be created;</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Contracts for management and services, existing or to be proposed.</w:t>
      </w:r>
    </w:p>
    <w:p>
      <w:pPr>
        <w:sectPr>
          <w:pgSz w:w="11900" w:h="16838" w:orient="portrait"/>
          <w:cols w:equalWidth="0" w:num="1">
            <w:col w:w="11400"/>
          </w:cols>
          <w:pgMar w:left="240" w:top="131" w:right="259" w:bottom="0" w:gutter="0" w:footer="0" w:header="0"/>
        </w:sectPr>
      </w:pPr>
    </w:p>
    <w:bookmarkStart w:id="166" w:name="page167"/>
    <w:bookmarkEnd w:id="166"/>
    <w:p>
      <w:pPr>
        <w:ind w:left="1080" w:right="500" w:hanging="532"/>
        <w:spacing w:after="0" w:line="268" w:lineRule="auto"/>
        <w:tabs>
          <w:tab w:leader="none" w:pos="10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Inform the Government, with the shortest possible delay as to any serious alteration, imminent or foreseeable, to its economic and financial situation, as well as to the economic and financial situation:</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Of its dominant partners;</w:t>
      </w:r>
    </w:p>
    <w:p>
      <w:pPr>
        <w:spacing w:after="0" w:line="238" w:lineRule="exact"/>
        <w:rPr>
          <w:rFonts w:ascii="Arial" w:cs="Arial" w:eastAsia="Arial" w:hAnsi="Arial"/>
          <w:sz w:val="18"/>
          <w:szCs w:val="18"/>
          <w:color w:val="auto"/>
        </w:rPr>
      </w:pPr>
    </w:p>
    <w:p>
      <w:pPr>
        <w:ind w:left="1620" w:right="520" w:hanging="532"/>
        <w:spacing w:after="0" w:line="332" w:lineRule="auto"/>
        <w:tabs>
          <w:tab w:leader="none" w:pos="162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Of entities closely associated, namely those that have taken any commitment or pledged any guarantee towards the financing of the investments and obligations that the concessionaire must carry out or accept by reasons of the contract; and</w:t>
      </w:r>
    </w:p>
    <w:p>
      <w:pPr>
        <w:spacing w:after="0" w:line="152" w:lineRule="exact"/>
        <w:rPr>
          <w:rFonts w:ascii="Arial" w:cs="Arial" w:eastAsia="Arial" w:hAnsi="Arial"/>
          <w:sz w:val="16"/>
          <w:szCs w:val="16"/>
          <w:color w:val="auto"/>
        </w:rPr>
      </w:pPr>
    </w:p>
    <w:p>
      <w:pPr>
        <w:jc w:val="both"/>
        <w:ind w:left="1620" w:right="140" w:hanging="532"/>
        <w:spacing w:after="0" w:line="259" w:lineRule="auto"/>
        <w:tabs>
          <w:tab w:leader="none" w:pos="16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Of the shareholders that hold 5% or more of its capital stock who, in accordance with the terms of paragraph 2) of number 1 of article 18 of Law number 16/2001, have assumed the commitment or pledged a guarantee for the financing of the investments and obligations that the concessionaire must carry out or accept by reasons of contract.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180" w:hanging="532"/>
        <w:spacing w:after="0" w:line="268" w:lineRule="auto"/>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Inform the Government, with the shortest possible delay, when the average annual turnover with a third party has reached MOP 250,000,000.00 (two hundred and fifty million patacas) or more;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annually submit to DICJ, during the month of January, a document referring to all its bank accounts and respective balance;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deliver, in the shortest possible period of time, any complementary or additional information requested by the Government;</w:t>
      </w:r>
    </w:p>
    <w:p>
      <w:pPr>
        <w:spacing w:after="0" w:line="252"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deliver to DICJ and to the Financial Services Bureau, hereinafter designated as DSF, with the shortest possible delay, all elements and information that these entities may require for the complete fulfilment of their functions.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TWO—The Government may determine that the obligations foreseen in 3) and 4) of the previous paragraph be fulfilled annually.</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CHAPTER IV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 Company</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24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Requirement to inform in advance and request Government authorization</w:t>
      </w:r>
    </w:p>
    <w:p>
      <w:pPr>
        <w:spacing w:after="0" w:line="219"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ONE—The concessionaire shall inform the Government, with a minimum prior notice of ninety days, of its intention to enter into a contract with a management company.</w:t>
      </w:r>
    </w:p>
    <w:p>
      <w:pPr>
        <w:spacing w:after="0" w:line="186"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TWO—The concessionaire shall request authorization from the Government whenever it intends to sign a management contract with a management company by which the mentioned company will assume its managing powers.</w:t>
      </w:r>
    </w:p>
    <w:p>
      <w:pPr>
        <w:spacing w:after="0" w:line="186"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THREE—For the purposes of the previous paragraph, the concessionaire shall submit, together with the request for authorization, an authenticated copy of the articles of association of the management company or equivalent document and the draft of the respective management contract.</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CHAPTER 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Suitability</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Twenty Five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Suitability of the concessionaire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ONE—The concessionaire shall keep its suitability qualifications for the term of the concession, in accordance to legal terms.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TWO—For the purposes of the previous paragraph, the concessionaire is subject to on-going and permanent monitoring and supervision by the Government, in accordance with legal terms.</w:t>
      </w:r>
    </w:p>
    <w:p>
      <w:pPr>
        <w:spacing w:after="0" w:line="186"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THREE—The concessionaire undertakes to defray, as soon as possible, the costs incurred with the verification of its suitability; for that purpose, the DICJ shall issue a document, which will specify those costs that shall constitute sufficient evidence of same.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Twenty Six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Suitability of the shareholders, directors and main employees of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concessionaire and management companies</w:t>
      </w:r>
    </w:p>
    <w:p>
      <w:pPr>
        <w:spacing w:after="0" w:line="21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ONE—The concessionaire's shareholders who hold 5% or more of its capital stock, its directors and its main employees with relevant positions in the casino must retain their suitability qualifications for the term of the concession, in accordance with legal terms.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TWO—For the purposes of the previous paragraph, the concessionaire's shareholders who hold 5% or more of its capital stock, its directors and its main employees with relevant positions in the casino, are subject to a continuous and permanent monitoring and supervision by the Government, in accordance with legal terms.</w:t>
      </w:r>
    </w:p>
    <w:p>
      <w:pPr>
        <w:sectPr>
          <w:pgSz w:w="11900" w:h="16838" w:orient="portrait"/>
          <w:cols w:equalWidth="0" w:num="1">
            <w:col w:w="11380"/>
          </w:cols>
          <w:pgMar w:left="240" w:top="604" w:right="279" w:bottom="0" w:gutter="0" w:footer="0" w:header="0"/>
        </w:sectPr>
      </w:pPr>
    </w:p>
    <w:bookmarkStart w:id="167" w:name="page168"/>
    <w:bookmarkEnd w:id="167"/>
    <w:p>
      <w:pPr>
        <w:ind w:right="180" w:firstLine="348"/>
        <w:spacing w:after="0" w:line="259" w:lineRule="auto"/>
        <w:rPr>
          <w:sz w:val="20"/>
          <w:szCs w:val="20"/>
          <w:color w:val="auto"/>
        </w:rPr>
      </w:pPr>
      <w:r>
        <w:rPr>
          <w:rFonts w:ascii="Arial" w:cs="Arial" w:eastAsia="Arial" w:hAnsi="Arial"/>
          <w:sz w:val="18"/>
          <w:szCs w:val="18"/>
          <w:color w:val="auto"/>
        </w:rPr>
        <w:t>THREE—The concessionaire shall make all efforts for the shareholders that hold 5% or more of its capital stock, its directors and main employees with relevant positions in the casino, to retain their suitability qualifications during the term of the concession, considering that their good name reflects on the good name of the concessionaire.</w:t>
      </w:r>
    </w:p>
    <w:p>
      <w:pPr>
        <w:spacing w:after="0" w:line="194"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FOUR—The concessionaire shall request its shareholders who hold 5% or more of its capital stock, its directors and its main employees with relevant positions in the casino, to inform the Government with the shortest possible delay, of any and every factor that may be relevant to the good repute of the concessionaire or their own.</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FIVE—For the purposes of the previous paragraph, the concessionaire shall enquire, every six months, from the shareholders who hold 5% or more of its capital stock, its directors and its main employees with relevant positions in the casino, whether they have knowledge of any fact that may relate to the good repute of the concessionaire or their own, although the concessionaire, having knowledge of any relevant fact, is bound to inform the Government with the shortest possible delay.</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SIX—The concessionaire shall inform the Government, with the shortest possible delay upon gaining knowledge of any and every fact that may relate to the good repute of its shareholders who hold 5% or more of its capital stock, its directors and its main employees with relevant positions in the casino.</w:t>
      </w:r>
    </w:p>
    <w:p>
      <w:pPr>
        <w:spacing w:after="0" w:line="139"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SEVEN—The concessionaire shall make all efforts for the managing companies it may contract, as well as holders of 5% or more of its capital stock, its directors and main employees with relevant positions in the casino, to retain their good name reflect on the good name of the concessionaire.</w:t>
      </w:r>
    </w:p>
    <w:p>
      <w:pPr>
        <w:spacing w:after="0" w:line="139" w:lineRule="exact"/>
        <w:rPr>
          <w:sz w:val="20"/>
          <w:szCs w:val="20"/>
          <w:color w:val="auto"/>
        </w:rPr>
      </w:pPr>
    </w:p>
    <w:p>
      <w:pPr>
        <w:ind w:right="620" w:firstLine="351"/>
        <w:spacing w:after="0" w:line="306" w:lineRule="auto"/>
        <w:rPr>
          <w:sz w:val="20"/>
          <w:szCs w:val="20"/>
          <w:color w:val="auto"/>
        </w:rPr>
      </w:pPr>
      <w:r>
        <w:rPr>
          <w:rFonts w:ascii="Arial" w:cs="Arial" w:eastAsia="Arial" w:hAnsi="Arial"/>
          <w:sz w:val="16"/>
          <w:szCs w:val="16"/>
          <w:color w:val="auto"/>
        </w:rPr>
        <w:t>EIGHT—The regulations in number THREE of the previous clause are applicable to the process of verification of suitability of the concessionaire's shareholders and the managing companies that hold 5% or more of its capital stock, its directors and main employees with relevant positions in the concessionaire's casino, and of the managing companies with whom it may establish contracts.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Twenty Seven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duty to cooperate</w:t>
      </w:r>
    </w:p>
    <w:p>
      <w:pPr>
        <w:spacing w:after="0" w:line="219"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Without prejudice of the general duty to cooperate established in clause sixty seven, the concessionaire shall immediately submit to the Government any document, information or data that the Government may deem necessary to verify its continued suitability.</w:t>
      </w:r>
    </w:p>
    <w:p>
      <w:pPr>
        <w:spacing w:after="0" w:line="18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Clause Twenty Eight</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Special duty to inform</w:t>
      </w:r>
    </w:p>
    <w:p>
      <w:pPr>
        <w:spacing w:after="0" w:line="219" w:lineRule="exact"/>
        <w:rPr>
          <w:sz w:val="20"/>
          <w:szCs w:val="20"/>
          <w:color w:val="auto"/>
        </w:rPr>
      </w:pPr>
    </w:p>
    <w:p>
      <w:pPr>
        <w:ind w:right="440" w:firstLine="351"/>
        <w:spacing w:after="0" w:line="370" w:lineRule="auto"/>
        <w:rPr>
          <w:sz w:val="20"/>
          <w:szCs w:val="20"/>
          <w:color w:val="auto"/>
        </w:rPr>
      </w:pPr>
      <w:r>
        <w:rPr>
          <w:rFonts w:ascii="Arial" w:cs="Arial" w:eastAsia="Arial" w:hAnsi="Arial"/>
          <w:sz w:val="15"/>
          <w:szCs w:val="15"/>
          <w:color w:val="auto"/>
        </w:rPr>
        <w:t>ONE—The concessionaire shall inform the Government, with the shortest possible delay after obtaining knowledge, of the cessation of a licence or concession for the operation of games of chance or other games in casinos in any jurisdiction of any shareholder who holds 5% or more of its capital stock.</w:t>
      </w:r>
    </w:p>
    <w:p>
      <w:pPr>
        <w:spacing w:after="0" w:line="116"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TWO—The concessionaire shall inform the Government, with the shortest possible delay after obtaining knowledge, of any investigation related to a fact that could lead an agency that governs the activity of the operation of games of chance or other games in casinos in another jurisdiction to punish, suspend or in any way affect the licence or concession for the operation of games of chance or other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games in casinos that any shareholder who holds 5% or more of its capital stock may have in that jurisdiction.</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CHAPTER VI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and financing capacity</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Twenty Nine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capacity of the concessionaire</w:t>
      </w:r>
    </w:p>
    <w:p>
      <w:pPr>
        <w:spacing w:after="0" w:line="219"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ONE—The concessionaire shall maintain its financial capacity to operate the concession and to fulfil timely and totally the obligations pertaining to any aspect of its activity, investments and obligations committed by contract or under the terms of the present concession contract, especially as to the Investment Plan attached to the present concession contract.</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TWO—For the purposes established in the previous paragraph the concessionaire and the shareholders holding 5% or more of its capital stock are subject to continuous and permanent monitoring and supervision by the Government, in accordance with legal terms.</w:t>
      </w:r>
    </w:p>
    <w:p>
      <w:pPr>
        <w:spacing w:after="0" w:line="186" w:lineRule="exact"/>
        <w:rPr>
          <w:sz w:val="20"/>
          <w:szCs w:val="20"/>
          <w:color w:val="auto"/>
        </w:rPr>
      </w:pPr>
    </w:p>
    <w:p>
      <w:pPr>
        <w:jc w:val="both"/>
        <w:ind w:right="500" w:firstLine="348"/>
        <w:spacing w:after="0" w:line="259" w:lineRule="auto"/>
        <w:rPr>
          <w:sz w:val="20"/>
          <w:szCs w:val="20"/>
          <w:color w:val="auto"/>
        </w:rPr>
      </w:pPr>
      <w:r>
        <w:rPr>
          <w:rFonts w:ascii="Arial" w:cs="Arial" w:eastAsia="Arial" w:hAnsi="Arial"/>
          <w:sz w:val="18"/>
          <w:szCs w:val="18"/>
          <w:color w:val="auto"/>
        </w:rPr>
        <w:t>THREE—The concessionaire undertakes to defray, as soon as possible, the costs incurred with the verification of its financial capacity and that of the shareholders holding 5% or more of its capital stock; for that purpose, the DICJ shall issue a document, which will specify those costs that shall constitute sufficient evidence of same.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Thirty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Loans or similar contracts</w:t>
      </w:r>
    </w:p>
    <w:p>
      <w:pPr>
        <w:spacing w:after="0" w:line="21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ONE—The concessionaire shall inform the Government of any loan granted or similar contract signed with a third party, for an amount of more than MOP 30,000,000.00 (thirty million patacas).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TWO—The concessionaire shall not grant any loan or sign any similar contract with its directors, shareholders or main employees with relevant positions in the casino, without the authorization of the Government.</w:t>
      </w:r>
    </w:p>
    <w:p>
      <w:pPr>
        <w:spacing w:after="0" w:line="186"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 xml:space="preserve">THREE—The concessionaire shall not sign any contract with a commercial businessman by which he may assume management powers or the possibility of intervening in the management of the concessionaire, namely through </w:t>
      </w:r>
      <w:r>
        <w:rPr>
          <w:rFonts w:ascii="Arial" w:cs="Arial" w:eastAsia="Arial" w:hAnsi="Arial"/>
          <w:sz w:val="16"/>
          <w:szCs w:val="16"/>
          <w:i w:val="1"/>
          <w:iCs w:val="1"/>
          <w:color w:val="auto"/>
        </w:rPr>
        <w:t>"step in rights"</w:t>
      </w:r>
      <w:r>
        <w:rPr>
          <w:rFonts w:ascii="Arial" w:cs="Arial" w:eastAsia="Arial" w:hAnsi="Arial"/>
          <w:sz w:val="16"/>
          <w:szCs w:val="16"/>
          <w:color w:val="auto"/>
        </w:rPr>
        <w:t>, without the authorization of the Government.</w:t>
      </w:r>
    </w:p>
    <w:p>
      <w:pPr>
        <w:sectPr>
          <w:pgSz w:w="11900" w:h="16838" w:orient="portrait"/>
          <w:cols w:equalWidth="0" w:num="1">
            <w:col w:w="11360"/>
          </w:cols>
          <w:pgMar w:left="240" w:top="132" w:right="299" w:bottom="129" w:gutter="0" w:footer="0" w:header="0"/>
        </w:sectPr>
      </w:pPr>
    </w:p>
    <w:bookmarkStart w:id="168" w:name="page169"/>
    <w:bookmarkEnd w:id="168"/>
    <w:p>
      <w:pPr>
        <w:spacing w:after="0" w:line="1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Clause Thirty One</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Assumption of risk</w:t>
      </w:r>
    </w:p>
    <w:p>
      <w:pPr>
        <w:spacing w:after="0" w:line="21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ONE—The concessionaire is committed to all the obligations and shall be fully and exclusively responsible for all risks inherent to the concession in what concerns its financial capacity and its financing, without prejudice of the provisions of clauses forty and seventy five.</w:t>
      </w:r>
    </w:p>
    <w:p>
      <w:pPr>
        <w:spacing w:after="0" w:line="186" w:lineRule="exact"/>
        <w:rPr>
          <w:sz w:val="20"/>
          <w:szCs w:val="20"/>
          <w:color w:val="auto"/>
        </w:rPr>
      </w:pPr>
    </w:p>
    <w:p>
      <w:pPr>
        <w:ind w:right="980" w:firstLine="351"/>
        <w:spacing w:after="0" w:line="268" w:lineRule="auto"/>
        <w:rPr>
          <w:sz w:val="20"/>
          <w:szCs w:val="20"/>
          <w:color w:val="auto"/>
        </w:rPr>
      </w:pPr>
      <w:r>
        <w:rPr>
          <w:rFonts w:ascii="Arial" w:cs="Arial" w:eastAsia="Arial" w:hAnsi="Arial"/>
          <w:sz w:val="18"/>
          <w:szCs w:val="18"/>
          <w:color w:val="auto"/>
        </w:rPr>
        <w:t>DOIS—The grantee shall not be subject to any obligation, and does not assume any responsibility or risk, in what concerns the financing of the concessionaire.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Thirty Two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Obtaining Financing</w:t>
      </w:r>
    </w:p>
    <w:p>
      <w:pPr>
        <w:spacing w:after="0" w:line="21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ONE—The concessionaire shall obtain the necessary financing for the timely and complete fulfilment of the obligations related to any aspect of its activity, investments and obligations to which it is contractually bound or that it may assume under the terms of the present concession contract, especially of the Investment Plan attached to the present concession contract.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TWO—The grantee shall not be held liable for any exceptions or means of defence that may result from contractual relationships established by the concessionaire with third parties, including financing entities and shareholders of the concessionaire, in order to obtain the financing referred in the previous paragraph.</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Thirty Three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reserves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concessionaire shall maintain the reserves legally required.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Thirty Four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duty to cooperate</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One—Without prejudice of the general duty to cooperate established in clause sixty seven, the concessionaire shall immediately submit to the Government any document, information or data that the Government may deem necessary to verify its continued financial capacity.</w:t>
      </w:r>
    </w:p>
    <w:p>
      <w:pPr>
        <w:spacing w:after="0" w:line="186"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TWO—The concessionaire shall inform the Government, with the shortest possible delay, of any loans, mortgages, declarations of debt, guarantees or any other obligation contracted or to be contracted to finance any aspect of its activity, in the amount of MOP 8,000,000.00 (eight million patacas) or more.</w:t>
      </w:r>
    </w:p>
    <w:p>
      <w:pPr>
        <w:spacing w:after="0" w:line="139"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THREE—The concessionaire shall send to the Government, with the shortest possible delay, authenticated copies of documents relating to any loans, mortgages, declarations of debt, guarantees or any other obligation contracted or to be contracted for the financing of any aspect of its activity.</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FOUR—The concessionaire shall endeavour to obtain and submit to the Government a declaration subscribed by each one of its dominant partners, including its determinant and ultimate partner, in which they accept to comply with this special duty to cooperate and shall present any documents and supply any information, data, authorizations or proof that they may be asked for to that effect.</w:t>
      </w:r>
    </w:p>
    <w:p>
      <w:pPr>
        <w:spacing w:after="0" w:line="18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CHAPTER VII</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Investment Plan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Thirty Five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Plan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ONE—The concessionaire shall carry out the Investment Plan attached to the present concession contract in the terms therein presented.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TWO—The concessionaire shall namely:</w:t>
      </w:r>
    </w:p>
    <w:p>
      <w:pPr>
        <w:spacing w:after="0" w:line="239" w:lineRule="exact"/>
        <w:rPr>
          <w:sz w:val="20"/>
          <w:szCs w:val="20"/>
          <w:color w:val="auto"/>
        </w:rPr>
      </w:pPr>
    </w:p>
    <w:p>
      <w:pPr>
        <w:ind w:left="1080" w:hanging="532"/>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Use skilled labour for all projects;</w:t>
      </w:r>
    </w:p>
    <w:p>
      <w:pPr>
        <w:spacing w:after="0" w:line="252"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Give preference, when contracting firms and workers for the execution of the projects referred to in the Investment Plan attached to the present concession contract, to those that permanently conduct business or are residents of the Macau Special Administrative Region;</w:t>
      </w:r>
    </w:p>
    <w:p>
      <w:pPr>
        <w:spacing w:after="0" w:line="152" w:lineRule="exact"/>
        <w:rPr>
          <w:rFonts w:ascii="Arial" w:cs="Arial" w:eastAsia="Arial" w:hAnsi="Arial"/>
          <w:sz w:val="16"/>
          <w:szCs w:val="16"/>
          <w:color w:val="auto"/>
        </w:rPr>
      </w:pPr>
    </w:p>
    <w:p>
      <w:pPr>
        <w:ind w:left="1080" w:right="60" w:hanging="532"/>
        <w:spacing w:after="0" w:line="255" w:lineRule="auto"/>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Respect, in the execution of the construction projects related to the projects referred to in the Investment Plan attached to the present concession contract, the technical norms and regulations in practice in the Macau Special Administrative Region, namely the Regulation on Foundations, approved by Decree-Law number 47/96/M of 26 August, and the Regulation for Safety and Work in the Structure of Buildings and Bridges, approved by Decree-Law number 56/96/M, of 16 September, as well as the specifications and homologation documents of official entities and the instructions of manufacturers or holders of patents;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line="314" w:lineRule="auto"/>
        <w:tabs>
          <w:tab w:leader="none" w:pos="108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Document the projects referred to in the Investment Plan attached to the present concession contract, for the approval of the Direcção dos Serviços de Solos, Obras Públicas e Transportes, hereinafter designated as DSSOPT, with a quality control handbook, prepared by an entity with proven experience in similar services and of the same type, whose technical competence is recognized and approved by this Direction, with a work plan and respective financial and execution chronograms, with samples of the most significant materials and the curricula of those responsible for each speciality, apart from all other documents foreseen in the legislation in force, namely Decree-Law number 79/85/M of August 21; and if the quality control handbook is not submitted or not approved, the concessionaire shall be committed to follow the quality control handbook prepared</w:t>
      </w:r>
    </w:p>
    <w:p>
      <w:pPr>
        <w:sectPr>
          <w:pgSz w:w="11900" w:h="16852" w:orient="portrait"/>
          <w:cols w:equalWidth="0" w:num="1">
            <w:col w:w="11400"/>
          </w:cols>
          <w:pgMar w:left="240" w:top="125" w:right="259" w:bottom="0" w:gutter="0" w:footer="0" w:header="0"/>
        </w:sectPr>
      </w:pPr>
    </w:p>
    <w:bookmarkStart w:id="169" w:name="page170"/>
    <w:bookmarkEnd w:id="169"/>
    <w:p>
      <w:pPr>
        <w:ind w:left="1080"/>
        <w:spacing w:after="0"/>
        <w:rPr>
          <w:sz w:val="20"/>
          <w:szCs w:val="20"/>
          <w:color w:val="auto"/>
        </w:rPr>
      </w:pPr>
      <w:r>
        <w:rPr>
          <w:rFonts w:ascii="Arial" w:cs="Arial" w:eastAsia="Arial" w:hAnsi="Arial"/>
          <w:sz w:val="18"/>
          <w:szCs w:val="18"/>
          <w:color w:val="auto"/>
        </w:rPr>
        <w:t>in the meantime by experts designated by the DSSOPT;</w:t>
      </w:r>
    </w:p>
    <w:p>
      <w:pPr>
        <w:spacing w:after="0" w:line="239" w:lineRule="exact"/>
        <w:rPr>
          <w:sz w:val="20"/>
          <w:szCs w:val="20"/>
          <w:color w:val="auto"/>
        </w:rPr>
      </w:pPr>
    </w:p>
    <w:p>
      <w:pPr>
        <w:ind w:left="1080" w:right="320" w:hanging="532"/>
        <w:spacing w:after="0" w:line="332" w:lineRule="auto"/>
        <w:tabs>
          <w:tab w:leader="none" w:pos="10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Carry out the work in perfect conformity with the approved projects, in accordance with legal and regulatory norms in force and in accordance with internationally recognized standards for construction and supply of the same type, as well as in accordance with art rules;</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Respect deadlines in the construction and opening to the public of the projects referred to in the Investment Plan attached to the present concession contract;</w:t>
      </w:r>
    </w:p>
    <w:p>
      <w:pPr>
        <w:spacing w:after="0" w:line="199"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Use, for the carrying out of the plans referred in the Investment Plan attached to the present concession contract, materials, systems and equipment certified and approved by recognized entities and in accordance with international standards, generally accepted as having high international quality;</w:t>
      </w:r>
    </w:p>
    <w:p>
      <w:pPr>
        <w:spacing w:after="0" w:line="207"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Maintain the quality of all the plans referred to in the Investment Plan attached to the present concession contract, in accordance with high international standards of quality.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Ensure that commercial businesses comprised in their premises have high international quality standards;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Maintain a modern, efficient and high quality management, in accordance with high international quality standards;</w:t>
      </w:r>
    </w:p>
    <w:p>
      <w:pPr>
        <w:spacing w:after="0" w:line="238" w:lineRule="exact"/>
        <w:rPr>
          <w:rFonts w:ascii="Arial" w:cs="Arial" w:eastAsia="Arial" w:hAnsi="Arial"/>
          <w:sz w:val="18"/>
          <w:szCs w:val="18"/>
          <w:color w:val="auto"/>
        </w:rPr>
      </w:pPr>
    </w:p>
    <w:p>
      <w:pPr>
        <w:ind w:left="1080" w:right="180" w:hanging="532"/>
        <w:spacing w:after="0" w:line="298" w:lineRule="auto"/>
        <w:tabs>
          <w:tab w:leader="none" w:pos="10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Inform the Government, with the shortest delay possible, of any and every situation that significantly alters or may alter, both in the construction phase of its premises and in the operation phase of any aspect of its activity, the normal progress of work, as well as of any structural or other anomaly in their premises, by means of a detailed and documented report of these situations, possibly comprising any contribution from outside sources of recognized competence and repute, also indicating any measures taken or to be taken in order to solve those situations.</w:t>
      </w:r>
    </w:p>
    <w:p>
      <w:pPr>
        <w:spacing w:after="0" w:line="167"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THREE—The concessionaire is responsible towards the grantee and third parties for any damage caused by deficiencies, errors or serious omissions in the conception and dimension of the plans, the execution of construction work and maintenance inherent to the Investment Plan attached to the present concession contract that may be attributed to it.</w:t>
      </w:r>
    </w:p>
    <w:p>
      <w:pPr>
        <w:spacing w:after="0" w:line="19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FOUR—The Government may authorize the alteration of the deadlines referred to in paragraph 6) of number TWO, without the need to revise the present concession contract.</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FIVE—The grantee shall facilitate the direct or indirect execution of the plans referred to in the Investment Plan attached to the present concession contract, by the concessionaire, in accordance with the terms of the law.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Thirty Six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Alteration to the projects comprised in the Investment Plan</w:t>
      </w:r>
    </w:p>
    <w:p>
      <w:pPr>
        <w:spacing w:after="0" w:line="219" w:lineRule="exact"/>
        <w:rPr>
          <w:sz w:val="20"/>
          <w:szCs w:val="20"/>
          <w:color w:val="auto"/>
        </w:rPr>
      </w:pPr>
    </w:p>
    <w:p>
      <w:pPr>
        <w:ind w:right="600" w:firstLine="351"/>
        <w:spacing w:after="0" w:line="370" w:lineRule="auto"/>
        <w:rPr>
          <w:sz w:val="20"/>
          <w:szCs w:val="20"/>
          <w:color w:val="auto"/>
        </w:rPr>
      </w:pPr>
      <w:r>
        <w:rPr>
          <w:rFonts w:ascii="Arial" w:cs="Arial" w:eastAsia="Arial" w:hAnsi="Arial"/>
          <w:sz w:val="15"/>
          <w:szCs w:val="15"/>
          <w:color w:val="auto"/>
        </w:rPr>
        <w:t>ONE—In the execution of the Investment Plan attached to the present concession contract, the Government may request any documentation or make alterations to the execution of these plans, to guarantee the fulfilment of the technical norms and regulations in force and the required quality standards.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TWO—The Government shall not make any alterations to the referred plans that would imply an increase in the global amount referred to in clause thirty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nine.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Thirty Seven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Inspection</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ONE—The Government, namely through DSSOPT, shall oversee and inspect the construction work, namely the compliance with the work plan and the quality of materials, systems and equipment, in accordance with applicable legislation in regard to the requirements of the Investment Plan attached to the present concession contract.</w:t>
      </w:r>
    </w:p>
    <w:p>
      <w:pPr>
        <w:spacing w:after="0" w:line="194" w:lineRule="exact"/>
        <w:rPr>
          <w:sz w:val="20"/>
          <w:szCs w:val="20"/>
          <w:color w:val="auto"/>
        </w:rPr>
      </w:pPr>
    </w:p>
    <w:p>
      <w:pPr>
        <w:jc w:val="both"/>
        <w:ind w:right="320" w:firstLine="348"/>
        <w:spacing w:after="0" w:line="370" w:lineRule="auto"/>
        <w:rPr>
          <w:sz w:val="20"/>
          <w:szCs w:val="20"/>
          <w:color w:val="auto"/>
        </w:rPr>
      </w:pPr>
      <w:r>
        <w:rPr>
          <w:rFonts w:ascii="Arial" w:cs="Arial" w:eastAsia="Arial" w:hAnsi="Arial"/>
          <w:sz w:val="15"/>
          <w:szCs w:val="15"/>
          <w:color w:val="auto"/>
        </w:rPr>
        <w:t>TWO—The concessionaire shall be notified by this Direction on the appointment of the DSSOPT representatives to oversee and inspect the construction work; when the overseeing and inspection of the construction work is to be carried out by more than one representative, one will be appointed to be in charge.</w:t>
      </w:r>
    </w:p>
    <w:p>
      <w:pPr>
        <w:spacing w:after="0" w:line="11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THREE—The concessionaire shall deliver, for the purposes of number ONE, detailed monthly reports, in writing, showing the progress of the Investment Plan attached to the present concession contract. The said monthly reports shall include, at least:</w:t>
      </w:r>
    </w:p>
    <w:p>
      <w:pPr>
        <w:spacing w:after="0" w:line="213" w:lineRule="exact"/>
        <w:rPr>
          <w:sz w:val="20"/>
          <w:szCs w:val="20"/>
          <w:color w:val="auto"/>
        </w:rPr>
      </w:pPr>
    </w:p>
    <w:p>
      <w:pPr>
        <w:ind w:left="1080" w:hanging="532"/>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most relevant events, number of employees, quantities of materials, systems and equipment involved;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work progress in relation to the work programme (progress control);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Updates to the financial and execution chronograms;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requirements for plans, supplies, means to be used, materials, systems and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main measures taken to guarantee compliance with the work programme;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Action to be taken to correct deviations.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FOUR—The concessionaire shall submit extraordinary reports, detailed and in writing, whenever deemed necessary, namely when the normal work progress related to the execution of the Investment Plan attached to the present concession contract may be jeopardized.</w:t>
      </w:r>
    </w:p>
    <w:p>
      <w:pPr>
        <w:sectPr>
          <w:pgSz w:w="11900" w:h="16838" w:orient="portrait"/>
          <w:cols w:equalWidth="0" w:num="1">
            <w:col w:w="11420"/>
          </w:cols>
          <w:pgMar w:left="240" w:top="131" w:right="239" w:bottom="0" w:gutter="0" w:footer="0" w:header="0"/>
        </w:sectPr>
      </w:pPr>
    </w:p>
    <w:bookmarkStart w:id="170" w:name="page171"/>
    <w:bookmarkEnd w:id="170"/>
    <w:p>
      <w:pPr>
        <w:ind w:right="260" w:firstLine="351"/>
        <w:spacing w:after="0" w:line="268" w:lineRule="auto"/>
        <w:rPr>
          <w:sz w:val="20"/>
          <w:szCs w:val="20"/>
          <w:color w:val="auto"/>
        </w:rPr>
      </w:pPr>
      <w:r>
        <w:rPr>
          <w:rFonts w:ascii="Arial" w:cs="Arial" w:eastAsia="Arial" w:hAnsi="Arial"/>
          <w:sz w:val="18"/>
          <w:szCs w:val="18"/>
          <w:color w:val="auto"/>
        </w:rPr>
        <w:t>FIVE—The concessionaire shall submit, upon the request of the Government, within the established deadline, any documents, namely written and drawn relating to the Investment Plan attached to the present concession contract.</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SIX—The concessionaire shall furthermore supply in addition to the documents mentioned in the previous paragraph, any clarification and information that may be requested.</w:t>
      </w:r>
    </w:p>
    <w:p>
      <w:pPr>
        <w:spacing w:after="0" w:line="186"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SEVEN—If the Government has any doubts as to the quality of the work, it may require that tests be carried out, apart from those foreseen by the concessionaire, consulting the latter, if necessary, as to the rules of decision to be adopted.</w:t>
      </w:r>
    </w:p>
    <w:p>
      <w:pPr>
        <w:spacing w:after="0" w:line="186"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color w:val="auto"/>
        </w:rPr>
        <w:t>EIGHT—The expenses incurred with the tests referred to in the previous paragraph and the correction of detected deficiencies will be paid by the concessionaire.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NINE—The orders and notifications related with technical aspects of the work may be addressed, by the Government, namely through DSSOPT, directly to the technical director of the site.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TEN—The technical director of the site must follow the work closely and be present at the site whenever so required.</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ELEVEN—The Government, namely through DSSOPT, may suspend and embargo, under the terms of law, the work in progress whenever there is evidence of non-conformity with the plans approved, or violation of the legal rules and regulations applicable by law and by virtue of any contract.</w:t>
      </w:r>
    </w:p>
    <w:p>
      <w:pPr>
        <w:spacing w:after="0" w:line="139"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TWELVE—The powers of inspection on the compliance with the requirements resulting from the present concession contract do not involve any responsibility on the part of the grantee for the execution of the construction work: the concessionaire is exclusively responsible for any defect or fault in the conception, execution or operation of the said works, except for those that may have resulted from a decision of the grantee.</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Thirty Eight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Contracting and subcontracting</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Contracting and subcontracting of third parties does not exempt the concessionaire from its legal or contractual obligations.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Thirty Nine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Allocation of the remaining value of the investments included in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Investment Plan</w:t>
      </w:r>
    </w:p>
    <w:p>
      <w:pPr>
        <w:spacing w:after="0" w:line="219"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If, on completion of the work of the Investments Plan attached to the present concession contract, the total value of the concessionaire's direct or indirect expenses, is inferior to the global amount anticipated of MOP 4,000,000,000.00 (four thousand million patacas) for the investments described in the awarding proposal submitted by the concessionaire as bidder to the first public tender for the awarding of three concessions for the operation of games of chance or other games in casinos and included in the above mentioned Investments Plan, the concessionaire shall spend the remainder in projects related to its activity, to be indicated by the concessionaire and accepted by the Government, or in projects of relevant public interest for the Macau Special Administrative Region, to be indicated by the Government.</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Forty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Insurance</w:t>
      </w:r>
    </w:p>
    <w:p>
      <w:pPr>
        <w:spacing w:after="0" w:line="219" w:lineRule="exact"/>
        <w:rPr>
          <w:sz w:val="20"/>
          <w:szCs w:val="20"/>
          <w:color w:val="auto"/>
        </w:rPr>
      </w:pPr>
    </w:p>
    <w:p>
      <w:pPr>
        <w:jc w:val="both"/>
        <w:ind w:right="300" w:firstLine="351"/>
        <w:spacing w:after="0" w:line="335" w:lineRule="auto"/>
        <w:rPr>
          <w:sz w:val="20"/>
          <w:szCs w:val="20"/>
          <w:color w:val="auto"/>
        </w:rPr>
      </w:pPr>
      <w:r>
        <w:rPr>
          <w:rFonts w:ascii="Arial" w:cs="Arial" w:eastAsia="Arial" w:hAnsi="Arial"/>
          <w:sz w:val="15"/>
          <w:szCs w:val="15"/>
          <w:color w:val="auto"/>
        </w:rPr>
        <w:t>ONE—The concessionaire shall establish and keep up to date the insurance contracts that will guarantee an effective and comprehensive coverage of the risks inherent to the activities integrated in the concession. These insurance policies shall be contracted with authorized insurance companies operating in the Macau Special Administrative Region or if not feasible or too expensive for the concessionaire, with the Government's authorization, with outside insurers,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TWO—The concessionaire shall, specifically, ensure that the following insurance contracts exist and are maintained in force:</w:t>
      </w:r>
    </w:p>
    <w:p>
      <w:pPr>
        <w:spacing w:after="0" w:line="239" w:lineRule="exact"/>
        <w:rPr>
          <w:sz w:val="20"/>
          <w:szCs w:val="20"/>
          <w:color w:val="auto"/>
        </w:rPr>
      </w:pPr>
    </w:p>
    <w:p>
      <w:pPr>
        <w:ind w:left="1080" w:hanging="532"/>
        <w:spacing w:after="0"/>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Insurance for work related accidents and professional illnesses;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Third party liability insurance for all its vehicles;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Third party liability insurance for ships, aircraft or other flying engines that are the property of the concessionaire or being used under the leasing system;</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Third party liability insurance for the posting of advertising materials;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120" w:hanging="532"/>
        <w:spacing w:after="0" w:line="332" w:lineRule="auto"/>
        <w:tabs>
          <w:tab w:leader="none" w:pos="10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General third party liability insurance related to the operation of games of chance or other games in casinos in the Macau Special Administrative Region, as well as the development of other activities integrated in the concession and that are not covered by any other insurance policy;</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Insurance against damage to buildings, furniture, equipment and other goods allocated to the activities integrated in the concession;</w:t>
      </w:r>
    </w:p>
    <w:p>
      <w:pPr>
        <w:spacing w:after="0" w:line="261" w:lineRule="exact"/>
        <w:rPr>
          <w:rFonts w:ascii="Arial" w:cs="Arial" w:eastAsia="Arial" w:hAnsi="Arial"/>
          <w:sz w:val="16"/>
          <w:szCs w:val="16"/>
          <w:color w:val="auto"/>
        </w:rPr>
      </w:pPr>
    </w:p>
    <w:p>
      <w:pPr>
        <w:ind w:left="1080" w:right="600" w:hanging="532"/>
        <w:spacing w:after="0" w:line="268"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Insurance of buildings (all risks, including third party liability) covering any construction work of, or on, buildings related to the activities integrated in the concession;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THREE—The insurance coverage mentioned in 6) of the previous paragraph is to be of the multi-risk type, and shall cover at least, the following:</w:t>
      </w:r>
    </w:p>
    <w:p>
      <w:pPr>
        <w:sectPr>
          <w:pgSz w:w="11900" w:h="16838" w:orient="portrait"/>
          <w:cols w:equalWidth="0" w:num="1">
            <w:col w:w="11380"/>
          </w:cols>
          <w:pgMar w:left="240" w:top="131" w:right="279" w:bottom="0" w:gutter="0" w:footer="0" w:header="0"/>
        </w:sectPr>
      </w:pPr>
    </w:p>
    <w:bookmarkStart w:id="171" w:name="page172"/>
    <w:bookmarkEnd w:id="171"/>
    <w:p>
      <w:pPr>
        <w:ind w:left="1080" w:hanging="532"/>
        <w:spacing w:after="0"/>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Fire, lightning or explosion (whatever the nature);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Rupture of pipes, spillage or overflowing of tanks, boilers, plumbing, tanks, toilettes or equipment for the transport of water;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Floods, typhoons, tropical storms, volcanic eruptions, earthquakes or other convulsions of nature;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Fall or clashing of aircraft or other flying engines or objects fallen or thrown from them;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Vehicle crashes;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Larceny or theft;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Strikes, assaults, riots, disturbances of public order or other facts of a similar nature.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FOUR—The capital or the minimum limit to be insured, with reference to the insurance mentioned in TWO is the following:</w:t>
      </w:r>
    </w:p>
    <w:p>
      <w:pPr>
        <w:spacing w:after="0" w:line="252" w:lineRule="exact"/>
        <w:rPr>
          <w:sz w:val="20"/>
          <w:szCs w:val="20"/>
          <w:color w:val="auto"/>
        </w:rPr>
      </w:pPr>
    </w:p>
    <w:p>
      <w:pPr>
        <w:ind w:left="1080" w:hanging="532"/>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accordance with legislation in force for the insurance foreseen in items 1) to 4);</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 amount to be determined by the Government for the insurance in item 5), taking into account, among other factors, the turnover of activities integrated in the concession and the accident rate of the previous year,</w:t>
      </w:r>
    </w:p>
    <w:p>
      <w:pPr>
        <w:spacing w:after="0" w:line="199"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Equal to the net value of the goods to be covered by the insurance under item 6), net value meaning the gross value minus accumulated depreciation;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value of the construction work for the insurance referred in item 7).</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FIVE—the concessionaire shall further ensure that the entities they may contract have valid insurance against work related accidents and professional illnesses.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SIX—The concessionaire shall make proof, before the Government, of the existence and full validity of the insurance contracts, by submitting a copy of these at the time they are contracted and upon renovation.</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SEVEN—The concessionaire shall not start any construction or work without previously submitting to the Government the copies referred to in the previous paragraph.</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EIGHT—Except by Government authorization, the concessionaire may not cancel, suspend, modify or substitute any insurance contracts, except in the case of a mere change of insurance company, in which case the concessionaire shall inform the Government of the fact as soon as possible.</w:t>
      </w:r>
    </w:p>
    <w:p>
      <w:pPr>
        <w:spacing w:after="0" w:line="13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NINE—The Government may, at the concessionaire's expense, and resorting to the bail deposited to guarantee the legal or contractual obligations of the concessionaire, directly pay the insurance, if the concessionaire has not done so.</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CHAPTER VIII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ASSETS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Forty One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Assets of the Macau Special Administrative Region</w:t>
      </w:r>
    </w:p>
    <w:p>
      <w:pPr>
        <w:spacing w:after="0" w:line="219" w:lineRule="exact"/>
        <w:rPr>
          <w:sz w:val="20"/>
          <w:szCs w:val="20"/>
          <w:color w:val="auto"/>
        </w:rPr>
      </w:pPr>
    </w:p>
    <w:p>
      <w:pPr>
        <w:ind w:right="440" w:firstLine="351"/>
        <w:spacing w:after="0" w:line="370" w:lineRule="auto"/>
        <w:rPr>
          <w:sz w:val="20"/>
          <w:szCs w:val="20"/>
          <w:color w:val="auto"/>
        </w:rPr>
      </w:pPr>
      <w:r>
        <w:rPr>
          <w:rFonts w:ascii="Arial" w:cs="Arial" w:eastAsia="Arial" w:hAnsi="Arial"/>
          <w:sz w:val="15"/>
          <w:szCs w:val="15"/>
          <w:color w:val="auto"/>
        </w:rPr>
        <w:t>ONE—The concessionaire shall ensure the maintenance or replacement, in accordance to instructions of the DICJ, of the property/goods of the Macau Special Administrative Region that may be allocated to the operation of the concession through the temporary transfer of its use, fruition and utilization.</w:t>
      </w:r>
    </w:p>
    <w:p>
      <w:pPr>
        <w:spacing w:after="0" w:line="11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TWO—The concessionaire shall ensure the maintenance of the land, grounds or natural resources, whose management is the responsibility of the Government, under the terms of article 7 of the Basic Law of the Macau Special Administrative Region, and that have been or may be allocated to the operation of the concession, either by rental or by concession.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Forty Two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assets</w:t>
      </w:r>
    </w:p>
    <w:p>
      <w:pPr>
        <w:spacing w:after="0" w:line="21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ONE—The casinos, as well as the equipment and all utensils pertaining to the games, must be located in the concessionaire's premises, and no expenses or encumbering may fall on the casinos, equipment and utensils, except with the Government's authorization.</w:t>
      </w:r>
    </w:p>
    <w:p>
      <w:pPr>
        <w:spacing w:after="0" w:line="186"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TWO—In spite of the authorization referred to in the previous paragraph, the concessionaire shall ensure that the casinos, as well as the equipment and utensils pertaining to the games, even if located outside these, are free of any expense or onus at the time the concession terminates.</w:t>
      </w:r>
    </w:p>
    <w:p>
      <w:pPr>
        <w:spacing w:after="0" w:line="139"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THREE—Except by Government authorization, the casinos may not be located in buildings, the use and fruition of which are entitled by leasing contracts, whatever their nature, or any other type of contract that does not confer to the concessionaire total property rights, even if atypical; the said authorization may namely impose the condition, in order to allow the reversal of the casinos to the Macau Special Administrative Region, that the concessionaire acquire the independent units where the casinos are located, up until one hundred and eighty days before the date foreseen in number ONE of clause forty three, except if the concession becomes extinct before that date, in which the acquisition must take place in the shortest possible period of time.</w:t>
      </w:r>
    </w:p>
    <w:p>
      <w:pPr>
        <w:spacing w:after="0" w:line="17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FOUR—When duly authorized, the concessionaire shall submit to the Government, a copy of the contracts referred to in the previous paragraph, as well as all the alterations and changes, even if retroactive.</w:t>
      </w:r>
    </w:p>
    <w:p>
      <w:pPr>
        <w:sectPr>
          <w:pgSz w:w="11900" w:h="16838" w:orient="portrait"/>
          <w:cols w:equalWidth="0" w:num="1">
            <w:col w:w="11380"/>
          </w:cols>
          <w:pgMar w:left="240" w:top="145" w:right="279" w:bottom="0" w:gutter="0" w:footer="0" w:header="0"/>
        </w:sectPr>
      </w:pPr>
    </w:p>
    <w:bookmarkStart w:id="172" w:name="page173"/>
    <w:bookmarkEnd w:id="172"/>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FIVE—The concessionaire shall locate all its casinos in buildings or groups of buildings, even though they may constitute a single economic and functional unit, established as horizontal property, so that they are integrated in one or more independent units, with areas perfectly identified and defined.</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SIX—For purposes of the previous paragraph, the concessionaire shall submit to the government, with the shortest possible delay, a certificate of the real estate registry in relation to the constitution of horizontal property, which shall include the specifications of all independent units, together with a blueprint where the respective areas are defined and marked.</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SEVEN—The concessionaire shall register any alteration to the constitution deed for the horizontal property, submitting to the Government, through the DSF, as soon as possible, the respective real estate registry certificate.</w:t>
      </w:r>
    </w:p>
    <w:p>
      <w:pPr>
        <w:spacing w:after="0" w:line="186"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EIGHT—The concessionaire shall furthermore submit for the approval of the Government the regulation of the condominium relating to the horizontal property.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Forty Three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Reversal of the casinos and equipment and utensils allocated to the games</w:t>
      </w:r>
    </w:p>
    <w:p>
      <w:pPr>
        <w:spacing w:after="0" w:line="220" w:lineRule="exact"/>
        <w:rPr>
          <w:sz w:val="20"/>
          <w:szCs w:val="20"/>
          <w:color w:val="auto"/>
        </w:rPr>
      </w:pPr>
    </w:p>
    <w:p>
      <w:pPr>
        <w:ind w:firstLine="351"/>
        <w:spacing w:after="0" w:line="228" w:lineRule="auto"/>
        <w:rPr>
          <w:sz w:val="20"/>
          <w:szCs w:val="20"/>
          <w:color w:val="auto"/>
        </w:rPr>
      </w:pPr>
      <w:r>
        <w:rPr>
          <w:rFonts w:ascii="Arial" w:cs="Arial" w:eastAsia="Arial" w:hAnsi="Arial"/>
          <w:sz w:val="18"/>
          <w:szCs w:val="18"/>
          <w:color w:val="auto"/>
        </w:rPr>
        <w:t>ONE—On the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June two thousand and twenty two, except if the concession becomes extinct before that date, the casinos, as well as the equipment and utensils pertaining to the games, even though they may be placed outside these, shall revert cost-free and automatically to the grantee, and the concessionaire shall surrender them in perfect working order, without prejudice of the normal wear and tear resulting from the operation of the present concession contract, and free of any onus or charge.</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TWO—The concessionaire shall immediately deliver the property referred to in the previous paragraph.</w:t>
      </w:r>
    </w:p>
    <w:p>
      <w:pPr>
        <w:spacing w:after="0" w:line="225" w:lineRule="exact"/>
        <w:rPr>
          <w:sz w:val="20"/>
          <w:szCs w:val="20"/>
          <w:color w:val="auto"/>
        </w:rPr>
      </w:pPr>
    </w:p>
    <w:p>
      <w:pPr>
        <w:jc w:val="both"/>
        <w:ind w:right="560" w:firstLine="348"/>
        <w:spacing w:after="0" w:line="370" w:lineRule="auto"/>
        <w:rPr>
          <w:sz w:val="20"/>
          <w:szCs w:val="20"/>
          <w:color w:val="auto"/>
        </w:rPr>
      </w:pPr>
      <w:r>
        <w:rPr>
          <w:rFonts w:ascii="Arial" w:cs="Arial" w:eastAsia="Arial" w:hAnsi="Arial"/>
          <w:sz w:val="15"/>
          <w:szCs w:val="15"/>
          <w:color w:val="auto"/>
        </w:rPr>
        <w:t>THREE—If the concessionaire does not immediately surrender the property referred to in ONE, the Government shall take immediate administrative possession of same, the expenses being paid for out of the bail to guarantee the compliance with the legal or contractual obligations of the concessionaire.</w:t>
      </w:r>
    </w:p>
    <w:p>
      <w:pPr>
        <w:spacing w:after="0" w:line="11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FOUR—When the concession terminates, the Government shall inspect the property referred to in clauses Forty One and Forty Two, in the presence of the representatives of the concessionaire, in order to ascertain the condition and maintenance of the mentioned property and a report shall be prepared.</w:t>
      </w:r>
    </w:p>
    <w:p>
      <w:pPr>
        <w:spacing w:after="0" w:line="139" w:lineRule="exact"/>
        <w:rPr>
          <w:sz w:val="20"/>
          <w:szCs w:val="20"/>
          <w:color w:val="auto"/>
        </w:rPr>
      </w:pPr>
    </w:p>
    <w:p>
      <w:pPr>
        <w:ind w:right="440" w:firstLine="351"/>
        <w:spacing w:after="0" w:line="306" w:lineRule="auto"/>
        <w:rPr>
          <w:sz w:val="20"/>
          <w:szCs w:val="20"/>
          <w:color w:val="auto"/>
        </w:rPr>
      </w:pPr>
      <w:r>
        <w:rPr>
          <w:rFonts w:ascii="Arial" w:cs="Arial" w:eastAsia="Arial" w:hAnsi="Arial"/>
          <w:sz w:val="16"/>
          <w:szCs w:val="16"/>
          <w:color w:val="auto"/>
        </w:rPr>
        <w:t>FIVE—Should the dissolution or liquidation of the concessionaire occur, the distribution of its estate cannot be effected until the Government certifies, through the mandatory inventory mentioned in the next clause, that the property to be reverted is in perfect order and working condition, or until there is assurance, by means of a guarantee accepted by the Government, of payment of any amounts due to the grantee, by way of indemnity or any other title.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SIX—The ruling in the last part of number ONE does not preclude the normal renovation of equipment and utensils pertaining to the games.</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Forty Four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Inventory of property allocated to the concession</w:t>
      </w:r>
    </w:p>
    <w:p>
      <w:pPr>
        <w:spacing w:after="0" w:line="219"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ONE—The concessionaire shall prepare, in triplicate, and maintain updated, the inventory of all goods and rights pertaining to the Macau Special Administrative Region for the use of the concession, as well as all property that shall revert to the Macau Special Administrative Region, and shall annually and prior to the thirty first of May, update the maps corresponding to alterations that have taken place and send them to the DICJ and the DSF.</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TWO—In the year of the final term of the concession, it is mandatory that the above-described inventory be prepared sixty days before termination.</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THREE—In other cases of extinction of the concession, the inventory referred in ONE shall take place at a date and time determined by the Government.</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Forty Five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Improvements</w:t>
      </w:r>
    </w:p>
    <w:p>
      <w:pPr>
        <w:spacing w:after="0" w:line="219"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improvements that, for any reason, are done to the property referred to in clause Forty One, as well as to the property reverting to the grantee, do not entitle the concessionaire to any compensation or indemnity.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Forty Six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Granting of land for the use of the concessionaire</w:t>
      </w:r>
    </w:p>
    <w:p>
      <w:pPr>
        <w:spacing w:after="0" w:line="219"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ONE—The system of granting of land for the use of the concessionaire, namely for the operation of the concession, is established in the respective land granting contract.</w:t>
      </w:r>
    </w:p>
    <w:p>
      <w:pPr>
        <w:spacing w:after="0" w:line="186"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TWO—The clauses of the land granting contract to be signed by the Government and the concessionaire are subject to the conditions of the present concession contract, in what is applicable.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CHAPTER IX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Premium</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Forty Seven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Premium</w:t>
      </w:r>
    </w:p>
    <w:p>
      <w:pPr>
        <w:sectPr>
          <w:pgSz w:w="11900" w:h="16838" w:orient="portrait"/>
          <w:cols w:equalWidth="0" w:num="1">
            <w:col w:w="11400"/>
          </w:cols>
          <w:pgMar w:left="240" w:top="131" w:right="259" w:bottom="0" w:gutter="0" w:footer="0" w:header="0"/>
        </w:sectPr>
      </w:pPr>
    </w:p>
    <w:bookmarkStart w:id="173" w:name="page174"/>
    <w:bookmarkEnd w:id="173"/>
    <w:p>
      <w:pPr>
        <w:ind w:right="500" w:firstLine="351"/>
        <w:spacing w:after="0" w:line="268" w:lineRule="auto"/>
        <w:rPr>
          <w:sz w:val="20"/>
          <w:szCs w:val="20"/>
          <w:color w:val="auto"/>
        </w:rPr>
      </w:pPr>
      <w:r>
        <w:rPr>
          <w:rFonts w:ascii="Arial" w:cs="Arial" w:eastAsia="Arial" w:hAnsi="Arial"/>
          <w:sz w:val="18"/>
          <w:szCs w:val="18"/>
          <w:color w:val="auto"/>
        </w:rPr>
        <w:t>ONE—The concessionaire shall pay the Macau Special Administrative Region an annual premium, for the term of the concession, as payment for the awarding of a concession for the operation of games of chance or other games in casinos.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TWO—The amount of the annual premium to be paid by the concessionaire is composed of a fixed and a variable portion.</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THREE—The amount of the fixed portion of the premium to be paid by the concessionaire is, under the terms of Dispatch number 215/2001 of the Chief Executive, of MOP 30,000,000.00 (thirty million patacas) per year.</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FOUR—The amount of the variable part of the premium to be paid annually by the concessionaire shall be calculated based on the number of gaming tables and electric or mechanical machines, including </w:t>
      </w:r>
      <w:r>
        <w:rPr>
          <w:rFonts w:ascii="Arial" w:cs="Arial" w:eastAsia="Arial" w:hAnsi="Arial"/>
          <w:sz w:val="18"/>
          <w:szCs w:val="18"/>
          <w:i w:val="1"/>
          <w:iCs w:val="1"/>
          <w:color w:val="auto"/>
        </w:rPr>
        <w:t>"slot machines",</w:t>
      </w:r>
      <w:r>
        <w:rPr>
          <w:rFonts w:ascii="Arial" w:cs="Arial" w:eastAsia="Arial" w:hAnsi="Arial"/>
          <w:sz w:val="18"/>
          <w:szCs w:val="18"/>
          <w:color w:val="auto"/>
        </w:rPr>
        <w:t xml:space="preserve"> operated by same.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FIVE—For the purposes of the previous number:</w:t>
      </w:r>
    </w:p>
    <w:p>
      <w:pPr>
        <w:spacing w:after="0" w:line="239" w:lineRule="exact"/>
        <w:rPr>
          <w:sz w:val="20"/>
          <w:szCs w:val="20"/>
          <w:color w:val="auto"/>
        </w:rPr>
      </w:pPr>
    </w:p>
    <w:p>
      <w:pPr>
        <w:ind w:left="1080" w:right="20" w:hanging="532"/>
        <w:spacing w:after="0" w:line="268" w:lineRule="auto"/>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For each gaming table reserved for particular games and players, namely operated in a special area or room, the concessionaire shall pay, per year, MOP 300,000,00 (three hundred thousand patacas).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For each gaming table non-reserved for particular games and players, the concessionaire shall pay, per year, MOP 150,000,00 (one hundred and fifty thousand patacas);</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For each electric or mechanic gaming machine, including </w:t>
      </w:r>
      <w:r>
        <w:rPr>
          <w:rFonts w:ascii="Arial" w:cs="Arial" w:eastAsia="Arial" w:hAnsi="Arial"/>
          <w:sz w:val="18"/>
          <w:szCs w:val="18"/>
          <w:i w:val="1"/>
          <w:iCs w:val="1"/>
          <w:color w:val="auto"/>
        </w:rPr>
        <w:t>"slot machines",</w:t>
      </w:r>
      <w:r>
        <w:rPr>
          <w:rFonts w:ascii="Arial" w:cs="Arial" w:eastAsia="Arial" w:hAnsi="Arial"/>
          <w:sz w:val="18"/>
          <w:szCs w:val="18"/>
          <w:color w:val="auto"/>
        </w:rPr>
        <w:t xml:space="preserve"> operated by the concessionaire, the concessionaire shall pay, per year, MOP 1,000.00 (one thousand patacas).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SIX—Apart from the number of gaming tables that the concessionaire operates at a given time, the amount of the variable portion of the premium cannot be less than the amount that would result from the permanent operation of 100 (one hundred) gaming tables reserved for particular games and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players, namely operated in gaming rooms or special areas, and 100 (one hundred) gaming tables non-reserved for particular games and players.</w:t>
      </w:r>
    </w:p>
    <w:p>
      <w:pPr>
        <w:spacing w:after="0" w:line="24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SEVEN—The concessionaire shall pay the amount of the fixed portion of the premium, up until the tenth day of the month of January of the year to which it refers: payment in monthly instalments is possible at the discretion of the Government.</w:t>
      </w:r>
    </w:p>
    <w:p>
      <w:pPr>
        <w:spacing w:after="0" w:line="186"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 xml:space="preserve">EIGHT—The concessionaire shall pay monthly, up until the tenth day of the month following that to which it refers, the amount of the variable portion of the premium referring to the gaming tables, electric or mechanic gaming machines, including </w:t>
      </w:r>
      <w:r>
        <w:rPr>
          <w:rFonts w:ascii="Arial" w:cs="Arial" w:eastAsia="Arial" w:hAnsi="Arial"/>
          <w:sz w:val="16"/>
          <w:szCs w:val="16"/>
          <w:i w:val="1"/>
          <w:iCs w:val="1"/>
          <w:color w:val="auto"/>
        </w:rPr>
        <w:t>"slot machines"</w:t>
      </w:r>
      <w:r>
        <w:rPr>
          <w:rFonts w:ascii="Arial" w:cs="Arial" w:eastAsia="Arial" w:hAnsi="Arial"/>
          <w:sz w:val="16"/>
          <w:szCs w:val="16"/>
          <w:color w:val="auto"/>
        </w:rPr>
        <w:t xml:space="preserve"> that it operated during the previous month.</w:t>
      </w:r>
    </w:p>
    <w:p>
      <w:pPr>
        <w:spacing w:after="0" w:line="139"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 xml:space="preserve">NINE—For purposes of the calculation of the amount of the variable part of the premium referred in the previous number, consideration is given to the number of days that in a given month each gaming table and each electric or mechanic gaming machine, including </w:t>
      </w:r>
      <w:r>
        <w:rPr>
          <w:rFonts w:ascii="Arial" w:cs="Arial" w:eastAsia="Arial" w:hAnsi="Arial"/>
          <w:sz w:val="18"/>
          <w:szCs w:val="18"/>
          <w:i w:val="1"/>
          <w:iCs w:val="1"/>
          <w:color w:val="auto"/>
        </w:rPr>
        <w:t>"slot machines"</w:t>
      </w:r>
      <w:r>
        <w:rPr>
          <w:rFonts w:ascii="Arial" w:cs="Arial" w:eastAsia="Arial" w:hAnsi="Arial"/>
          <w:sz w:val="18"/>
          <w:szCs w:val="18"/>
          <w:color w:val="auto"/>
        </w:rPr>
        <w:t>, was operated by the concessionaire.</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TEN—The payment of the premium is carried out by submitting the respective payment invoice in the Receiving section of the Finance Department of the Macau Special Administrative Region.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Chapter X</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Contributions under paragraphs 7) and 8) of article 22 of Law number 16/2001</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Forty Eight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Contribution under paragraph 7) of article 22 of Law number 16/2001</w:t>
      </w:r>
    </w:p>
    <w:p>
      <w:pPr>
        <w:spacing w:after="0" w:line="219"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ONE—The concessionaire shall pay to the grantee a contribution corresponding to 1.6% (one point six percent) of the gross revenues of the gaming operation, that will be made available to a public foundation for the promotion, development and study of social, cultural, economic, educational, scientific, academic and charity activities, to be indicated by the Government.</w:t>
      </w:r>
    </w:p>
    <w:p>
      <w:pPr>
        <w:spacing w:after="0" w:line="194"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TWO—The contribution referred above is paid monthly by the concessionaire, prior to the tenth day of the month following that to which it relates, by submission of the respective payment invoice in the Receiving section of the Finance Department of the Macau Special Administrative Region.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THREE—The contribution referred in number ONE will be the object of a special budget record by the grantee.</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Forty Nine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Contribution under item 8) of article 22 of Law number 16/2001</w:t>
      </w:r>
    </w:p>
    <w:p>
      <w:pPr>
        <w:spacing w:after="0" w:line="219"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ONE—The concessionaire undertakes to pay the grantee a contribution corresponding to 2.4% (two point four percent) of the gross revenues of the gaming operation, to be used for urban development, tourist promotion and the social security of the Macau Special Administrative Region.</w:t>
      </w:r>
    </w:p>
    <w:p>
      <w:pPr>
        <w:spacing w:after="0" w:line="139"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TWO—The contribution mentioned in the previous paragraph is paid monthly by the concessionaire until the tenth day of the month following that to which it relates, by submitting the respective payment invoice in the Receiving Section of the Finance Department of the Macau Special Administrative Region.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THREE—The contribution referred to in number ONE will be the subject to a special budget record by the grantee.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FOUR—The Government may appoint one or more projects or one or more entities as beneficiaries of the allocation of part the amounts paid.</w:t>
      </w:r>
    </w:p>
    <w:p>
      <w:pPr>
        <w:sectPr>
          <w:pgSz w:w="11900" w:h="16838" w:orient="portrait"/>
          <w:cols w:equalWidth="0" w:num="1">
            <w:col w:w="11380"/>
          </w:cols>
          <w:pgMar w:left="240" w:top="131" w:right="279" w:bottom="76"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76" w:gutter="0" w:footer="0" w:header="0"/>
          <w:type w:val="continuous"/>
        </w:sectPr>
      </w:pPr>
    </w:p>
    <w:bookmarkStart w:id="174" w:name="page175"/>
    <w:bookmarkEnd w:id="174"/>
    <w:p>
      <w:pPr>
        <w:ind w:right="40" w:firstLine="351"/>
        <w:spacing w:after="0" w:line="256" w:lineRule="auto"/>
        <w:rPr>
          <w:sz w:val="20"/>
          <w:szCs w:val="20"/>
          <w:color w:val="auto"/>
        </w:rPr>
      </w:pPr>
      <w:r>
        <w:rPr>
          <w:rFonts w:ascii="Arial" w:cs="Arial" w:eastAsia="Arial" w:hAnsi="Arial"/>
          <w:sz w:val="18"/>
          <w:szCs w:val="18"/>
          <w:color w:val="auto"/>
        </w:rPr>
        <w:t>FIVE—The Government and the concessionaire may agree to allocate, to one or more entities or one or more projects, funds, up to the maximum amount of 1.2% (one point two) of the gross revenue of the gaming operations, in such case the concessionaire may allocate directly the funds to such entities or projects, in which case the amount of the contribution referred to in ONE to be submitted to the Receiving Section of the Finance Department of the Macau Special Administrative Region, will be reduced accordingly.</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CHAPTER XI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Fiscal obligations and submission of documents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gaming tax</w:t>
      </w:r>
    </w:p>
    <w:p>
      <w:pPr>
        <w:spacing w:after="0" w:line="219" w:lineRule="exact"/>
        <w:rPr>
          <w:sz w:val="20"/>
          <w:szCs w:val="20"/>
          <w:color w:val="auto"/>
        </w:rPr>
      </w:pPr>
    </w:p>
    <w:p>
      <w:pPr>
        <w:ind w:right="900" w:firstLine="351"/>
        <w:spacing w:after="0" w:line="332" w:lineRule="auto"/>
        <w:rPr>
          <w:sz w:val="20"/>
          <w:szCs w:val="20"/>
          <w:color w:val="auto"/>
        </w:rPr>
      </w:pPr>
      <w:r>
        <w:rPr>
          <w:rFonts w:ascii="Arial" w:cs="Arial" w:eastAsia="Arial" w:hAnsi="Arial"/>
          <w:sz w:val="16"/>
          <w:szCs w:val="16"/>
          <w:color w:val="auto"/>
        </w:rPr>
        <w:t>ONE—The concessionaire shall pay the Macau Special Administrative Region the special gaming tax established by law, which shall be paid in duodecimals, by a monthly remittance to the Government up to the tenth day of the month following that to which it refers.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TWO—The payment of the special gaming tax may be effected in patacas or in a currency accepted by the Government.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THREE—The payment of the special gaming tax in patacas is made directly to the Treasury of the Macau Special Administrative Region.</w:t>
      </w:r>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FOUR—The payment of the special gaming tax in currency accepted by the Government is made by means of remittance of that currency to the Macau Monetary Authority who will place the corresponding amount in patacas at the order of the Treasury of the Macau Special Administrative Region.</w:t>
      </w:r>
    </w:p>
    <w:p>
      <w:pPr>
        <w:spacing w:after="0" w:line="13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Clause Fifty One</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Tax withholding</w:t>
      </w:r>
    </w:p>
    <w:p>
      <w:pPr>
        <w:spacing w:after="0" w:line="21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ONE—The concessionaire shall withhold, on a definitive basis, the legally established tax on commissions and other remunerations paid to game promoters, submitting the respective amounts monthly, up to the tenth day of the month following that to which it refers, to the Receiving section of the Finance Department of the Macau Special Administrative Region.</w:t>
      </w:r>
    </w:p>
    <w:p>
      <w:pPr>
        <w:spacing w:after="0" w:line="194"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TWO—The concessionaire shall withhold, on a definitive basis, the legally established income tax for workers, submitting the respective amounts monthly, up to the tenth day of the month following that to which it refers, at the Receiving section of the Finance Department of the Macau Special Administrative Region, in accordance with the law.</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Fifty Two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Payment of other taxes, contributions, rates or emoluments due</w:t>
      </w:r>
    </w:p>
    <w:p>
      <w:pPr>
        <w:spacing w:after="0" w:line="219"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concessionaire shall pay other taxes, contributions, rates or emoluments due in accordance with the legislation of the Macau Special Administrative Region from which it has not been exempted.</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Fifty Three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 proving the non-existence of debts to the Treasury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Macau Special Administrative Region</w:t>
      </w:r>
    </w:p>
    <w:p>
      <w:pPr>
        <w:spacing w:after="0" w:line="219"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ONE—The concessionaire shall supply to the Government annually, until the thirty first of March, a certificate issued by the DSF, referred to the previous year, confirming that the concessionaire has no debts to the Treasury of the Macau Special Administrative Region, for contributions and taxes, fines or accruals, being including in this concept the interest on deferred payments and the 3% of debts.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TWO—The concessionaire shall furthermore supply to the Government, annually and up to thirty first of March, a document referred to the previous year, describing the fiscal situation of its executive director, the members of its governing bodies and of its shareholders holding 5% or more of its capital stock.</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Fifty Four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 proving the non-existence of debts to the Social Security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Macau Special Administrative Region</w:t>
      </w:r>
    </w:p>
    <w:p>
      <w:pPr>
        <w:spacing w:after="0" w:line="219"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concessionaire shall supply the Government annually, until the thirty first of March, a certificate issued by the Social Security Fund of the Macau Special Administrative Region confirming that the concessionaire has its payments to the Social Security Fund of the Macau Special Administrative Region in order.</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Fifty Five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Furnishing of information</w:t>
      </w:r>
    </w:p>
    <w:p>
      <w:pPr>
        <w:spacing w:after="0" w:line="219"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ONE—The concessionaire shall submit to the Government every quarter, until the last day of the month following the end of the respective quarter, its trial balance relating to the previous quarter, except for the last quarter of each year that is sent until the last day of the month of February of the following year.</w:t>
      </w:r>
    </w:p>
    <w:p>
      <w:pPr>
        <w:spacing w:after="0" w:line="139"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TWO—The concessionaire shall also submit to the Government, until thirty days before the date of the annual general meeting to approve the accounts, the following elements:</w:t>
      </w:r>
    </w:p>
    <w:p>
      <w:pPr>
        <w:spacing w:after="0" w:line="199" w:lineRule="exact"/>
        <w:rPr>
          <w:sz w:val="20"/>
          <w:szCs w:val="20"/>
          <w:color w:val="auto"/>
        </w:rPr>
      </w:pPr>
    </w:p>
    <w:p>
      <w:pPr>
        <w:ind w:left="1080" w:hanging="532"/>
        <w:spacing w:after="0"/>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set of accounting and statistic maps referring to the previous fiscal year;</w:t>
      </w:r>
    </w:p>
    <w:p>
      <w:pPr>
        <w:spacing w:after="0" w:line="225" w:lineRule="exact"/>
        <w:rPr>
          <w:rFonts w:ascii="Arial" w:cs="Arial" w:eastAsia="Arial" w:hAnsi="Arial"/>
          <w:sz w:val="18"/>
          <w:szCs w:val="18"/>
          <w:color w:val="auto"/>
        </w:rPr>
      </w:pPr>
    </w:p>
    <w:p>
      <w:pPr>
        <w:spacing w:after="0"/>
        <w:tabs>
          <w:tab w:leader="none" w:pos="0" w:val="left"/>
        </w:tabs>
        <w:numPr>
          <w:ilvl w:val="0"/>
          <w:numId w:val="267"/>
        </w:numPr>
        <w:rPr>
          <w:rFonts w:ascii="Arial" w:cs="Arial" w:eastAsia="Arial" w:hAnsi="Arial"/>
          <w:sz w:val="18"/>
          <w:szCs w:val="18"/>
          <w:color w:val="auto"/>
        </w:rPr>
      </w:pPr>
    </w:p>
    <w:p>
      <w:pPr>
        <w:sectPr>
          <w:pgSz w:w="11900" w:h="16838" w:orient="portrait"/>
          <w:cols w:equalWidth="0" w:num="1">
            <w:col w:w="11380"/>
          </w:cols>
          <w:pgMar w:left="240" w:top="591" w:right="279" w:bottom="0" w:gutter="0" w:footer="0" w:header="0"/>
        </w:sectPr>
      </w:pPr>
    </w:p>
    <w:bookmarkStart w:id="175" w:name="page176"/>
    <w:bookmarkEnd w:id="175"/>
    <w:p>
      <w:pPr>
        <w:ind w:left="1080" w:right="360"/>
        <w:spacing w:after="0" w:line="268" w:lineRule="auto"/>
        <w:rPr>
          <w:sz w:val="20"/>
          <w:szCs w:val="20"/>
          <w:color w:val="auto"/>
        </w:rPr>
      </w:pPr>
      <w:r>
        <w:rPr>
          <w:rFonts w:ascii="Arial" w:cs="Arial" w:eastAsia="Arial" w:hAnsi="Arial"/>
          <w:sz w:val="18"/>
          <w:szCs w:val="18"/>
          <w:color w:val="auto"/>
        </w:rPr>
        <w:t>The full names, in all possible versions, of those who, during the respective year were part of management and fiscal boards, of the appointed attorneys, as well as of the person responsible for the accounts department; and</w:t>
      </w:r>
    </w:p>
    <w:p>
      <w:pPr>
        <w:spacing w:after="0" w:line="199" w:lineRule="exact"/>
        <w:rPr>
          <w:sz w:val="20"/>
          <w:szCs w:val="20"/>
          <w:color w:val="auto"/>
        </w:rPr>
      </w:pPr>
    </w:p>
    <w:p>
      <w:pPr>
        <w:ind w:left="1080" w:hanging="532"/>
        <w:spacing w:after="0"/>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 copy of the annual report of the board of directors, together with the report of the audit board and of the external auditors.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Fifty Six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Accounting and internal control</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ONE—The concessionaire shall have its own accounting, a sound administrative organization and adequate control procedures, and shall follow, as to these matters, the instructions issued by the government, namely through the DICJ or the DSF.</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TWO—In the format and rendering of the accounts, the concessionaire shall solely follow the criteria of the Official Accounting Plan in effect in the Macau Special Administrative Region, without prejudice of the Head of the Executive, by proposal of the director of the DICJ or the director of the DSF, eventually making mandatory the existence of certain books, documents or other accounting elements, as well as determining the criteria to be adopted by the concessionaire in the accounting records of its operations and the observance of special norms in their preparation or presentation.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Fifty Seven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External audit of annual accounts</w:t>
      </w:r>
    </w:p>
    <w:p>
      <w:pPr>
        <w:spacing w:after="0" w:line="219"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concessionaire shall carry out an annual audit to its accounts, conducted by an external independent agent of recognized international repute, previously accepted by the DICJ and the DSF, supplying in advance all the necessary documentation, namely that referred in article 34 of Law number 16/2001.</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Fifty Eight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Extraordinary Audits</w:t>
      </w:r>
    </w:p>
    <w:p>
      <w:pPr>
        <w:spacing w:after="0" w:line="219"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The concessionaire shall at any moment, with or without advance notice, accept extraordinary audits, carried out by an external independent agent of recognized international repute or by another entity, as and when the DICJ or the DSF deem it necessary or convenient.</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Fifty Nine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Mandatory publications</w:t>
      </w:r>
    </w:p>
    <w:p>
      <w:pPr>
        <w:spacing w:after="0" w:line="219"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ONE—The concessionaire is committed to annually publishing, until the thirtieth of April, and in relation to the previous fiscal year ended at the thirty first of December, in the Official Gazette of the Macau Special Administrative Region, and in two of the most widely read newspapers of the Macau Special Administrative Region, one being necessarily in the Chinese language and the other in the Portuguese language, the following information:</w:t>
      </w:r>
    </w:p>
    <w:p>
      <w:pPr>
        <w:spacing w:after="0" w:line="188" w:lineRule="exact"/>
        <w:rPr>
          <w:sz w:val="20"/>
          <w:szCs w:val="20"/>
          <w:color w:val="auto"/>
        </w:rPr>
      </w:pPr>
    </w:p>
    <w:p>
      <w:pPr>
        <w:ind w:left="1080" w:hanging="532"/>
        <w:spacing w:after="0"/>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Balance sheet, statement of results and attachments;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Summary of the activity report;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Report of the fiscal board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Summary of the external auditors' report</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List of qualified shareholders, holding 5% or more of the capital stock, in any period of the year, with indication of the respective percentage value;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names of the members of the governing bodies.</w:t>
      </w:r>
    </w:p>
    <w:p>
      <w:pPr>
        <w:spacing w:after="0" w:line="225" w:lineRule="exact"/>
        <w:rPr>
          <w:sz w:val="20"/>
          <w:szCs w:val="20"/>
          <w:color w:val="auto"/>
        </w:rPr>
      </w:pPr>
    </w:p>
    <w:p>
      <w:pPr>
        <w:jc w:val="both"/>
        <w:ind w:right="680" w:firstLine="348"/>
        <w:spacing w:after="0" w:line="370" w:lineRule="auto"/>
        <w:rPr>
          <w:sz w:val="20"/>
          <w:szCs w:val="20"/>
          <w:color w:val="auto"/>
        </w:rPr>
      </w:pPr>
      <w:r>
        <w:rPr>
          <w:rFonts w:ascii="Arial" w:cs="Arial" w:eastAsia="Arial" w:hAnsi="Arial"/>
          <w:sz w:val="15"/>
          <w:szCs w:val="15"/>
          <w:color w:val="auto"/>
        </w:rPr>
        <w:t>TWO—The concessionaire shall submit to the Government, a copy of all the elements referred in the previous paragraph, and of other elements for publication, which is required by the concession system referred to in clause six, with the minimum advance of ten days prior to the date of publication.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Sixty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duty of cooperation</w:t>
      </w:r>
    </w:p>
    <w:p>
      <w:pPr>
        <w:spacing w:after="0" w:line="219"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Without prejudice of the general duty to cooperate contemplated in clause sixty seven, the concessionaire shall cooperate with the Government, namely with the DICJ and the DSF, as to the supply of elements and information that may be solicited by them, and as to the analysis or inspection of its accounts, holding extraordinary audits and, in general, as to the duties entailed by the concession system referred to in clause six.</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CHAPTER XII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Guarantees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Sixty One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Bail as guarantee of fulfilment of the legal or contractual obligations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the concessionaire</w:t>
      </w:r>
    </w:p>
    <w:p>
      <w:pPr>
        <w:spacing w:after="0" w:line="219"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ONE—The bail, as guarantee of the fulfilment of the legal or contractual obligations of the concessionaire may be given in any one of the forms legally contemplated, as long as accepted by the Government.</w:t>
      </w:r>
    </w:p>
    <w:p>
      <w:pPr>
        <w:spacing w:after="0" w:line="186"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TWO—The concessionaire shall maintain, in favour of the Government, the first demand autonomous bank guarantee, issued by the Banco Nacional Ultramarino, S.A. to guarantee:</w:t>
      </w:r>
    </w:p>
    <w:p>
      <w:pPr>
        <w:sectPr>
          <w:pgSz w:w="11900" w:h="16838" w:orient="portrait"/>
          <w:cols w:equalWidth="0" w:num="1">
            <w:col w:w="11400"/>
          </w:cols>
          <w:pgMar w:left="240" w:top="131" w:right="259" w:bottom="0" w:gutter="0" w:footer="0" w:header="0"/>
        </w:sectPr>
      </w:pPr>
    </w:p>
    <w:bookmarkStart w:id="176" w:name="page177"/>
    <w:bookmarkEnd w:id="176"/>
    <w:p>
      <w:pPr>
        <w:ind w:left="5620" w:right="2760" w:hanging="5072"/>
        <w:spacing w:after="0" w:line="519" w:lineRule="auto"/>
        <w:tabs>
          <w:tab w:leader="none" w:pos="108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exact and timely fulfilment of the legal or contractual obligations to which the concessionaire is bound; 24</w:t>
      </w:r>
    </w:p>
    <w:p>
      <w:pPr>
        <w:spacing w:after="0" w:line="23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exact and timely payment of the premium that the concessionaire is committed to pay for Macau Special Administrative Region under clause Forty Seven;</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payment of fines or other pecuniary penalties that may be levied on the concessionaire by reason of legal ruling or of any clause in the present concession contract;</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payment of any indemnity resulting from contractual responsibility for damage suffered and failed income due to the total or partial non-compliance of the obligations to which the concessionaire is bound by the present concession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-1301750</wp:posOffset>
            </wp:positionV>
            <wp:extent cx="7250430" cy="215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THREE—The concessionaire shall maintain in favour of the Government, the autonomous bank guarantee referred in the previous paragraph in the maximum value of MOP 700,000,000.00 (seven hundred million patacas) from the signing of the present concession contract until the thirty first of March of the year two thousand and seven, and with the maximum value of MOP 300,000,000.00 (three hundred million patacas) from the first of April of the year two thousand and seven until one hundred and eighty days after the term of the concession contract.</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FOUR—The concessionaire shall make every effort to fulfil all necessary obligations to maintain in effect the autonomous guarantee referred in number TWO.</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FIVE—The Government may resort to the autonomous bank guarantee referred in number TWO, independent of any prior judicial decision, whenever the concessionaire does not fulfil any of the legal or contractual obligations to which it is bound, does not proceed to effect exact and timely payment of the premiums to which it is bound, does not pay nor contest within the legal time limit the fines or other pecuniary penalties that have been levied by reason of legal ruling or clause of the present concession contract; the Government may also resort to the autonomous bank guarantee referred in number TWO if there is cause for payment of any indemnity resulting from contractual responsibility for suffered damage and failed income resulting from the total or partly non-fulfilment of the obligations to which the concessionaire is bound by the present concession contract.</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SIX—Whenever the Government resorts to the autonomous bank guarantee referred in number TWO, the concessionaire shall take all the necessary steps to reinstate its full effect, within 15 days from the date of notification of the fact.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SEVEN—The autonomous bank guarantee referred to in number TWO may only be cancelled by means of Government authorization.</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EIGHT—The Government may authorize the alteration of the terms or conditions referred in numbers THREE to SIX, as well as authorize the substitution of the autonomous bank guarantee referred in number TWO by another form legally accepted for the posting of bail as guarantee of fulfilment of the legal or contractual obligations of the concessionaire.</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NINE—The costs incurred with the issue, maintaining and cancellation of bail as a guarantee of fulfilment of the legal or contractual obligations of the concessionaire are borne entirely by the concessionaire.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Sixty Two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Specific bank guarantee for guarantee of the payment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gaming tax</w:t>
      </w:r>
    </w:p>
    <w:p>
      <w:pPr>
        <w:spacing w:after="0" w:line="219"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ONE—The concessionaire shall produce, on demand by the Government under number 5 of article 27 of Law number 16/2001, if there is justified concern that the concessionaire may not pay the probable monthly amounts of the special gaming tax, within the deadline and under the terms, conditions and amounts to be established by the Government, a special autonomous bank guarantee, on first demand, issued in favour of the Government to guarantee the payment of those same amounts.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TWO—The terms and conditions of the autonomous bank guarantee referred to in the previous paragraph may not be altered without Government authorization, the concessionaire being bound to fulfil all the obligations that result or may result from maintaining in effect the guarantee in the exact terms in which it was given.</w:t>
      </w:r>
    </w:p>
    <w:p>
      <w:pPr>
        <w:spacing w:after="0" w:line="194"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THREE—The Government may resort to the autonomous bank guarantee referred in number ONE, independently of any previous judicial decision, whenever the concessionaire does not pay the special gaming tax owed to the grantee under the terms of the law and the present concession contract.</w:t>
      </w:r>
    </w:p>
    <w:p>
      <w:pPr>
        <w:spacing w:after="0" w:line="139"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FOUR—Whenever the Government resorts to the autonomous bank guarantee referred in number ONE, the concessionaire shall take, within 15 days counting from the date of notification of the fact, all the necessary steps to reinstate its full effect.</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FIVE—The autonomous bank guarantee referred to in number ONE may only be cancelled by the concessionaire one hundred and eighty days after the end of the concession and with Government authorization.</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SIX—The costs incurred with the issue, maintaining and cancellation of the bail of the autonomous bank guarantee referred in number ONE are borne entirely by the concessionaire.</w:t>
      </w:r>
    </w:p>
    <w:p>
      <w:pPr>
        <w:spacing w:after="0" w:line="18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Clause Sixty Three</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Other Guarantees</w:t>
      </w:r>
    </w:p>
    <w:p>
      <w:pPr>
        <w:spacing w:after="0" w:line="21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autonomous bank guarantee referred in number TWO of clause sixty one includes the guarantees established in number 3 of article 20 and in item 2 of article 22 of the Law number 16/2001 and on numbers 1 and 2 of article 84 of the Administrative Rule number 26/2001.</w:t>
      </w:r>
    </w:p>
    <w:p>
      <w:pPr>
        <w:sectPr>
          <w:pgSz w:w="11900" w:h="16838" w:orient="portrait"/>
          <w:cols w:equalWidth="0" w:num="1">
            <w:col w:w="11360"/>
          </w:cols>
          <w:pgMar w:left="240" w:top="145" w:right="299" w:bottom="0" w:gutter="0" w:footer="0" w:header="0"/>
        </w:sectPr>
      </w:pPr>
    </w:p>
    <w:bookmarkStart w:id="177" w:name="page178"/>
    <w:bookmarkEnd w:id="177"/>
    <w:p>
      <w:pPr>
        <w:jc w:val="center"/>
        <w:ind w:right="-139"/>
        <w:spacing w:after="0"/>
        <w:rPr>
          <w:sz w:val="20"/>
          <w:szCs w:val="20"/>
          <w:color w:val="auto"/>
        </w:rPr>
      </w:pPr>
      <w:r>
        <w:rPr>
          <w:rFonts w:ascii="Arial" w:cs="Arial" w:eastAsia="Arial" w:hAnsi="Arial"/>
          <w:sz w:val="18"/>
          <w:szCs w:val="18"/>
          <w:b w:val="1"/>
          <w:bCs w:val="1"/>
          <w:color w:val="auto"/>
        </w:rPr>
        <w:t>CHAPTER XIII</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Inspection of fulfilment of the concessionaire's obligations</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Clause Sixty Four</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Inspection, supervision and monitoring by the Government</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ONE—The power to inspect, supervise and monitor the fulfilment of the obligations of the concessionaire is exercised by the Government, namely through the DICJ and the DSF.</w:t>
      </w:r>
    </w:p>
    <w:p>
      <w:pPr>
        <w:spacing w:after="0" w:line="186"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TWO—For all purposes the concessionaire shall, whenever so required by the Government and without need of advance notice, offer the Government, or any other entity appointed by the Government and duly mandated to that effect and identified, free access to any part of its premises, as well as free access to examine its accounting or bookkeeping, including any transactions, books, minutes, accounts and other registers or documents, statistics and registers of management used, supplying the Government or the entity appointed, with photocopies of what they may consider necessary.</w:t>
      </w:r>
    </w:p>
    <w:p>
      <w:pPr>
        <w:spacing w:after="0" w:line="167"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THREE—The concessionaire shall abide by and comply with the determinations of the Government issued within the scope of its powers of inspection and verification, namely the instructions of the DICJ, including those relating to an eventual suspension of the operations in casinos and other gaming areas.</w:t>
      </w:r>
    </w:p>
    <w:p>
      <w:pPr>
        <w:spacing w:after="0" w:line="13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FOUR—The operation of the concession is subject to the permanent verification and inspection of the DICJ under the terms of applicable legislation.</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Clause Sixty Five</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Daily inspection of the gross revenues of the game operation</w:t>
      </w:r>
    </w:p>
    <w:p>
      <w:pPr>
        <w:spacing w:after="0" w:line="21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concessionaire is subject to daily inspection, by the Government, through the DICJ, of its gross revenues from the game operation, in accordance with legal terms.</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CHAPTER XIV</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duty to cooperate</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Clause Sixty Six</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duty of the Government to cooperate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Government shall cooperate with the concessionaire thus allowing it fulfil its legal and contractual obligations.</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Clause Sixty Seven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duty of the Concessionaire to cooperate</w:t>
      </w:r>
    </w:p>
    <w:p>
      <w:pPr>
        <w:spacing w:after="0" w:line="21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For purposes of the provisions of the present concession contract, the concessionaire shall cooperate with the Government, producing any documents and giving any information, data, authorizations or proof that may be solicited.</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CHAPTER XV</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duties of the concessionaire</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Clause Sixty Eight</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Operation of the casinos and other premises and annexes</w:t>
      </w:r>
    </w:p>
    <w:p>
      <w:pPr>
        <w:spacing w:after="0" w:line="219"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concessionaire shall keep in normal operation all areas of the casinos and other premises and annexes that are used for the operation of the concession and for the uses for which they are intended or authorized.</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Clause Sixty Nine</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duties of the concessionaire</w:t>
      </w:r>
    </w:p>
    <w:p>
      <w:pPr>
        <w:spacing w:after="0" w:line="21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ONE—It is the special obligation of the concessionaire to promote and demand from all entities that may be contracted for the development of activities integrated in the concession, the observance of all rules of good organization and functioning, and the special measures related to the patrons of its casinos and other game zones and of its workers and other persons therein holding working positions.</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TWO—The concessionaire undertakes to contract, for the prosecution of the activities integrated in the concession, entities duly licensed and authorized, with the necessary technical and professional qualifications.</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Clause Seventy</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Government authorizations</w:t>
      </w:r>
    </w:p>
    <w:p>
      <w:pPr>
        <w:spacing w:after="0" w:line="219"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color w:val="auto"/>
        </w:rPr>
        <w:t>Government authorization is required for the replacement, cancellation or change of proof documents and registers related to the activity of the concessionaire or to the acquisition of equipment and materials for the games.</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Clause Seventy One</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Government authorizations and approvals</w:t>
      </w:r>
    </w:p>
    <w:p>
      <w:pPr>
        <w:spacing w:after="0" w:line="219"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authorizations and approval of the Government, and their possible refusals, do not exonerate the concessionaire from the timely fulfilment of the obligations assumed under the present concession</w:t>
      </w:r>
    </w:p>
    <w:p>
      <w:pPr>
        <w:sectPr>
          <w:pgSz w:w="11900" w:h="16838" w:orient="portrait"/>
          <w:cols w:equalWidth="0" w:num="1">
            <w:col w:w="11280"/>
          </w:cols>
          <w:pgMar w:left="240" w:top="125" w:right="379" w:bottom="0" w:gutter="0" w:footer="0" w:header="0"/>
        </w:sectPr>
      </w:pP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80"/>
          </w:cols>
          <w:pgMar w:left="240" w:top="125" w:right="379" w:bottom="0" w:gutter="0" w:footer="0" w:header="0"/>
          <w:type w:val="continuous"/>
        </w:sectPr>
      </w:pPr>
    </w:p>
    <w:bookmarkStart w:id="178" w:name="page179"/>
    <w:bookmarkEnd w:id="17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7250430" cy="19050"/>
                    </a:xfrm>
                    <a:prstGeom prst="rect">
                      <a:avLst/>
                    </a:prstGeom>
                    <a:noFill/>
                  </pic:spPr>
                </pic:pic>
              </a:graphicData>
            </a:graphic>
          </wp:anchor>
        </w:drawing>
        <w:t>contract, neither do they imply, on the part of the Government, of any responsibilities except when its acts have caused expenses or special and abnormal damage to the concessionaire.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CHAPTER XVI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Responsibility of the concessionaire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Seventy Two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Civil liability to the grantee</w:t>
      </w:r>
    </w:p>
    <w:p>
      <w:pPr>
        <w:spacing w:after="0" w:line="21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concessionaire is responsible towards the grantee for damage resulting from the total or partial non-fulfilment of its contractual obligations, due to facts it may be held responsible for.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Seventy Three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Exoneration of the grantee in the extra-contractual responsibility of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concessionaire toward third parties</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ONE—The grantee shall not take or share any responsibility that may arise for the concessionaire from acts carried out by it or at its request that involve or might involve civil liability or any other.</w:t>
      </w:r>
    </w:p>
    <w:p>
      <w:pPr>
        <w:spacing w:after="0" w:line="186"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TWO—The concessionaire will furthermore answer, under the general relationship of consigner-commissioner, for damages caused by entities it has contracted for the operation of the activities that integrate the concession.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CHAPTER XVII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Subjective changes to the concession</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Seventy Four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Cession of contractual position, burden, transfer and alienation</w:t>
      </w:r>
    </w:p>
    <w:p>
      <w:pPr>
        <w:spacing w:after="0" w:line="219"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ONE—The concessionaire shall not cede, transfer, alienate or in any way burden, in total or in part, in express or tacit form, formally or informally, the operation of a casino or a gaming area or make any juridical deal that has the same result, except with Government authorization.</w:t>
      </w:r>
    </w:p>
    <w:p>
      <w:pPr>
        <w:spacing w:after="0" w:line="139"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TWO—An action carried out in violation of the rulings of the previous paragraph, and without prejudice of other applicable sanctions or penalties, entails the payment to the Macau Special Administrative Region, of the following penal clauses:</w:t>
      </w:r>
    </w:p>
    <w:p>
      <w:pPr>
        <w:spacing w:after="0" w:line="199" w:lineRule="exact"/>
        <w:rPr>
          <w:sz w:val="20"/>
          <w:szCs w:val="20"/>
          <w:color w:val="auto"/>
        </w:rPr>
      </w:pPr>
    </w:p>
    <w:p>
      <w:pPr>
        <w:ind w:left="1080" w:hanging="532"/>
        <w:spacing w:after="0"/>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the case of cession, transfer or alienation, as a whole—MOP 1,000,000,000.00 (one thousand million patacas);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the case of cession, transfer or alienation, as a part—MOP 500,000,000.00 (five hundred million patacas);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the case of encumbering, in total or in part—MOP 300,000,000.00 (three hundred million patacas).</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THREE—The request for authorization referred in number ONE must be supported by all the necessary documents and the indication of all the details of the juridical deal that the concessionaire wishes to effect, without prejudice of the Government soliciting additional documents, data or information.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Seventy Five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Sub-concession</w:t>
      </w:r>
    </w:p>
    <w:p>
      <w:pPr>
        <w:spacing w:after="0" w:line="219"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ONE—The concessionaire, except with Government authorization, undertakes the obligation not to grant a sub-concession, in all or in part, or make any juridical deal that has the same result.</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TWO—An action carried out in violation of the rulings of the previous paragraph, and without prejudice of other applicable sanctions or penalties, entails the payment, to the Macau Special Administrative Region, of the following penal clauses:</w:t>
      </w:r>
    </w:p>
    <w:p>
      <w:pPr>
        <w:spacing w:after="0" w:line="199" w:lineRule="exact"/>
        <w:rPr>
          <w:sz w:val="20"/>
          <w:szCs w:val="20"/>
          <w:color w:val="auto"/>
        </w:rPr>
      </w:pPr>
    </w:p>
    <w:p>
      <w:pPr>
        <w:ind w:left="1080" w:hanging="532"/>
        <w:spacing w:after="0"/>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In the case of sub-concession, as whole—MOP 500,000,000.00 (five hundred million patacas);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In the case of sub-concession, as a part—MOP 300,000,000.00 (three hundred million patacas);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THREE—For the purposes of the authorization referred in number ONE, the concessionaire shall advise the Government of its intention to sub-concede, supplying all details that the Government may deem necessary, including all the correspondence exchanged between the concessionaire and the entity with whom it wishes to contract.</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FOUR—The sub-concession does not exonerate the concessionaire from the legal or contractual obligations to which it is bound, except if, and in accordance with the terms of Government authorization, being further subsidiarily responsible before the Macau Special Administrative Region, independent of guilt, for damages resulting from the non-compliance with the total or part of the contractual obligations of the sub-concessionaire, owing to facts that may be attributed to it, benefiting from the </w:t>
      </w:r>
      <w:r>
        <w:rPr>
          <w:rFonts w:ascii="Arial" w:cs="Arial" w:eastAsia="Arial" w:hAnsi="Arial"/>
          <w:sz w:val="18"/>
          <w:szCs w:val="18"/>
          <w:i w:val="1"/>
          <w:iCs w:val="1"/>
          <w:color w:val="auto"/>
        </w:rPr>
        <w:t>"privilege of exhaustion of remedies".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CHAPTER XVIII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Non-fulfilment of contract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Clause Seventy Six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Non-fulfilment of contract</w:t>
      </w:r>
    </w:p>
    <w:p>
      <w:pPr>
        <w:sectPr>
          <w:pgSz w:w="11900" w:h="16838" w:orient="portrait"/>
          <w:cols w:equalWidth="0" w:num="1">
            <w:col w:w="11380"/>
          </w:cols>
          <w:pgMar w:left="240" w:top="725" w:right="279" w:bottom="0" w:gutter="0" w:footer="0" w:header="0"/>
        </w:sectPr>
      </w:pPr>
    </w:p>
    <w:bookmarkStart w:id="179" w:name="page180"/>
    <w:bookmarkEnd w:id="179"/>
    <w:p>
      <w:pPr>
        <w:spacing w:after="0" w:line="5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ONE—Without prejudice of the rulings in clauses seventy seven and seventy eight, the non-fulfilment attributable to the concessionaire of the duties and obligations resulting from the present concession contract, or from Government determinations, shall subject the concessionaire to the sanctions or penalties legally or contractually foreseen.</w:t>
      </w:r>
    </w:p>
    <w:p>
      <w:pPr>
        <w:spacing w:after="0" w:line="194"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 xml:space="preserve">TWO—The concessionaire is exonerated from the responsibility referred to in the previous chapter in cases of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or other events that clearly cannot be attributed to it, but only if the timely and total fulfilment has in fact been hindered.</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THREE—The only cases considered of </w:t>
      </w:r>
      <w:r>
        <w:rPr>
          <w:rFonts w:ascii="Arial" w:cs="Arial" w:eastAsia="Arial" w:hAnsi="Arial"/>
          <w:sz w:val="18"/>
          <w:szCs w:val="18"/>
          <w:i w:val="1"/>
          <w:iCs w:val="1"/>
          <w:color w:val="auto"/>
        </w:rPr>
        <w:t>force majeure</w:t>
      </w:r>
      <w:r>
        <w:rPr>
          <w:rFonts w:ascii="Arial" w:cs="Arial" w:eastAsia="Arial" w:hAnsi="Arial"/>
          <w:sz w:val="18"/>
          <w:szCs w:val="18"/>
          <w:color w:val="auto"/>
        </w:rPr>
        <w:t>, with the consequences described in the next paragraph, are the unpredictable and irresistible events, exterior to the concessionaire, the effects of which are independent of the will or the personal circumstances of the concessionaire, namely acts of war, terrorism, disturbances of the public order, epidemics, atomic radiations, fire, lightning, serious flooding, cyclones, tropical storms, earthquakes and other natural cataclysms that directly affect the activities integrated in the concession.</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 xml:space="preserve">FOUR—The concessionaire shall immediately advise the Government of any case of </w:t>
      </w:r>
      <w:r>
        <w:rPr>
          <w:rFonts w:ascii="Arial" w:cs="Arial" w:eastAsia="Arial" w:hAnsi="Arial"/>
          <w:sz w:val="18"/>
          <w:szCs w:val="18"/>
          <w:i w:val="1"/>
          <w:iCs w:val="1"/>
          <w:color w:val="auto"/>
        </w:rPr>
        <w:t>force majeure</w:t>
      </w:r>
      <w:r>
        <w:rPr>
          <w:rFonts w:ascii="Arial" w:cs="Arial" w:eastAsia="Arial" w:hAnsi="Arial"/>
          <w:sz w:val="18"/>
          <w:szCs w:val="18"/>
          <w:color w:val="auto"/>
        </w:rPr>
        <w:t>, and indicate, as soon as possible the obligations resulting from the present concession contract that it cannot fulfil due to the occurrence, and also, if it be the case, the measures it wishes to implement to reduce the impact of the said event and/or normalize the fulfilment of those obligations.</w:t>
      </w:r>
    </w:p>
    <w:p>
      <w:pPr>
        <w:spacing w:after="0" w:line="19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FIVE—In any of the cases referred in number THREE, the concessionaire shall reconstruct and/or restore the damaged property to its previous condition, as soon as possible, reinstating the management and operation of the games of chance or other games in casinos; should the concessionaire have no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economic interest in the reconstruction and/or restoring of the referred property, it shall transfer to the grantee the amount of the insurance.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CHAPTER XIX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Extinction and suspension of the concession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Seventy Seven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by mutual agreement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ONE—The Government and the concessionaire may, at any moment, terminate the present concession contract of by mutual agreement.</w:t>
      </w:r>
    </w:p>
    <w:p>
      <w:pPr>
        <w:spacing w:after="0" w:line="225"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TWO—The concessionaire shall be fully responsible for the cessation of the effects of any contracts of which it is part, and the grantee shall not be responsible for anything in this matter, unless otherwise established.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Seventy Eight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w:t>
      </w:r>
    </w:p>
    <w:p>
      <w:pPr>
        <w:spacing w:after="0" w:line="21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ONE—Unless otherwise legally established, the Government may, as from the fifteenth year of the concession, redeem it, by notifying the concessionaire by registered letter, with receipt notice, at least one year in advance.</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TWO—Through the redemption, the grantee assumes all the rights and obligations of the concessionaire resulting from juridical deals validly contracted by it before the date of the notification referred to in the previous paragraph.</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THREE—The obligations contracted by the concessionaire by virtue of the contracts it has signed after the notification referred in number ONE, shall only be assumed by the grantee if those contracts were, prior to their celebration, authorized by the Government.</w:t>
      </w:r>
    </w:p>
    <w:p>
      <w:pPr>
        <w:spacing w:after="0" w:line="186"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FOUR—The assumption by the grantee of the obligations contracted by the concessionaire is made without prejudice of the right of regression for the obligations contracted by the concessionaire that exceed the normal management of the concession.</w:t>
      </w:r>
    </w:p>
    <w:p>
      <w:pPr>
        <w:spacing w:after="0" w:line="186"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FIVE—Once the concession is redeemed, the concessionaire is entitled to a fair and equitable compensation corresponding to the losses resulting from the redemption of the Resort-Hotel-Casino referred in the Investment Plan annexed to the present contract. The amount of compensation shall be equal to the earnings of the Resort-Hotel-Casino referred in the Investment Plan annexed to the present contract before interest, depreciation and amortization for the fiscal year immediately preceding the date the redemption is declared, multiplied by the number of years remaining on the term of the concession contract.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Seventy Nine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Sequestration</w:t>
      </w:r>
    </w:p>
    <w:p>
      <w:pPr>
        <w:spacing w:after="0" w:line="21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ONE—When the cessation or interruption occur or are imminent, as a whole or in part of the operation of the concession by the concessionaire, not authorized and not due to case of </w:t>
      </w:r>
      <w:r>
        <w:rPr>
          <w:rFonts w:ascii="Arial" w:cs="Arial" w:eastAsia="Arial" w:hAnsi="Arial"/>
          <w:sz w:val="16"/>
          <w:szCs w:val="16"/>
          <w:i w:val="1"/>
          <w:iCs w:val="1"/>
          <w:color w:val="auto"/>
        </w:rPr>
        <w:t>force majeure</w:t>
      </w:r>
      <w:r>
        <w:rPr>
          <w:rFonts w:ascii="Arial" w:cs="Arial" w:eastAsia="Arial" w:hAnsi="Arial"/>
          <w:sz w:val="16"/>
          <w:szCs w:val="16"/>
          <w:color w:val="auto"/>
        </w:rPr>
        <w:t>, or if there are serious disturbances or deficiencies in the organization and management of the concessionaire or in the general conditions of the installations and equipment, susceptible of compromising the regular operation of the concession, the Government may replace the concessionaire, directly or by resorting to third parties, ensuring the operation of the concession and promoting the necessary measures to ensure the objective of the present concession contract, for the duration of the cessation or interruption or if the disturbances and deficiencies continue.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TWO—During the sequestration, the expenditures necessary for the maintenance and normalization of the operation of the concession are charged to the concessionaire, and the Government may, to that effect, resort to the bail to fulfil the legal or contractual obligations and to the guarantee posted by the dominant partner of the concessionaire.</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THREE—As soon as the reasons for the sequestration are over and the Government judges it appropriate, the concessionaire is notified to resume, within a time limit that will be fixed, the normal operation of the concession.</w:t>
      </w:r>
    </w:p>
    <w:p>
      <w:pPr>
        <w:sectPr>
          <w:pgSz w:w="11900" w:h="16892" w:orient="portrait"/>
          <w:cols w:equalWidth="0" w:num="1">
            <w:col w:w="11420"/>
          </w:cols>
          <w:pgMar w:left="240" w:top="131" w:right="239" w:bottom="0" w:gutter="0" w:footer="0" w:header="0"/>
        </w:sectPr>
      </w:pPr>
    </w:p>
    <w:bookmarkStart w:id="180" w:name="page181"/>
    <w:bookmarkEnd w:id="180"/>
    <w:p>
      <w:pPr>
        <w:ind w:right="100" w:firstLine="351"/>
        <w:spacing w:after="0" w:line="259" w:lineRule="auto"/>
        <w:rPr>
          <w:sz w:val="20"/>
          <w:szCs w:val="20"/>
          <w:color w:val="auto"/>
        </w:rPr>
      </w:pPr>
      <w:r>
        <w:rPr>
          <w:rFonts w:ascii="Arial" w:cs="Arial" w:eastAsia="Arial" w:hAnsi="Arial"/>
          <w:sz w:val="18"/>
          <w:szCs w:val="18"/>
          <w:color w:val="auto"/>
        </w:rPr>
        <w:t>FOUR—If the concessionaire does not want to or cannot resume the operation of the concession or if, having done so, the serious disturbances or deficiencies in its organization and operation continue to exist, the Government may declare the unilateral rescission for non-fulfilment of the present concession contract.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Eighty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Unilateral rescission for non-fulfilment</w:t>
      </w:r>
    </w:p>
    <w:p>
      <w:pPr>
        <w:spacing w:after="0" w:line="21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ONE—The Government may terminate the concession, by means of unilateral rescission for non-fulfilment of the present concession contract, in case of non-fulfilment of the fundamental obligations by which the concessionaire is legally or contractually bound.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TWO—Reasons for unilateral rescission of the present concession contract are, specifically:</w:t>
      </w:r>
    </w:p>
    <w:p>
      <w:pPr>
        <w:spacing w:after="0" w:line="239" w:lineRule="exact"/>
        <w:rPr>
          <w:sz w:val="20"/>
          <w:szCs w:val="20"/>
          <w:color w:val="auto"/>
        </w:rPr>
      </w:pPr>
    </w:p>
    <w:p>
      <w:pPr>
        <w:ind w:left="1080" w:right="100" w:hanging="532"/>
        <w:spacing w:after="0" w:line="268"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deviation from the objective of the concession, either by operating non-authorized games, or by carrying out activities that are excluded from the corporate purpose of the concessionaire;</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abandonment of the operation of the concession or its unjustified suspension for a period of more than 7 consecutive days or 14 interpolate days within one calendar year;</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transmission, in total or in part of the operation, temporarily or definitively, effected in disrespect of what is established in the concession system as referred to in clause Six;</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default in payment of taxes, premiums, contributions or other retributions foreseen in the concession system as referred to in clause Six owed to the grantee and not impugned within the legal period;</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refusal or impossibility of the concessionaire to resume the concession under the terms of number FOUR of the previous clause, or when, having done so, the reasons for the sequestration continue to exist;</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reiterated opposition to the supervision and inspection or repeated disobedience of the determinations of the Government, namely through the directions of the DICJ;</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systematic non-observance of fundamental obligations foreseen in the concession system as referred to in clause Six;</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default on payment or reinforcement of the bails or guarantees foreseen in the present concession contract under the terms and within the deadlines established;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bankruptcy or insolvency of the concessionaire;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practice of serious fraudulent activity, damaging to the public interest;</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serious and reiterated violation of the rules of operation for the practice of games of chance or other games in casinos or of the integrity of the games of chance or other games in casinos.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THREE—Without prejudice of the provisions of clause Eighty Three, and in the presence of one of the situations referred to in the previous paragraph or any other that, under the terms of the present clause, may motivate the unilateral rescission for non-fulfilment of the concession contract, the Government shall notify the concessionaire to, within an established deadline, fully comply with its obligations and correct, or repair the consequences of its acts, except if it is the case of a non-reparable violation.</w:t>
      </w:r>
    </w:p>
    <w:p>
      <w:pPr>
        <w:spacing w:after="0" w:line="19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FOUR—If the concessionaire does not fulfil its obligations or does not correct or repair the consequences of its acts, in the terms determined by the Government, the Government may unilaterally rescind the present concession contract by communicating this fact to the concessionaire, and also may notify in writing, the entities who guaranteed the financing of the investments and obligations assumed by the concessionaire, under the terms and for the purposes established in the concession system as referred to in clause Six, relative to financial capacity.</w:t>
      </w:r>
    </w:p>
    <w:p>
      <w:pPr>
        <w:spacing w:after="0" w:line="16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FIVE—The communication to the concessionaire of the decision to rescind referred to in the previous paragraph takes immediate effect, independent of any other formality.</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SIX—In the case of well-founded urgency that cannot accommodate the delays of the process of solving the non-fulfilment foreseen in number THREE, the Government may, without prejudice of the observance of that process and the observance of the provisions of number FOUR, proceed immediately with the sequestration of the concession under the terms defined in the previous clause.</w:t>
      </w:r>
    </w:p>
    <w:p>
      <w:pPr>
        <w:spacing w:after="0" w:line="194"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SEVEN—The unilateral rescission for non-fulfilment of the present concession contract, under the terms of the present clause, gives rise to a duty to compensate, on the part of the concessionaire, and the compensation shall be calculated in accordance with the general terms of the Law.</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EIGHT—The unilateral rescission for non-fulfilment of the present concession contract entails the immediate and gratuitous reversion of its casinos to the grantee, as well as the equipment and utensils pertaining to the games even if located elsewhere.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Eighty 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19" w:lineRule="exact"/>
        <w:rPr>
          <w:sz w:val="20"/>
          <w:szCs w:val="20"/>
          <w:color w:val="auto"/>
        </w:rPr>
      </w:pPr>
    </w:p>
    <w:p>
      <w:pPr>
        <w:ind w:right="260" w:firstLine="351"/>
        <w:spacing w:after="0" w:line="370" w:lineRule="auto"/>
        <w:rPr>
          <w:sz w:val="20"/>
          <w:szCs w:val="20"/>
          <w:color w:val="auto"/>
        </w:rPr>
      </w:pPr>
      <w:r>
        <w:rPr>
          <w:rFonts w:ascii="Arial" w:cs="Arial" w:eastAsia="Arial" w:hAnsi="Arial"/>
          <w:sz w:val="15"/>
          <w:szCs w:val="15"/>
          <w:color w:val="auto"/>
        </w:rPr>
        <w:t>ONE—The present concession contract terminates on the date of the final term of the concession foreseen in clause Eight and the contractual relationship between the Parties shall end, without prejudice of the clauses of the present concession contract that shall continue beyond the end of the concession.</w:t>
      </w:r>
    </w:p>
    <w:p>
      <w:pPr>
        <w:sectPr>
          <w:pgSz w:w="11900" w:h="16838" w:orient="portrait"/>
          <w:cols w:equalWidth="0" w:num="1">
            <w:col w:w="11420"/>
          </w:cols>
          <w:pgMar w:left="240" w:top="131" w:right="239" w:bottom="39" w:gutter="0" w:footer="0" w:header="0"/>
        </w:sectPr>
      </w:pPr>
    </w:p>
    <w:bookmarkStart w:id="181" w:name="page182"/>
    <w:bookmarkEnd w:id="181"/>
    <w:p>
      <w:pPr>
        <w:ind w:right="40" w:firstLine="348"/>
        <w:spacing w:after="0" w:line="268" w:lineRule="auto"/>
        <w:rPr>
          <w:sz w:val="20"/>
          <w:szCs w:val="20"/>
          <w:color w:val="auto"/>
        </w:rPr>
      </w:pPr>
      <w:r>
        <w:rPr>
          <w:rFonts w:ascii="Arial" w:cs="Arial" w:eastAsia="Arial" w:hAnsi="Arial"/>
          <w:sz w:val="18"/>
          <w:szCs w:val="18"/>
          <w:color w:val="auto"/>
        </w:rPr>
        <w:t>TWO—When there is a termination in accordance with the terms of the previous paragraph, the concessionaire shall be fully responsible for the cessation of the effects of any contract of which it is part, and the grantee shall not assume any responsibility in that matter.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CHAPTER XX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Revisions and alterations to the contract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Eighty Two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Revisions to the concession contract</w:t>
      </w:r>
    </w:p>
    <w:p>
      <w:pPr>
        <w:spacing w:after="0" w:line="21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ONE—The present concession contract may be revised after negotiations between the Government and the concessionaire, in accordance with the terms of the law.</w:t>
      </w:r>
    </w:p>
    <w:p>
      <w:pPr>
        <w:spacing w:after="0" w:line="186" w:lineRule="exact"/>
        <w:rPr>
          <w:sz w:val="20"/>
          <w:szCs w:val="20"/>
          <w:color w:val="auto"/>
        </w:rPr>
      </w:pPr>
    </w:p>
    <w:p>
      <w:pPr>
        <w:jc w:val="both"/>
        <w:ind w:right="40" w:firstLine="348"/>
        <w:spacing w:after="0" w:line="268" w:lineRule="auto"/>
        <w:rPr>
          <w:sz w:val="20"/>
          <w:szCs w:val="20"/>
          <w:color w:val="auto"/>
        </w:rPr>
      </w:pPr>
      <w:r>
        <w:rPr>
          <w:rFonts w:ascii="Arial" w:cs="Arial" w:eastAsia="Arial" w:hAnsi="Arial"/>
          <w:sz w:val="18"/>
          <w:szCs w:val="18"/>
          <w:color w:val="auto"/>
        </w:rPr>
        <w:t>TWO—The revision of the present concession contract, as well as any addenda to the same, observes the formalities foreseen in article 91 of Administrative Rule number 26/2001.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CHAPTER XXI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Pre-contentious phase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Eight Three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Consultations in pre-contentious phase</w:t>
      </w:r>
    </w:p>
    <w:p>
      <w:pPr>
        <w:spacing w:after="0" w:line="219"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ONE—The Parties shall effect consultations whenever there is a question or difference of opinion between them as to validity, application, execution, interpretation or integration of rules by which the present concession contract is governed.</w:t>
      </w:r>
    </w:p>
    <w:p>
      <w:pPr>
        <w:spacing w:after="0" w:line="186"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TWO—The questions that arise do not exonerate the concessionaire from the timely and total fulfilment of the conditions of the present concession contract and the determinations of the Government that, within its scope, are issued, neither does it permit any interruption of the carrying out of any aspect of its activity, that shall continue to take place under the conditions established at the time the question is submitted.</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THREE—The provisions of the previous paragraph relating to the compliance with Government determinations by the concessionaire is applicable also to successive determinations on the same matter, even if issued after the date of the beginning of consultations, as long as the first of these successive determinations was communicated to the concessionaire prior to that date.</w:t>
      </w:r>
    </w:p>
    <w:p>
      <w:pPr>
        <w:spacing w:after="0" w:line="18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CHAPTER XXII</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Final provisions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Eighty Four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Obtaining licenses, permits or authorizations</w:t>
      </w:r>
    </w:p>
    <w:p>
      <w:pPr>
        <w:spacing w:after="0" w:line="219"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ONE—The present concession contract does not exempt the concessionaire from petitioning, paying costs for and/or make the effort to obtain all the licences or authorizations necessary to carry out any aspect of its activity or fulfilling the obligations foreseen in the present concession contract, as well as observing and fulfilling all the requisites necessary for obtaining and maintaining them valid.</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TWO—The concessionaire must immediately inform the Government should any licences or authorizations referred to in the previous paragraph be withdrawn, terminated, suspended or revoked for any reason, or its effect ceased to be operative, indicating at the same time the measures it has taken or will take in order to recover or reactivate such licences, or authorizations.</w:t>
      </w:r>
    </w:p>
    <w:p>
      <w:pPr>
        <w:spacing w:after="0" w:line="194"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THREE—No clause of the present concession contract may be considered as a replacement to the need to obtain any license, or authorization legally or contractually foreseen.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Eighty Five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to industrial and intellectual property</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ONE—The concessionaire shall respect, in the course of its activity, the rights to industrial and intellectual property, in accordance with the terms in force in the Macau Special Administrative Region, and the effects that may result from the violation of these rights shall be of the exclusive responsibility of the concessionaire.</w:t>
      </w:r>
    </w:p>
    <w:p>
      <w:pPr>
        <w:spacing w:after="0" w:line="194"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TWO—The licenses or authorizations granted to the concessionaire, namely those relating to compliance with the Investment Plan attached to the present concession contract, presuppose that all rights of industrial and intellectual property have been respected by the concessionaire.</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THREE—The concessionaire shall gratuitously cede to the grantee all its studies, projects, plans, blueprints, documents and other materials, of whatever nature that may prove useful to the functions attributed to the latter, under the terms of the present concession contract, or for the exercise of the rights to which it is entitled under the terms of the same.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FOUR—In answer to the grantee's request, the concessionaire shall prepare any type of document or declaration, to confirm or register the rights referred to in the previous paragraph.</w:t>
      </w:r>
    </w:p>
    <w:p>
      <w:pPr>
        <w:sectPr>
          <w:pgSz w:w="11900" w:h="16838" w:orient="portrait"/>
          <w:cols w:equalWidth="0" w:num="1">
            <w:col w:w="11400"/>
          </w:cols>
          <w:pgMar w:left="240" w:top="131" w:right="259" w:bottom="14" w:gutter="0" w:footer="0" w:header="0"/>
        </w:sectPr>
      </w:pPr>
    </w:p>
    <w:bookmarkStart w:id="182" w:name="page183"/>
    <w:bookmarkEnd w:id="182"/>
    <w:p>
      <w:pPr>
        <w:spacing w:after="0" w:line="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FIVE—Should the concessionaire not solve any dispute existing with third parties in relation to eventual violations of the rights of industrial or intellectual property attributed or to be attributed to the grantee under the terms of the present clause, the grantee may always act in their defence for which the concessionaire shall give all the assistance that may be required.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Eighty Six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Notifications, communications, notices, authorizations and approvals</w:t>
      </w:r>
    </w:p>
    <w:p>
      <w:pPr>
        <w:spacing w:after="0" w:line="21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ONE—the notifications, communications, notices, authorizations and approvals referred to in the present concession contract, unless otherwise determined, will be made in writing and be forwarded:</w:t>
      </w:r>
    </w:p>
    <w:p>
      <w:pPr>
        <w:spacing w:after="0" w:line="199" w:lineRule="exact"/>
        <w:rPr>
          <w:sz w:val="20"/>
          <w:szCs w:val="20"/>
          <w:color w:val="auto"/>
        </w:rPr>
      </w:pPr>
    </w:p>
    <w:p>
      <w:pPr>
        <w:ind w:left="1080" w:hanging="532"/>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by hand, as long as covered by register;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by telefax, as long as covered by transmission receipt;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by mail, registered and with receipt notice.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TWO—Authorizations to be granted by the Government must always be in advance, and may establish conditions.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THREE—The lack of answer to a request for authorization and approval, or any other solicitation, expressed by the concessionaire, has the effect of refusal.</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FOUR—For the purposes of the present concession contract, the following addresses and telefax numbers shall be considered as the permanent addresses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Government of the Macau Special Administrative Region:</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Direcção de Inspecção e Coordenação de Jogos</w:t>
      </w:r>
    </w:p>
    <w:p>
      <w:pPr>
        <w:ind w:left="540"/>
        <w:spacing w:after="0" w:line="196" w:lineRule="auto"/>
        <w:rPr>
          <w:sz w:val="20"/>
          <w:szCs w:val="20"/>
          <w:color w:val="auto"/>
        </w:rPr>
      </w:pPr>
      <w:r>
        <w:rPr>
          <w:rFonts w:ascii="Arial" w:cs="Arial" w:eastAsia="Arial" w:hAnsi="Arial"/>
          <w:sz w:val="18"/>
          <w:szCs w:val="18"/>
          <w:color w:val="auto"/>
        </w:rPr>
        <w:t>Avenida da Praia Grande, numbers 762-804, "China Plaza" building,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Macau</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370296</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Concessionaire: Wynn Resorts (Macau), S.A,.</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Head Office: Avenida da Amizade, number 918,</w:t>
      </w:r>
    </w:p>
    <w:p>
      <w:pPr>
        <w:ind w:left="540"/>
        <w:spacing w:after="0" w:line="196" w:lineRule="auto"/>
        <w:rPr>
          <w:sz w:val="20"/>
          <w:szCs w:val="20"/>
          <w:color w:val="auto"/>
        </w:rPr>
      </w:pPr>
      <w:r>
        <w:rPr>
          <w:rFonts w:ascii="Arial" w:cs="Arial" w:eastAsia="Arial" w:hAnsi="Arial"/>
          <w:sz w:val="18"/>
          <w:szCs w:val="18"/>
          <w:color w:val="auto"/>
        </w:rPr>
        <w:t>"World Trade Centre" building,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"C", Macau.</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Fax: 336057</w:t>
      </w:r>
    </w:p>
    <w:p>
      <w:pPr>
        <w:spacing w:after="0" w:line="21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FIVE—The Parties may alter the addresses and telefax reception numbers indicated in the previous number by means of advance communication addressed to the other Party.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Eighty Seven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Prohibition of practices restrictive of competition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ONE—The concessionaire shall carry out its activities in loyal and healthy competition, respecting the principles applying to a market economy.</w:t>
      </w:r>
    </w:p>
    <w:p>
      <w:pPr>
        <w:spacing w:after="0" w:line="248"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TWO—The concessionaire undertakes not to enter into agreements or combined deals, in whatever form, together with other concessionaires, sub-concessionaires or management companies of concessionaires that operate in the Macau Special Administrative Region, or with companies belonging to the respective groups, that are liable to impede, restrict or distort competition.</w:t>
      </w:r>
    </w:p>
    <w:p>
      <w:pPr>
        <w:spacing w:after="0" w:line="19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THREE—The concessionaire undertakes not to exploit abusively a dominant position in the market, or a substantial part of it that could impede, restrict or distort competition.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Eighty Eight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Games Promoters</w:t>
      </w:r>
    </w:p>
    <w:p>
      <w:pPr>
        <w:spacing w:after="0" w:line="21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For the Government, the concessionaire is responsible for the activity exercised in the casinos and other gaming areas by its registered games promoters, as well as its directors and collaborators and should therefore supervise their activity.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Eighty Nine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Promotion of the concessionaire's business</w:t>
      </w:r>
    </w:p>
    <w:p>
      <w:pPr>
        <w:spacing w:after="0" w:line="219"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ONE—The concessionaire shall promote, within the Macau Special Administrative Region and abroad, advertising and marketing campaigns for its business, namely its casinos.</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TWO—The Government and the concessionaire shall combine their events and advertising and marketing campaigns with the events and campaigns aimed at promoting Macau abroad.</w:t>
      </w:r>
    </w:p>
    <w:p>
      <w:pPr>
        <w:spacing w:after="0" w:line="186"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 xml:space="preserve">THREE—The concessionaire shall not allow, without the authorization of the Government, the use of images or long written references about its casinos and other premises and annexes allocated to the operation of the concession, in sites and </w:t>
      </w:r>
      <w:r>
        <w:rPr>
          <w:rFonts w:ascii="Arial" w:cs="Arial" w:eastAsia="Arial" w:hAnsi="Arial"/>
          <w:sz w:val="15"/>
          <w:szCs w:val="15"/>
          <w:i w:val="1"/>
          <w:iCs w:val="1"/>
          <w:color w:val="auto"/>
        </w:rPr>
        <w:t>internet</w:t>
      </w:r>
      <w:r>
        <w:rPr>
          <w:rFonts w:ascii="Arial" w:cs="Arial" w:eastAsia="Arial" w:hAnsi="Arial"/>
          <w:sz w:val="15"/>
          <w:szCs w:val="15"/>
          <w:color w:val="auto"/>
        </w:rPr>
        <w:t xml:space="preserve"> pages, or any other place that aims at promoting interactive games.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Ninety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Elements integrated in the concession contract</w:t>
      </w:r>
    </w:p>
    <w:p>
      <w:pPr>
        <w:spacing w:after="0" w:line="219"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tender for adjudication entered by the concessionaire as an entrant for the first public tender for the attribution of three concessions for the operation of games of chance or other games in casinos, is considered to be integrated in the present concession contract for all purposes that are not explicitly or implicitly</w:t>
      </w:r>
    </w:p>
    <w:p>
      <w:pPr>
        <w:sectPr>
          <w:pgSz w:w="11900" w:h="16935" w:orient="portrait"/>
          <w:cols w:equalWidth="0" w:num="1">
            <w:col w:w="11420"/>
          </w:cols>
          <w:pgMar w:left="240" w:top="131" w:right="239" w:bottom="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t>contrary to it.</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Ninety One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Chips to be used in the operation of the concession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ONE—The concessionaire shall comply with the instructions of the Government as to the issue and circulation of chips, independent of their type or nature.</w:t>
      </w:r>
    </w:p>
    <w:p>
      <w:pPr>
        <w:spacing w:after="0" w:line="24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TWO—Notwithstanding the possibility for the Government to determine the maximum amount of chips to be put into circulation, the quantity chips to be put into circulation is not subject to the consent of the Government.</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THREE—The concessionaire has the obligation to guarantee the reimbursement, in cash or through cheque or equivalent credit document, of the chips that have been put into circulation.</w:t>
      </w:r>
    </w:p>
    <w:p>
      <w:pPr>
        <w:spacing w:after="0" w:line="186"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FOUR—The concessionaire shall maintain a ratio of solvency, and constitute provisions and other rules of prudence to be indicated at each moment by the Government as to the total number of chips to be placed in circulation, in cash or through high level liquidity bonds in order to ensure the immediate payment of same.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Ninety Two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Confidentiality</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ONE—The documents produced by the Government or by the concessionaire, in keeping with the conditions of law or the present concession contract, have a confidential character, and can only be made available to third parties with the authorization of the other Party.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TWO—The Government and the concessionaire take all the necessary steps to ensure that, respectively, the workers of the Public Administration of the Macau Special Administrative Region, and the workers of the concessionaire are bound by the duty of secrecy.</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THREE—The Government and the concessionaire undertake to enforce the duty of secrecy on other persons who have had or who might have access to confidential documents, namely through consulting, services and other contracts.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Ninety Three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Claims register</w:t>
      </w:r>
    </w:p>
    <w:p>
      <w:pPr>
        <w:spacing w:after="0" w:line="219"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ONE—The concessionaire shall keep and maintain at the disposal of visitors of the casinos and other gaming areas, a claims register, specific for claims related to the operation of games of chance or other games in casinos.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TWO—The concessionaire shall affix in the casinos and other gaming areas, in a visible manner, a notice indicating the existence of a claims register.</w:t>
      </w:r>
    </w:p>
    <w:p>
      <w:pPr>
        <w:spacing w:after="0" w:line="24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THREE—The concessionaire undertakes to remit to the Government, within 48 hours, copy of the claims registered in the claims register, together with the concessionaire's report about the same.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CHAPTER XXIII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Transitory dispositions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Ninety Four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Professional Training Plan</w:t>
      </w:r>
    </w:p>
    <w:p>
      <w:pPr>
        <w:spacing w:after="0" w:line="21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ONE—The concessionaire shall prepare plans regarding professional training for employees who come to occupy positions in the activities integrated in the concession, within a time limit established by the Government.</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TWO—The concessionaire shall submit to the Government, within the time limit established, any other documents or additional information relative to the plans referred to in the previous paragraph.</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Ninety Five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Appointed Executive-Director</w:t>
      </w:r>
    </w:p>
    <w:p>
      <w:pPr>
        <w:spacing w:after="0" w:line="219"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ONE- The Government shall inform the concessionaire, within fifteen days from the signing of the present concession contract whether it authorizes that the person indicated in Attachment I of the Administration Rule number 26/2001, submitted by the concessionaire as bidder for the first public tender for the awarding of three concessions for the operation of games of chance or other games in casinos, to be the Executive Director for the concessionaire.</w:t>
      </w:r>
    </w:p>
    <w:p>
      <w:pPr>
        <w:spacing w:after="0" w:line="16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TWO—The provisions of numbers ONE and TWO of clause Twenty One are applicable to the first delegation of management by the concessionaire on an Executive Director after the awarding of the present concession contract.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Clause Ninety Six</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Bank accounts</w:t>
      </w:r>
    </w:p>
    <w:p>
      <w:pPr>
        <w:spacing w:after="0" w:line="21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concessionaire shall submit to the Government within seven days from the signing of the present concession contract, a document stating all its bank accounts and respective balances.</w:t>
      </w:r>
    </w:p>
    <w:p>
      <w:pPr>
        <w:sectPr>
          <w:pgSz w:w="11900" w:h="16838" w:orient="portrait"/>
          <w:cols w:equalWidth="0" w:num="1">
            <w:col w:w="11360"/>
          </w:cols>
          <w:pgMar w:left="240" w:top="131" w:right="299" w:bottom="238"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238" w:gutter="0" w:footer="0" w:header="0"/>
          <w:type w:val="continuous"/>
        </w:sectPr>
      </w:pPr>
    </w:p>
    <w:bookmarkStart w:id="184" w:name="page185"/>
    <w:bookmarkEnd w:id="184"/>
    <w:p>
      <w:pPr>
        <w:jc w:val="center"/>
        <w:ind w:right="-19"/>
        <w:spacing w:after="0"/>
        <w:rPr>
          <w:sz w:val="20"/>
          <w:szCs w:val="20"/>
          <w:color w:val="auto"/>
        </w:rPr>
      </w:pPr>
      <w:r>
        <w:rPr>
          <w:rFonts w:ascii="Arial" w:cs="Arial" w:eastAsia="Arial" w:hAnsi="Arial"/>
          <w:sz w:val="18"/>
          <w:szCs w:val="18"/>
          <w:b w:val="1"/>
          <w:bCs w:val="1"/>
          <w:color w:val="auto"/>
        </w:rPr>
        <w:t>Clause Ninety Seven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Declaration relating to the duty to cooperate</w:t>
      </w:r>
    </w:p>
    <w:p>
      <w:pPr>
        <w:spacing w:after="0" w:line="219"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concessionaire shall endeavour to obtain and submit to the Government, within fifteen days from the signing of the present concession contract, a declaration subscribed by each of its shareholders holding 5% or more of its capital stock, its directors and main employees with relevant positions in the casino, as well as its dominant partners, including the ultimate dominant partner, by which they accept to be subject to a special duty to cooperate with the Government and to produce any documents and supply whatever information, data, authorizations or proof that may be requested for that purpose.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Ninety Eight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Fixed part and variable part of the premium</w:t>
      </w:r>
    </w:p>
    <w:p>
      <w:pPr>
        <w:spacing w:after="0" w:line="219"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ONE—The payment of the fixed part of the yearly premium foreseen in clause 47, in the respective proportion, is due only from the 26th day of June of the year two thousand and five, except if, before that date, the concessionaire begins the operation of a casino or gaming area in the Resort—Hotel—Casino complex, foreseen in the Investment Plan annex to the present concession contract, in which case payment becomes due at once.</w:t>
      </w:r>
    </w:p>
    <w:p>
      <w:pPr>
        <w:spacing w:after="0" w:line="16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TWO—The payment of the variable part of the yearly premium foreseen in clause 47 is only due from the date of starting of operation of the games of chance or other games in casinos, whether the starting of operations takes place in temporary installations or in the Resort-Hotel-Casino above mentioned. For the purpose of calculation of the variable part of the premium the concessionaire shall submit to the Government, up to ten days prior to the opening of its first casino or gaming area, whether it be in temporary installations or in the complex referred in the previous number, a list with the number of gaming tables and electric or mechanic machine, including </w:t>
      </w:r>
      <w:r>
        <w:rPr>
          <w:rFonts w:ascii="Arial" w:cs="Arial" w:eastAsia="Arial" w:hAnsi="Arial"/>
          <w:sz w:val="16"/>
          <w:szCs w:val="16"/>
          <w:i w:val="1"/>
          <w:iCs w:val="1"/>
          <w:color w:val="auto"/>
        </w:rPr>
        <w:t>"slot machines",</w:t>
      </w:r>
      <w:r>
        <w:rPr>
          <w:rFonts w:ascii="Arial" w:cs="Arial" w:eastAsia="Arial" w:hAnsi="Arial"/>
          <w:sz w:val="16"/>
          <w:szCs w:val="16"/>
          <w:color w:val="auto"/>
        </w:rPr>
        <w:t xml:space="preserve"> that it intends to operate in that year, as well as their respective location.</w:t>
      </w:r>
    </w:p>
    <w:p>
      <w:pPr>
        <w:spacing w:after="0" w:line="170"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THREE—In case the concessionaire opens its first casino or gaming area in temporary installations, the amount of the variable portion of the premium cannot be less than the amount that would result from the permanent operation of 20 (twenty) gaming tables reserved for particular games and players, namely operated in gaming rooms or special areas, and 20 (twenty) gaming tables non-reserved for particular games and players, until the beginning of operation of a casino or gaming area in the resort complex referred in number ONE.</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FOUR—The amounts relative to the variable part of the yearly premium referred in number FIVE of clause 47 will be subject to revision by the Parties as from the third year of the awarding of the present concession contract.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Ninety nine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articles of association and shareholders agreements</w:t>
      </w:r>
    </w:p>
    <w:p>
      <w:pPr>
        <w:spacing w:after="0" w:line="21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Government shall notify the concessionaire, within sixty days of the signing of the present concession contract, as to whether it approves its articles of association as well as its shareholders agreements.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One Hundred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Mandates or Power of Attorney</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concessionaire shall inform the Government within fifteen days from the signing of the present concession contract, of each and every mandate or power of attorney existing on the date of the awarding of the present concession contract, verifying, based on a stable relationship, the powers inherent to the board of directors to conduct business relating to the operation of the company in the name of the concessionaire, with the exception of the powers for carrying out everyday current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business, namely at public offices or services, for the purpose of authorization, or to submit, within the same timing, a declaration of non-existence of same.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One Hundred and 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Actual participation in the operation of games of chance or other games 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casinos under other jurisdictions</w:t>
      </w:r>
    </w:p>
    <w:p>
      <w:pPr>
        <w:spacing w:after="0" w:line="219"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concessionaire shall inform the Government within fifteen days from the signing of the present concession contract, of the actual participation of any one of its administrators, of the dominant partner, including the ultimate dominant partner or any holder of capital share when corresponding, directly or indirectly, to an amount of 10% or more of its capital stock, in the operation of games of chance or other games in casinos, even if only through a management contract, in any other jurisdiction.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One Hundred and Two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Composition of the governing bodies of the concessionaire</w:t>
      </w:r>
    </w:p>
    <w:p>
      <w:pPr>
        <w:spacing w:after="0" w:line="219"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concessionaire shall inform the Government within seven days from the signing of the present concession contract as to the composition, at the time of awarding of the present concession contract, of the board of directors, the annual general meeting, the audit board and other governing bodies of the concessionaire.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One Hundred and Three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Structure of shareholders and capital stock</w:t>
      </w:r>
    </w:p>
    <w:p>
      <w:pPr>
        <w:spacing w:after="0" w:line="21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ONE—The concessionaire shall submit to the Government, within seven days from the signing of the present concession contract, the shareholder structure of the concessionaire on the date of the awarding of the present concession contract.</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 xml:space="preserve">TWO—The concessionaire shall submit to the Government, within seven days from the signing of the present concession contract, the structure of the capital stock of corporate bodies, </w:t>
      </w:r>
      <w:r>
        <w:rPr>
          <w:rFonts w:ascii="Arial" w:cs="Arial" w:eastAsia="Arial" w:hAnsi="Arial"/>
          <w:sz w:val="18"/>
          <w:szCs w:val="18"/>
          <w:i w:val="1"/>
          <w:iCs w:val="1"/>
          <w:color w:val="auto"/>
        </w:rPr>
        <w:t>maxime</w:t>
      </w:r>
      <w:r>
        <w:rPr>
          <w:rFonts w:ascii="Arial" w:cs="Arial" w:eastAsia="Arial" w:hAnsi="Arial"/>
          <w:sz w:val="18"/>
          <w:szCs w:val="18"/>
          <w:color w:val="auto"/>
        </w:rPr>
        <w:t xml:space="preserve"> companies, holding 5% or more of the capital stock of the concessionaire, as well as the structure of the capital stock of corporate bodies that hold 5% or more of the capital stock of same, and so on up to the individual or corporate bodies who are ultimate partners, on the date of the awarding of the present concession contract.</w:t>
      </w:r>
    </w:p>
    <w:p>
      <w:pPr>
        <w:sectPr>
          <w:pgSz w:w="11900" w:h="16838" w:orient="portrait"/>
          <w:cols w:equalWidth="0" w:num="1">
            <w:col w:w="11420"/>
          </w:cols>
          <w:pgMar w:left="240" w:top="125" w:right="239" w:bottom="0" w:gutter="0" w:footer="0" w:header="0"/>
        </w:sectPr>
      </w:pPr>
    </w:p>
    <w:bookmarkStart w:id="185" w:name="page186"/>
    <w:bookmarkEnd w:id="185"/>
    <w:p>
      <w:pPr>
        <w:ind w:right="460" w:firstLine="348"/>
        <w:spacing w:after="0" w:line="268" w:lineRule="auto"/>
        <w:rPr>
          <w:sz w:val="20"/>
          <w:szCs w:val="20"/>
          <w:color w:val="auto"/>
        </w:rPr>
      </w:pPr>
      <w:r>
        <w:rPr>
          <w:rFonts w:ascii="Arial" w:cs="Arial" w:eastAsia="Arial" w:hAnsi="Arial"/>
          <w:sz w:val="18"/>
          <w:szCs w:val="18"/>
          <w:color w:val="auto"/>
        </w:rPr>
        <w:t>THREE—The concessionaire shall submit to the Government, within fifteen days from the signing of the present concession contract, the declarations referred to in number TWO of clause Nineteen, relative to the year two thousand and two.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One Hundred and Four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 to the number of concessions</w:t>
      </w:r>
    </w:p>
    <w:p>
      <w:pPr>
        <w:spacing w:after="0" w:line="219"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ONE—The grantee shall not award, until the first of April of the year two thousand and nine, concessions for the operation of games of chance or other games in casinos, so that, at any given time, there are not more than three, as per provisions of the law.</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TWO—Should the grantee, after the date referred to in the previous paragraph, award new concessions for the operation of games of chance or other games in casinos, the conditions of which are, in global terms, more favourable than those foreseen in the present concession contract, the Government shall extend them to the concessionaire by altering the present concession contract.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One Hundred and Five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Revision of the percentage of contributions</w:t>
      </w:r>
    </w:p>
    <w:p>
      <w:pPr>
        <w:spacing w:after="0" w:line="219"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percentages of the contributions referred to in clauses Forty Eight and Forty Nine shall be the object of revision by the Parties during the year two thousand and ten.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Clause One Hundred and Six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Date</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present concession contract, written in both official languages, will come into effect as from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June of year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Thus it was granted</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Stamp Duty due, as per articles 17 and 24 of Stamp Duty Regulation, on the amount of MOP 115, 00 (one hundred and fifty patacas) and the Notary Fees Due, as per article 4 number 1 and 2 of the Notary Regulation, on the amount of MOP 708.600,00 (seven hundred and eighth thousand six hundred patacas) were paid by the Second Party and the proof of payment was filed.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the documents mentioned in the concession contract are filed with the Notary Division of the Macau Finance Department under number 17039.</w:t>
      </w:r>
    </w:p>
    <w:p>
      <w:pPr>
        <w:spacing w:after="0" w:line="24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deed has been read to the parties and its contents were explained out loud to all those present, and the representative of the second party had access to a translation into the English language as he does not understand either of the official languages.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HO HAU WAH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554730" cy="215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554730" cy="215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Notary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TO THE CONCESSION CONTRACT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INVESTMENT PLAN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Without prejudice of the provisions of Clause thirty nine of the present concession contract, the concessionaire must build:</w:t>
      </w:r>
    </w:p>
    <w:p>
      <w:pPr>
        <w:spacing w:after="0" w:line="239" w:lineRule="exact"/>
        <w:rPr>
          <w:sz w:val="20"/>
          <w:szCs w:val="20"/>
          <w:color w:val="auto"/>
        </w:rPr>
      </w:pPr>
    </w:p>
    <w:p>
      <w:pPr>
        <w:ind w:left="1080" w:hanging="532"/>
        <w:spacing w:after="0"/>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Resort-Hotel-Casino that must be concluded and open to the public on December 2006.</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Total Investment—4,000,000,000.00 (four thousand million patacas), which must be expended within 7 years upon the signing of this concession contract.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5820"/>
        <w:spacing w:after="0"/>
        <w:rPr>
          <w:sz w:val="20"/>
          <w:szCs w:val="20"/>
          <w:color w:val="auto"/>
        </w:rPr>
      </w:pPr>
      <w:r>
        <w:rPr>
          <w:rFonts w:ascii="Arial" w:cs="Arial" w:eastAsia="Arial" w:hAnsi="Arial"/>
          <w:sz w:val="22"/>
          <w:szCs w:val="22"/>
          <w:b w:val="1"/>
          <w:bCs w:val="1"/>
          <w:color w:val="auto"/>
        </w:rPr>
        <w:t>AMERICAN EMBASSY LISBON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Av. Das Forças Armadas</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1600-081 Lisboa, Portugal</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Tel: 21 -770 -2499</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Fax: 21- 727-2354</w:t>
      </w:r>
    </w:p>
    <w:p>
      <w:pPr>
        <w:sectPr>
          <w:pgSz w:w="11900" w:h="16838" w:orient="portrait"/>
          <w:cols w:equalWidth="0" w:num="1">
            <w:col w:w="11400"/>
          </w:cols>
          <w:pgMar w:left="240" w:top="131" w:right="259" w:bottom="249"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Republic of Portugal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Providence of Estremadura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of Lisbon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Embassy of the United States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America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3300" w:space="720"/>
            <w:col w:w="7340"/>
          </w:cols>
          <w:pgMar w:left="240" w:top="341" w:right="29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 Victoria Perestrello, being duly sworn, do hereby declare that I am thoroughly aquainted with the Portuguese and English languages, that I am accustomed to make translations in these languages, and that the annexed translation(s) was (were) made by me and it is a (are) true and correct translation(s).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document consists of 166 pages, each initialed by the translator.</w:t>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VICTORIA PERESTRELLO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Subscribed and sworn to before me this 29</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day of July 2002.</w:t>
      </w:r>
    </w:p>
    <w:p>
      <w:pPr>
        <w:spacing w:after="0" w:line="14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DANIEL BAZAN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2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Daniel Bazan</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Consul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center"/>
        <w:ind w:right="9320"/>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Exhibit 10.24</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CONCESSION CONTRACT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ANNEX TO THE CONCESSION CONTRACT INVESTMENT PLAN</w:t>
        </w:r>
      </w:hyperlink>
    </w:p>
    <w:p>
      <w:pPr>
        <w:sectPr>
          <w:pgSz w:w="11900" w:h="16838" w:orient="portrait"/>
          <w:cols w:equalWidth="0" w:num="1">
            <w:col w:w="11360"/>
          </w:cols>
          <w:pgMar w:left="240" w:top="341" w:right="299" w:bottom="1440" w:gutter="0" w:footer="0" w:header="0"/>
          <w:type w:val="continuous"/>
        </w:sectPr>
      </w:pPr>
    </w:p>
    <w:bookmarkStart w:id="187" w:name="page188"/>
    <w:bookmarkEnd w:id="187"/>
    <w:p>
      <w:pPr>
        <w:spacing w:after="0"/>
        <w:rPr>
          <w:rFonts w:ascii="Arial" w:cs="Arial" w:eastAsia="Arial" w:hAnsi="Arial"/>
          <w:sz w:val="22"/>
          <w:szCs w:val="22"/>
          <w:color w:val="0000EE"/>
        </w:rPr>
      </w:pPr>
      <w:hyperlink w:anchor="page20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10.25</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SECURITIES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BEAR, STEARNS &amp; CO. INC.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14, 2002</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COMMITMENT LETTER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Attention: Mr. Stephen A. Wynn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 $1,000,000,000 Senior Secured Credit Facilities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 xml:space="preserve">This amended and restated commitment letter agreement (together with all exhibits and schedules hereto, the </w:t>
      </w:r>
      <w:r>
        <w:rPr>
          <w:rFonts w:ascii="Arial" w:cs="Arial" w:eastAsia="Arial" w:hAnsi="Arial"/>
          <w:sz w:val="16"/>
          <w:szCs w:val="16"/>
          <w:b w:val="1"/>
          <w:bCs w:val="1"/>
          <w:i w:val="1"/>
          <w:iCs w:val="1"/>
          <w:color w:val="auto"/>
        </w:rPr>
        <w:t>"Commitment Letter"</w:t>
      </w:r>
      <w:r>
        <w:rPr>
          <w:rFonts w:ascii="Arial" w:cs="Arial" w:eastAsia="Arial" w:hAnsi="Arial"/>
          <w:sz w:val="16"/>
          <w:szCs w:val="16"/>
          <w:color w:val="auto"/>
        </w:rPr>
        <w:t xml:space="preserve">) will confirm the understanding and agreement among Deutsche Bank Trust Company Americas, as sole administrative agent (the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Deutsche Bank Securities Inc., as joint advisor, joint book-running manager, and joint lead arranger (</w:t>
      </w:r>
      <w:r>
        <w:rPr>
          <w:rFonts w:ascii="Arial" w:cs="Arial" w:eastAsia="Arial" w:hAnsi="Arial"/>
          <w:sz w:val="16"/>
          <w:szCs w:val="16"/>
          <w:b w:val="1"/>
          <w:bCs w:val="1"/>
          <w:i w:val="1"/>
          <w:iCs w:val="1"/>
          <w:color w:val="auto"/>
        </w:rPr>
        <w:t>"DBSI"</w:t>
      </w:r>
      <w:r>
        <w:rPr>
          <w:rFonts w:ascii="Arial" w:cs="Arial" w:eastAsia="Arial" w:hAnsi="Arial"/>
          <w:sz w:val="16"/>
          <w:szCs w:val="16"/>
          <w:color w:val="auto"/>
        </w:rPr>
        <w:t>), Bank of America, N.A. (</w:t>
      </w:r>
      <w:r>
        <w:rPr>
          <w:rFonts w:ascii="Arial" w:cs="Arial" w:eastAsia="Arial" w:hAnsi="Arial"/>
          <w:sz w:val="16"/>
          <w:szCs w:val="16"/>
          <w:b w:val="1"/>
          <w:bCs w:val="1"/>
          <w:i w:val="1"/>
          <w:iCs w:val="1"/>
          <w:color w:val="auto"/>
        </w:rPr>
        <w:t>"BofA"</w:t>
      </w:r>
      <w:r>
        <w:rPr>
          <w:rFonts w:ascii="Arial" w:cs="Arial" w:eastAsia="Arial" w:hAnsi="Arial"/>
          <w:sz w:val="16"/>
          <w:szCs w:val="16"/>
          <w:color w:val="auto"/>
        </w:rPr>
        <w:t>), Banc of America Securities LLC, as joint advisor, joint book-running manager, joint lead arranger and sole syndication agent (</w:t>
      </w:r>
      <w:r>
        <w:rPr>
          <w:rFonts w:ascii="Arial" w:cs="Arial" w:eastAsia="Arial" w:hAnsi="Arial"/>
          <w:sz w:val="16"/>
          <w:szCs w:val="16"/>
          <w:b w:val="1"/>
          <w:bCs w:val="1"/>
          <w:i w:val="1"/>
          <w:iCs w:val="1"/>
          <w:color w:val="auto"/>
        </w:rPr>
        <w:t>"BofA Securities"</w:t>
      </w:r>
      <w:r>
        <w:rPr>
          <w:rFonts w:ascii="Arial" w:cs="Arial" w:eastAsia="Arial" w:hAnsi="Arial"/>
          <w:sz w:val="16"/>
          <w:szCs w:val="16"/>
          <w:color w:val="auto"/>
        </w:rPr>
        <w:t>), Bear Stearns Corporate Lending, Inc., as documentation agent (</w:t>
      </w:r>
      <w:r>
        <w:rPr>
          <w:rFonts w:ascii="Arial" w:cs="Arial" w:eastAsia="Arial" w:hAnsi="Arial"/>
          <w:sz w:val="16"/>
          <w:szCs w:val="16"/>
          <w:b w:val="1"/>
          <w:bCs w:val="1"/>
          <w:i w:val="1"/>
          <w:iCs w:val="1"/>
          <w:color w:val="auto"/>
        </w:rPr>
        <w:t>"BSCL"</w:t>
      </w:r>
      <w:r>
        <w:rPr>
          <w:rFonts w:ascii="Arial" w:cs="Arial" w:eastAsia="Arial" w:hAnsi="Arial"/>
          <w:sz w:val="16"/>
          <w:szCs w:val="16"/>
          <w:color w:val="auto"/>
        </w:rPr>
        <w:t>), and Bear, Stearns &amp; Co. Inc., as joint advisor, joint book-running manager and arranger (</w:t>
      </w:r>
      <w:r>
        <w:rPr>
          <w:rFonts w:ascii="Arial" w:cs="Arial" w:eastAsia="Arial" w:hAnsi="Arial"/>
          <w:sz w:val="16"/>
          <w:szCs w:val="16"/>
          <w:b w:val="1"/>
          <w:bCs w:val="1"/>
          <w:i w:val="1"/>
          <w:iCs w:val="1"/>
          <w:color w:val="auto"/>
        </w:rPr>
        <w:t>"Bear"</w:t>
      </w:r>
      <w:r>
        <w:rPr>
          <w:rFonts w:ascii="Arial" w:cs="Arial" w:eastAsia="Arial" w:hAnsi="Arial"/>
          <w:sz w:val="16"/>
          <w:szCs w:val="16"/>
          <w:color w:val="auto"/>
        </w:rPr>
        <w:t xml:space="preserve"> and, together with DBSI and BofA Securities, the </w:t>
      </w:r>
      <w:r>
        <w:rPr>
          <w:rFonts w:ascii="Arial" w:cs="Arial" w:eastAsia="Arial" w:hAnsi="Arial"/>
          <w:sz w:val="16"/>
          <w:szCs w:val="16"/>
          <w:b w:val="1"/>
          <w:bCs w:val="1"/>
          <w:i w:val="1"/>
          <w:iCs w:val="1"/>
          <w:color w:val="auto"/>
        </w:rPr>
        <w:t>"Arrangers"</w:t>
      </w:r>
      <w:r>
        <w:rPr>
          <w:rFonts w:ascii="Arial" w:cs="Arial" w:eastAsia="Arial" w:hAnsi="Arial"/>
          <w:sz w:val="16"/>
          <w:szCs w:val="16"/>
          <w:color w:val="auto"/>
        </w:rPr>
        <w:t xml:space="preserve">, and, together with the Agent, DBSI, BofA, BofA Securities and BSCL, the </w:t>
      </w:r>
      <w:r>
        <w:rPr>
          <w:rFonts w:ascii="Arial" w:cs="Arial" w:eastAsia="Arial" w:hAnsi="Arial"/>
          <w:sz w:val="16"/>
          <w:szCs w:val="16"/>
          <w:b w:val="1"/>
          <w:bCs w:val="1"/>
          <w:i w:val="1"/>
          <w:iCs w:val="1"/>
          <w:color w:val="auto"/>
        </w:rPr>
        <w:t>"Participating Institutions"</w:t>
      </w:r>
      <w:r>
        <w:rPr>
          <w:rFonts w:ascii="Arial" w:cs="Arial" w:eastAsia="Arial" w:hAnsi="Arial"/>
          <w:sz w:val="16"/>
          <w:szCs w:val="16"/>
          <w:color w:val="auto"/>
        </w:rPr>
        <w:t>), Valvino Lamore, LLC (</w:t>
      </w:r>
      <w:r>
        <w:rPr>
          <w:rFonts w:ascii="Arial" w:cs="Arial" w:eastAsia="Arial" w:hAnsi="Arial"/>
          <w:sz w:val="16"/>
          <w:szCs w:val="16"/>
          <w:b w:val="1"/>
          <w:bCs w:val="1"/>
          <w:i w:val="1"/>
          <w:iCs w:val="1"/>
          <w:color w:val="auto"/>
        </w:rPr>
        <w:t>"Valvino"</w:t>
      </w:r>
      <w:r>
        <w:rPr>
          <w:rFonts w:ascii="Arial" w:cs="Arial" w:eastAsia="Arial" w:hAnsi="Arial"/>
          <w:sz w:val="16"/>
          <w:szCs w:val="16"/>
          <w:color w:val="auto"/>
        </w:rPr>
        <w:t>), Wynn Resorts Holdings, LLC (</w:t>
      </w:r>
      <w:r>
        <w:rPr>
          <w:rFonts w:ascii="Arial" w:cs="Arial" w:eastAsia="Arial" w:hAnsi="Arial"/>
          <w:sz w:val="16"/>
          <w:szCs w:val="16"/>
          <w:b w:val="1"/>
          <w:bCs w:val="1"/>
          <w:i w:val="1"/>
          <w:iCs w:val="1"/>
          <w:color w:val="auto"/>
        </w:rPr>
        <w:t>"Wynn, LLC"</w:t>
      </w:r>
      <w:r>
        <w:rPr>
          <w:rFonts w:ascii="Arial" w:cs="Arial" w:eastAsia="Arial" w:hAnsi="Arial"/>
          <w:sz w:val="16"/>
          <w:szCs w:val="16"/>
          <w:color w:val="auto"/>
        </w:rPr>
        <w:t xml:space="preserve">), and Wynn Las Vegas, LLC, a Nevada limited liability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in connection with the proposed financing for the development and construction of a casino/resort planned to include more than 2,500 hotel rooms, more than 100,000 square feet of gaming space, an approximately 130 acre newly designed golf course and various other amenities (the </w:t>
      </w:r>
      <w:r>
        <w:rPr>
          <w:rFonts w:ascii="Arial" w:cs="Arial" w:eastAsia="Arial" w:hAnsi="Arial"/>
          <w:sz w:val="16"/>
          <w:szCs w:val="16"/>
          <w:b w:val="1"/>
          <w:bCs w:val="1"/>
          <w:i w:val="1"/>
          <w:iCs w:val="1"/>
          <w:color w:val="auto"/>
        </w:rPr>
        <w:t>"Project"</w:t>
      </w:r>
      <w:r>
        <w:rPr>
          <w:rFonts w:ascii="Arial" w:cs="Arial" w:eastAsia="Arial" w:hAnsi="Arial"/>
          <w:sz w:val="16"/>
          <w:szCs w:val="16"/>
          <w:color w:val="auto"/>
        </w:rPr>
        <w:t>) for approximately $2.45 billion on the site of the old Desert Inn located in Las Vegas, Nevada. References in this Commitment Letter to "we", "our" and "us" refer, collectively, to the Participating Institutions.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have advised us that the total funds needed to finance the development and construction of the Project (including fees and expenses) will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$2.45 billion and that such funds will be provided from the following sources: (1) $747.0 million of borrowings by the Company under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$750.0 million Revolving Credit Facility (the </w:t>
      </w:r>
      <w:r>
        <w:rPr>
          <w:rFonts w:ascii="Arial" w:cs="Arial" w:eastAsia="Arial" w:hAnsi="Arial"/>
          <w:sz w:val="16"/>
          <w:szCs w:val="16"/>
          <w:b w:val="1"/>
          <w:bCs w:val="1"/>
          <w:i w:val="1"/>
          <w:iCs w:val="1"/>
          <w:color w:val="auto"/>
        </w:rPr>
        <w:t>"Revolving Credit Facility"</w:t>
      </w:r>
      <w:r>
        <w:rPr>
          <w:rFonts w:ascii="Arial" w:cs="Arial" w:eastAsia="Arial" w:hAnsi="Arial"/>
          <w:sz w:val="16"/>
          <w:szCs w:val="16"/>
          <w:color w:val="auto"/>
        </w:rPr>
        <w:t>) and $250.0 million of borrowings by the Company under a $250.0 million Delay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Draw Term Loan Facility (the </w:t>
      </w:r>
      <w:r>
        <w:rPr>
          <w:rFonts w:ascii="Arial" w:cs="Arial" w:eastAsia="Arial" w:hAnsi="Arial"/>
          <w:sz w:val="16"/>
          <w:szCs w:val="16"/>
          <w:b w:val="1"/>
          <w:bCs w:val="1"/>
          <w:i w:val="1"/>
          <w:iCs w:val="1"/>
          <w:color w:val="auto"/>
        </w:rPr>
        <w:t>"Term Loan Facility"</w:t>
      </w:r>
      <w:r>
        <w:rPr>
          <w:rFonts w:ascii="Arial" w:cs="Arial" w:eastAsia="Arial" w:hAnsi="Arial"/>
          <w:sz w:val="16"/>
          <w:szCs w:val="16"/>
          <w:color w:val="auto"/>
        </w:rPr>
        <w:t xml:space="preserve"> and, together with the Revolving Credit Facility, the </w:t>
      </w:r>
      <w:r>
        <w:rPr>
          <w:rFonts w:ascii="Arial" w:cs="Arial" w:eastAsia="Arial" w:hAnsi="Arial"/>
          <w:sz w:val="16"/>
          <w:szCs w:val="16"/>
          <w:b w:val="1"/>
          <w:bCs w:val="1"/>
          <w:i w:val="1"/>
          <w:iCs w:val="1"/>
          <w:color w:val="auto"/>
        </w:rPr>
        <w:t>"Credit Facilities"</w:t>
      </w:r>
      <w:r>
        <w:rPr>
          <w:rFonts w:ascii="Arial" w:cs="Arial" w:eastAsia="Arial" w:hAnsi="Arial"/>
          <w:sz w:val="16"/>
          <w:szCs w:val="16"/>
          <w:color w:val="auto"/>
        </w:rPr>
        <w:t>) among the Participating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Institutions and the financial institutions party thereto, (2) the issuance by the Company of $350.0 million in aggregate principal amount of Second Mortgage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Notes (the </w:t>
      </w:r>
      <w:r>
        <w:rPr>
          <w:rFonts w:ascii="Arial" w:cs="Arial" w:eastAsia="Arial" w:hAnsi="Arial"/>
          <w:sz w:val="16"/>
          <w:szCs w:val="16"/>
          <w:b w:val="1"/>
          <w:bCs w:val="1"/>
          <w:i w:val="1"/>
          <w:iCs w:val="1"/>
          <w:color w:val="auto"/>
        </w:rPr>
        <w:t>"Second Mortgage Notes"</w:t>
      </w:r>
      <w:r>
        <w:rPr>
          <w:rFonts w:ascii="Arial" w:cs="Arial" w:eastAsia="Arial" w:hAnsi="Arial"/>
          <w:sz w:val="16"/>
          <w:szCs w:val="16"/>
          <w:color w:val="auto"/>
        </w:rPr>
        <w:t>) with a maturity date at least one year beyond the maturity of the Credit Facilities, (3) $150.0 million of borrowings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Company under a $150.0 million FF&amp;E Facility (the </w:t>
      </w:r>
      <w:r>
        <w:rPr>
          <w:rFonts w:ascii="Arial" w:cs="Arial" w:eastAsia="Arial" w:hAnsi="Arial"/>
          <w:sz w:val="16"/>
          <w:szCs w:val="16"/>
          <w:b w:val="1"/>
          <w:bCs w:val="1"/>
          <w:i w:val="1"/>
          <w:iCs w:val="1"/>
          <w:color w:val="auto"/>
        </w:rPr>
        <w:t>"FF&amp;E Facility"</w:t>
      </w:r>
      <w:r>
        <w:rPr>
          <w:rFonts w:ascii="Arial" w:cs="Arial" w:eastAsia="Arial" w:hAnsi="Arial"/>
          <w:sz w:val="16"/>
          <w:szCs w:val="16"/>
          <w:color w:val="auto"/>
        </w:rPr>
        <w:t>), (4) at least $413.0 million of common equity contributed, directly or indirectly,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Company in cash and property by Stephen A. Wynn, Aruze USA, Inc. and Baron Asset Fund (collectively, the </w:t>
      </w:r>
      <w:r>
        <w:rPr>
          <w:rFonts w:ascii="Arial" w:cs="Arial" w:eastAsia="Arial" w:hAnsi="Arial"/>
          <w:sz w:val="16"/>
          <w:szCs w:val="16"/>
          <w:b w:val="1"/>
          <w:bCs w:val="1"/>
          <w:i w:val="1"/>
          <w:iCs w:val="1"/>
          <w:color w:val="auto"/>
        </w:rPr>
        <w:t>"Members"</w:t>
      </w:r>
      <w:r>
        <w:rPr>
          <w:rFonts w:ascii="Arial" w:cs="Arial" w:eastAsia="Arial" w:hAnsi="Arial"/>
          <w:sz w:val="16"/>
          <w:szCs w:val="16"/>
          <w:color w:val="auto"/>
        </w:rPr>
        <w:t>) prior to the date of this Commitment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Letter, (5) at least $355.0 million of common equity to be contributed, directly or indirectly, to the Company in cash by Wynn Resorts, Limited, a Nevada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b w:val="1"/>
          <w:bCs w:val="1"/>
          <w:i w:val="1"/>
          <w:iCs w:val="1"/>
          <w:color w:val="auto"/>
        </w:rPr>
        <w:t>"Wynn Resorts"</w:t>
      </w:r>
      <w:r>
        <w:rPr>
          <w:rFonts w:ascii="Arial" w:cs="Arial" w:eastAsia="Arial" w:hAnsi="Arial"/>
          <w:sz w:val="16"/>
          <w:szCs w:val="16"/>
          <w:color w:val="auto"/>
        </w:rPr>
        <w:t>), which will be the parent company of Valvino, from the proceeds of an initial public offering of common stock by Wynn Resorts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(6) approximately $175.0 million of existing cash balances of the Company and amounts to be contributed thereto by certain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8"/>
        <w:spacing w:after="0" w:line="268" w:lineRule="auto"/>
        <w:tabs>
          <w:tab w:leader="none" w:pos="24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approximately $25.0 million in projected interest income and (8) approximately $28.5 million in loans secured by an aircraft mortgage on a Bombadier Global Express aircraft.</w:t>
      </w:r>
    </w:p>
    <w:p>
      <w:pPr>
        <w:spacing w:after="0" w:line="186" w:lineRule="exact"/>
        <w:rPr>
          <w:sz w:val="20"/>
          <w:szCs w:val="20"/>
          <w:color w:val="auto"/>
        </w:rPr>
      </w:pPr>
    </w:p>
    <w:p>
      <w:pPr>
        <w:ind w:right="400" w:firstLine="345"/>
        <w:spacing w:after="0" w:line="305" w:lineRule="auto"/>
        <w:rPr>
          <w:sz w:val="20"/>
          <w:szCs w:val="20"/>
          <w:color w:val="auto"/>
        </w:rPr>
      </w:pPr>
      <w:r>
        <w:rPr>
          <w:rFonts w:ascii="Arial" w:cs="Arial" w:eastAsia="Arial" w:hAnsi="Arial"/>
          <w:sz w:val="15"/>
          <w:szCs w:val="15"/>
          <w:color w:val="auto"/>
        </w:rPr>
        <w:t>You have further advised us that prior to the effective date of the Credit Facilities, (1) the Company will be converted from a Nevada limited liability company to a Nevada corporation (unless such conversion would have materially adverse tax consequences to the Company or any of its equity holders) and</w:t>
      </w:r>
    </w:p>
    <w:p>
      <w:pPr>
        <w:ind w:right="160" w:firstLine="8"/>
        <w:spacing w:after="0" w:line="255" w:lineRule="auto"/>
        <w:tabs>
          <w:tab w:leader="none" w:pos="24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Members will contribute all of their equity interests in Valvino to Wynn Resorts in consideration for the issuance by Wynn Resorts to the Members of shares of Wynn Resort's common stock, that Valvino will become a direct wholly-owned subsidiary of Wynn Resorts, and the Company will become an indirect wholly-owned subsidiary of Wynn Resorts.</w:t>
      </w:r>
    </w:p>
    <w:p>
      <w:pPr>
        <w:spacing w:after="0" w:line="198"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 xml:space="preserve">In addition, pursuant to an Engagement Letter (the </w:t>
      </w:r>
      <w:r>
        <w:rPr>
          <w:rFonts w:ascii="Arial" w:cs="Arial" w:eastAsia="Arial" w:hAnsi="Arial"/>
          <w:sz w:val="16"/>
          <w:szCs w:val="16"/>
          <w:b w:val="1"/>
          <w:bCs w:val="1"/>
          <w:i w:val="1"/>
          <w:iCs w:val="1"/>
          <w:color w:val="auto"/>
        </w:rPr>
        <w:t>"Engagement Letter"</w:t>
      </w:r>
      <w:r>
        <w:rPr>
          <w:rFonts w:ascii="Arial" w:cs="Arial" w:eastAsia="Arial" w:hAnsi="Arial"/>
          <w:sz w:val="16"/>
          <w:szCs w:val="16"/>
          <w:color w:val="auto"/>
        </w:rPr>
        <w:t>) entered into between us and you, you retained DBSI, BofA Securities and Bear to act as the co-financial advisors, joint book-running managers and/or joint book-running placement agents for the Company and its affiliates in connection with the issuance of the Securities (as defined in the Engagement Letter) by Wynn Resorts, the Company and the other persons identified therein.</w:t>
      </w:r>
    </w:p>
    <w:p>
      <w:pPr>
        <w:spacing w:after="0" w:line="161" w:lineRule="exact"/>
        <w:rPr>
          <w:sz w:val="20"/>
          <w:szCs w:val="20"/>
          <w:color w:val="auto"/>
        </w:rPr>
      </w:pPr>
    </w:p>
    <w:p>
      <w:pPr>
        <w:ind w:left="660" w:hanging="301"/>
        <w:spacing w:after="0"/>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i w:val="1"/>
          <w:iCs w:val="1"/>
          <w:color w:val="auto"/>
        </w:rPr>
        <w:t>The Commitments.</w:t>
      </w:r>
    </w:p>
    <w:p>
      <w:pPr>
        <w:spacing w:after="0" w:line="225" w:lineRule="exact"/>
        <w:rPr>
          <w:sz w:val="20"/>
          <w:szCs w:val="20"/>
          <w:color w:val="auto"/>
        </w:rPr>
      </w:pPr>
    </w:p>
    <w:p>
      <w:pPr>
        <w:ind w:right="100" w:firstLine="359"/>
        <w:spacing w:after="0" w:line="298" w:lineRule="auto"/>
        <w:tabs>
          <w:tab w:leader="none" w:pos="62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You have requested (i) that the Agent, BofA and BSCL (collectively with each other financial institution that becomes a lender under the Credit Facilities, the </w:t>
      </w:r>
      <w:r>
        <w:rPr>
          <w:rFonts w:ascii="Arial" w:cs="Arial" w:eastAsia="Arial" w:hAnsi="Arial"/>
          <w:sz w:val="16"/>
          <w:szCs w:val="16"/>
          <w:b w:val="1"/>
          <w:bCs w:val="1"/>
          <w:i w:val="1"/>
          <w:iCs w:val="1"/>
          <w:color w:val="auto"/>
        </w:rPr>
        <w:t>"Senior Lenders"</w:t>
      </w:r>
      <w:r>
        <w:rPr>
          <w:rFonts w:ascii="Arial" w:cs="Arial" w:eastAsia="Arial" w:hAnsi="Arial"/>
          <w:sz w:val="16"/>
          <w:szCs w:val="16"/>
          <w:color w:val="auto"/>
        </w:rPr>
        <w:t xml:space="preserve">) commit to provide the entire amount of the Credit Facilities upon the terms and subject to the conditions set forth or referred to in this Commitment Letter, in the Summary of Terms of Credit Facilities attached hereto as Exhibit A (the </w:t>
      </w:r>
      <w:r>
        <w:rPr>
          <w:rFonts w:ascii="Arial" w:cs="Arial" w:eastAsia="Arial" w:hAnsi="Arial"/>
          <w:sz w:val="16"/>
          <w:szCs w:val="16"/>
          <w:b w:val="1"/>
          <w:bCs w:val="1"/>
          <w:i w:val="1"/>
          <w:iCs w:val="1"/>
          <w:color w:val="auto"/>
        </w:rPr>
        <w:t>"Term Sheet"</w:t>
      </w:r>
      <w:r>
        <w:rPr>
          <w:rFonts w:ascii="Arial" w:cs="Arial" w:eastAsia="Arial" w:hAnsi="Arial"/>
          <w:sz w:val="16"/>
          <w:szCs w:val="16"/>
          <w:color w:val="auto"/>
        </w:rPr>
        <w:t xml:space="preserve">) and in the closing conditions attached hereto as Exhibits B-1 (the </w:t>
      </w:r>
      <w:r>
        <w:rPr>
          <w:rFonts w:ascii="Arial" w:cs="Arial" w:eastAsia="Arial" w:hAnsi="Arial"/>
          <w:sz w:val="16"/>
          <w:szCs w:val="16"/>
          <w:b w:val="1"/>
          <w:bCs w:val="1"/>
          <w:i w:val="1"/>
          <w:iCs w:val="1"/>
          <w:color w:val="auto"/>
        </w:rPr>
        <w:t>"Closing Conditions"</w:t>
      </w:r>
      <w:r>
        <w:rPr>
          <w:rFonts w:ascii="Arial" w:cs="Arial" w:eastAsia="Arial" w:hAnsi="Arial"/>
          <w:sz w:val="16"/>
          <w:szCs w:val="16"/>
          <w:color w:val="auto"/>
        </w:rPr>
        <w:t xml:space="preserve">) and the funding conditions attached hereto as Exhibit B-2 (the </w:t>
      </w:r>
      <w:r>
        <w:rPr>
          <w:rFonts w:ascii="Arial" w:cs="Arial" w:eastAsia="Arial" w:hAnsi="Arial"/>
          <w:sz w:val="16"/>
          <w:szCs w:val="16"/>
          <w:b w:val="1"/>
          <w:bCs w:val="1"/>
          <w:i w:val="1"/>
          <w:iCs w:val="1"/>
          <w:color w:val="auto"/>
        </w:rPr>
        <w:t>"Funding Conditions"</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40" w:firstLine="359"/>
        <w:spacing w:after="0" w:line="294" w:lineRule="auto"/>
        <w:tabs>
          <w:tab w:leader="none" w:pos="64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Based on the foregoing, and subject to the terms and conditions hereof, (i) the Agent is pleased to confirm by this Commitment Letter its commitment to you to provide or cause one of its affiliates to provide one-third of the amount of the Credit Facilities, (ii) BofA is pleased to confirm by this Commitment Letter its commitment to you to provide or cause one of its affiliates to provide one-third of the amount of the Credit Facilities and (iii) BSCL is pleased to confirm by this Commitment Letter its commitment to you to provide or cause one of its affiliates to provide one-third of the amount of the Credit Facilities (the aggregate commitment of the Agent, BofA and BSCL for the entire amount of the Credit Facilities, the </w:t>
      </w:r>
      <w:r>
        <w:rPr>
          <w:rFonts w:ascii="Arial" w:cs="Arial" w:eastAsia="Arial" w:hAnsi="Arial"/>
          <w:sz w:val="16"/>
          <w:szCs w:val="16"/>
          <w:b w:val="1"/>
          <w:bCs w:val="1"/>
          <w:i w:val="1"/>
          <w:iCs w:val="1"/>
          <w:color w:val="auto"/>
        </w:rPr>
        <w:t>"Commitment"</w:t>
      </w:r>
      <w:r>
        <w:rPr>
          <w:rFonts w:ascii="Arial" w:cs="Arial" w:eastAsia="Arial" w:hAnsi="Arial"/>
          <w:sz w:val="16"/>
          <w:szCs w:val="16"/>
          <w:color w:val="auto"/>
        </w:rPr>
        <w:t>).</w:t>
      </w:r>
    </w:p>
    <w:p>
      <w:pPr>
        <w:sectPr>
          <w:pgSz w:w="11900" w:h="16838" w:orient="portrait"/>
          <w:cols w:equalWidth="0" w:num="1">
            <w:col w:w="11420"/>
          </w:cols>
          <w:pgMar w:left="240" w:top="361" w:right="239" w:bottom="0" w:gutter="0" w:footer="0" w:header="0"/>
        </w:sectPr>
      </w:pPr>
    </w:p>
    <w:bookmarkStart w:id="188" w:name="page189"/>
    <w:bookmarkEnd w:id="188"/>
    <w:p>
      <w:pPr>
        <w:ind w:right="80" w:firstLine="359"/>
        <w:spacing w:after="0" w:line="288" w:lineRule="auto"/>
        <w:tabs>
          <w:tab w:leader="none" w:pos="634"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Commitment Letter, the Engagement Letter or otherwise, in the event that (a) DBSI and the Agent (but not BofA Securities, BofA, BSCL or Bear) Terminate this Commitment Letter, this Commitment Letter shall be terminated only as to DBSI and the Agent, and shall remain in full force and effect as between you and BofA Securities, BofA, BSCL and Bear, (b) BofA Securities and BofA (but not DBSI, the Agent, BSCL or Bear) Terminate their obligations under this Commitment Letter, this Commitment Letter shall be terminated only as to BofA Securities and BofA, and shall remain in full force and effect as between you and DBSI, the Agent, BSCL and Bear or (c) BSCL and Bear (but not DBSI, the Agent, BofA Securities or BofA) Terminate their obligations under this Commitment Letter, this Commitment Letter shall be terminated only as to BSCL and Bear, and shall remain in full force and effect as between you and DBSI, the Agent, BofA Securities and BofA. For purposes of this Commitment Letter, </w:t>
      </w:r>
      <w:r>
        <w:rPr>
          <w:rFonts w:ascii="Arial" w:cs="Arial" w:eastAsia="Arial" w:hAnsi="Arial"/>
          <w:sz w:val="16"/>
          <w:szCs w:val="16"/>
          <w:b w:val="1"/>
          <w:bCs w:val="1"/>
          <w:i w:val="1"/>
          <w:iCs w:val="1"/>
          <w:color w:val="auto"/>
        </w:rPr>
        <w:t>"Terminate"</w:t>
      </w:r>
      <w:r>
        <w:rPr>
          <w:rFonts w:ascii="Arial" w:cs="Arial" w:eastAsia="Arial" w:hAnsi="Arial"/>
          <w:sz w:val="16"/>
          <w:szCs w:val="16"/>
          <w:color w:val="auto"/>
        </w:rPr>
        <w:t xml:space="preserve">means, with respect to any Person, that such Person asserts in writing that it is unwilling or unable to provide, or otherwise terminates in writing, its Commitment prior to the execution of definitive documentation for the Credit Facilities. </w:t>
      </w:r>
      <w:r>
        <w:rPr>
          <w:rFonts w:ascii="Arial" w:cs="Arial" w:eastAsia="Arial" w:hAnsi="Arial"/>
          <w:sz w:val="16"/>
          <w:szCs w:val="16"/>
          <w:b w:val="1"/>
          <w:bCs w:val="1"/>
          <w:i w:val="1"/>
          <w:iCs w:val="1"/>
          <w:color w:val="auto"/>
        </w:rPr>
        <w:t>"Terminates"</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xml:space="preserve"> shall have the correlative meanings.</w:t>
      </w:r>
    </w:p>
    <w:p>
      <w:pPr>
        <w:spacing w:after="0" w:line="173" w:lineRule="exact"/>
        <w:rPr>
          <w:rFonts w:ascii="Arial" w:cs="Arial" w:eastAsia="Arial" w:hAnsi="Arial"/>
          <w:sz w:val="16"/>
          <w:szCs w:val="16"/>
          <w:color w:val="auto"/>
        </w:rPr>
      </w:pPr>
    </w:p>
    <w:p>
      <w:pPr>
        <w:ind w:right="220" w:firstLine="359"/>
        <w:spacing w:after="0" w:line="332" w:lineRule="auto"/>
        <w:tabs>
          <w:tab w:leader="none" w:pos="644"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In the event of a Termination by BofA and BofA Securities, DBSI and the Agent or BSCL and Bear, as the case may be, pursuant to clause (c) above, the non-terminating Participating Institutions shall have the right, but not the obligation, in their sole discretion to assume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Commitment and all of the other rights, duties and obligations of the terminating Participating Institutions under this Commitment Letter;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that in the event of a Termination by BofA and BofA Securities, DBSI and the Agent or BSCL and Bear, as the case may be, the Commitment of the non-terminating Participating Institutions shall remain in full force and effect, subject to the terms and conditions of this Commitment Letter, so long as by the Commitment Expiration Date you shall have caused a financial institution reasonably acceptable to the non-terminating Participating Institutions to commit to you to provide the amount of the Credit Facilities equal to the terminated Commitment and all of the other rights, duties and obligations of the terminating Participating Institutions under this Commitment Letter, in each case on the same terms and conditions of such terminated Commitment. For purposes of clarification, if, in the event of a Termination by BofA and BofA Securities, DBSI and the Agent or BSCL and Bear, as the case may be, pursuant to clause (c) above, the provisions of Section 1(g) of the Fee Letter (as defined below) (such provisions, the </w:t>
      </w:r>
      <w:r>
        <w:rPr>
          <w:rFonts w:ascii="Arial" w:cs="Arial" w:eastAsia="Arial" w:hAnsi="Arial"/>
          <w:sz w:val="16"/>
          <w:szCs w:val="16"/>
          <w:b w:val="1"/>
          <w:bCs w:val="1"/>
          <w:i w:val="1"/>
          <w:iCs w:val="1"/>
          <w:color w:val="auto"/>
        </w:rPr>
        <w:t>"Other Financings Provisions"</w:t>
      </w:r>
      <w:r>
        <w:rPr>
          <w:rFonts w:ascii="Arial" w:cs="Arial" w:eastAsia="Arial" w:hAnsi="Arial"/>
          <w:sz w:val="16"/>
          <w:szCs w:val="16"/>
          <w:color w:val="auto"/>
        </w:rPr>
        <w:t>) would cease to be applicable to the terminating Participating Institutions, the Other Financings Provisions would not cease to be applicable to the non-terminating Participating Institutions solely as a result of such Termination.</w:t>
      </w:r>
    </w:p>
    <w:p>
      <w:pPr>
        <w:spacing w:after="0" w:line="177" w:lineRule="exact"/>
        <w:rPr>
          <w:sz w:val="20"/>
          <w:szCs w:val="20"/>
          <w:color w:val="auto"/>
        </w:rPr>
      </w:pPr>
    </w:p>
    <w:p>
      <w:pPr>
        <w:ind w:right="60" w:firstLine="359"/>
        <w:spacing w:after="0" w:line="288" w:lineRule="auto"/>
        <w:tabs>
          <w:tab w:leader="none" w:pos="63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It is agreed that (i) DBSI will act as joint advisor, joint book-running manager and joint lead arranger for the Credit Facilities, (ii) that the Agent will act as the sole and exclusive Administrative Agent for the Credit Facilities, (iii) that BofA Securities will act as joint advisor, joint book-running manager and joint lead arranger and as the sole and exclusive Syndication Agent for the Credit Facilities, (iv) that Bear will act as joint advisor, joint book-running manager and arranger for the Credit Facilities and (v) BSCL will act as documentation agent for the Credit Facilities. Each of DBSI, the Agent, BofA Securities and Bear will perform the duties and exercise the authority customarily performed and exercised by it in its respective role. You agree that no other agents, joint agents, arrangers or book managers will be appointed, no other titles will be awarded and no compensation (other than that expressly contemplated by the Term Sheet or the Fee Letter referred to below) will be paid in connection with the Credit Facilities unless you and we shall so agree. You also agree that no other managers, underwriters, initial purchasers or placement agents will be appointed, no other titles will be awarded and no compensation will be paid in connection with the issuance of Securities pursuant to the Engagement Letter unless you and we shall so agree.</w:t>
      </w:r>
    </w:p>
    <w:p>
      <w:pPr>
        <w:spacing w:after="0" w:line="173" w:lineRule="exact"/>
        <w:rPr>
          <w:rFonts w:ascii="Arial" w:cs="Arial" w:eastAsia="Arial" w:hAnsi="Arial"/>
          <w:sz w:val="16"/>
          <w:szCs w:val="16"/>
          <w:color w:val="auto"/>
        </w:rPr>
      </w:pPr>
    </w:p>
    <w:p>
      <w:pPr>
        <w:ind w:right="200" w:firstLine="359"/>
        <w:spacing w:after="0" w:line="291" w:lineRule="auto"/>
        <w:tabs>
          <w:tab w:leader="none" w:pos="699"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The commitments and agreements of the Participating Institutions described herein are subject to the execution of the Engagement Letter and the negotiation, execution and delivery on or before September 30, 2002 of definitive documentation with respect to the Credit Facilities, satisfactory to the Participating Institutions and their counsel and to satisfaction of the other conditions set forth or referred to in the Term Sheet and the Closing Conditions (the date on which such conditions are satisfied,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The terms and conditions of such commitments hereunder and of the Credit Facilities are not limited to those set forth herein and in the Term Sheet; those matters that are not covered by the provisions hereof or of the Term Sheet shall be consistent with the Term Sheet and shall be subject to the approval and agreement of the applicable Senior Lenders and the Company.</w:t>
      </w:r>
    </w:p>
    <w:p>
      <w:pPr>
        <w:spacing w:after="0" w:line="174" w:lineRule="exact"/>
        <w:rPr>
          <w:sz w:val="20"/>
          <w:szCs w:val="20"/>
          <w:color w:val="auto"/>
        </w:rPr>
      </w:pPr>
    </w:p>
    <w:p>
      <w:pPr>
        <w:jc w:val="both"/>
        <w:ind w:right="40" w:firstLine="359"/>
        <w:spacing w:after="0" w:line="259" w:lineRule="auto"/>
        <w:tabs>
          <w:tab w:leader="none" w:pos="658" w:val="left"/>
        </w:tabs>
        <w:numPr>
          <w:ilvl w:val="0"/>
          <w:numId w:val="282"/>
        </w:numPr>
        <w:rPr>
          <w:rFonts w:ascii="Arial" w:cs="Arial" w:eastAsia="Arial" w:hAnsi="Arial"/>
          <w:sz w:val="18"/>
          <w:szCs w:val="18"/>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In consideration of the execution and delivery of this Commitment Letter by the Participating Institutions, you agree to pay the fees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expenses set forth in Annex A-I to the Term Sheet and in the Amended and Restated Credit Facilities Fee Letter among the Participating Institutions and you dated the date hereof (the </w:t>
      </w:r>
      <w:r>
        <w:rPr>
          <w:rFonts w:ascii="Arial" w:cs="Arial" w:eastAsia="Arial" w:hAnsi="Arial"/>
          <w:sz w:val="18"/>
          <w:szCs w:val="18"/>
          <w:b w:val="1"/>
          <w:bCs w:val="1"/>
          <w:i w:val="1"/>
          <w:iCs w:val="1"/>
          <w:color w:val="auto"/>
        </w:rPr>
        <w:t>"Fee Letter"</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660" w:hanging="301"/>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i w:val="1"/>
          <w:iCs w:val="1"/>
          <w:color w:val="auto"/>
        </w:rPr>
        <w:t>Indemnification.</w:t>
      </w:r>
    </w:p>
    <w:p>
      <w:pPr>
        <w:spacing w:after="0" w:line="225" w:lineRule="exact"/>
        <w:rPr>
          <w:sz w:val="20"/>
          <w:szCs w:val="20"/>
          <w:color w:val="auto"/>
        </w:rPr>
      </w:pPr>
    </w:p>
    <w:p>
      <w:pPr>
        <w:ind w:right="60" w:firstLine="359"/>
        <w:spacing w:after="0" w:line="256" w:lineRule="auto"/>
        <w:tabs>
          <w:tab w:leader="none" w:pos="62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You hereby agree to indemnify and hold harmless each of the Participating Institutions, the other Senior Lenders and each of their respective affiliates and each of their respective officers, directors, partners, trustees, employees, affiliates, shareholders, advisors, agents, attorneys, attorneys-in-fact and controlling persons (each, an </w:t>
      </w:r>
      <w:r>
        <w:rPr>
          <w:rFonts w:ascii="Arial" w:cs="Arial" w:eastAsia="Arial" w:hAnsi="Arial"/>
          <w:sz w:val="18"/>
          <w:szCs w:val="18"/>
          <w:b w:val="1"/>
          <w:bCs w:val="1"/>
          <w:i w:val="1"/>
          <w:iCs w:val="1"/>
          <w:color w:val="auto"/>
        </w:rPr>
        <w:t>"indemnified person"</w:t>
      </w:r>
      <w:r>
        <w:rPr>
          <w:rFonts w:ascii="Arial" w:cs="Arial" w:eastAsia="Arial" w:hAnsi="Arial"/>
          <w:sz w:val="18"/>
          <w:szCs w:val="18"/>
          <w:color w:val="auto"/>
        </w:rPr>
        <w:t>) from and against any and all losses, claims, damages and liabilities to which any such indemnified person may become subject arising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out of or in connection with this Commitment Letter, the Credit Facilities, the use of the proceeds therefrom, the development, construction and operation of the Project, any of the other transactions contemplated by this Commitment Letter or the Fee Letter, any other transaction related hereto or thereto or any claim, litigation, investigation or proceeding relating to any of the foregoing, regardless of whether any indemnified person is a party hereto or thereto, and to reimburse each indemnified person upon demand for all legal and other expenses reasonably incurred by it in connection with investigating, preparing to defend or defending, or providing evidence in or preparing to serve or serving as a witness with respect to, any lawsuit, investigation, claim or other proceeding relating to any of the foregoing (including, without limitation, in connection with the enforcement of the indemnification obligations set forth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indemnified person shall be entitled to indemnity hereunder in respect of any loss, claim, damage, liability or expense to the extent that it is found by a final, non-appealable judgment of a court of competent jurisdiction that such loss, claim, damage, liability or expense resulted solely from the gross negligence or willful misconduct of such indemnified person. In no event will any indemnified person be liable for consequential, special or punitive damages as a result of any failure to fund any of the Credit Facilities contemplated hereby or otherwise in connection with the Credit Facilities; and provided, further, that any such matters relating to the Second Mortgage Notes or the IPO shall be addressed by the Engagement Letter. No indemnified person shall be liable for any damages arising from the use by unauthorized persons of Information or other materials sent through electronic, telecommunications or other information transmission systems that are intercepted by such persons.</w:t>
      </w:r>
    </w:p>
    <w:p>
      <w:pPr>
        <w:sectPr>
          <w:pgSz w:w="11900" w:h="16838" w:orient="portrait"/>
          <w:cols w:equalWidth="0" w:num="1">
            <w:col w:w="11380"/>
          </w:cols>
          <w:pgMar w:left="240" w:top="131" w:right="279" w:bottom="3" w:gutter="0" w:footer="0" w:header="0"/>
        </w:sectPr>
      </w:pPr>
    </w:p>
    <w:bookmarkStart w:id="189" w:name="page190"/>
    <w:bookmarkEnd w:id="189"/>
    <w:p>
      <w:pPr>
        <w:spacing w:after="0" w:line="88" w:lineRule="exact"/>
        <w:rPr>
          <w:sz w:val="20"/>
          <w:szCs w:val="20"/>
          <w:color w:val="auto"/>
        </w:rPr>
      </w:pPr>
    </w:p>
    <w:p>
      <w:pPr>
        <w:ind w:firstLine="359"/>
        <w:spacing w:after="0" w:line="290" w:lineRule="auto"/>
        <w:tabs>
          <w:tab w:leader="none" w:pos="637" w:val="left"/>
        </w:tabs>
        <w:numPr>
          <w:ilvl w:val="0"/>
          <w:numId w:val="284"/>
        </w:numPr>
        <w:rPr>
          <w:rFonts w:ascii="Arial" w:cs="Arial" w:eastAsia="Arial" w:hAnsi="Arial"/>
          <w:sz w:val="16"/>
          <w:szCs w:val="16"/>
          <w:color w:val="auto"/>
        </w:rPr>
      </w:pPr>
      <w:r>
        <w:rPr>
          <w:rFonts w:ascii="Arial" w:cs="Arial" w:eastAsia="Arial" w:hAnsi="Arial"/>
          <w:sz w:val="16"/>
          <w:szCs w:val="16"/>
          <w:color w:val="auto"/>
        </w:rPr>
        <w:t>You further agree that, without the prior written consent of the Participating Institutions, which consent will not be unreasonably withheld, you will not enter into any settlement of a lawsuit, claim or other proceeding arising out of this Commitment Letter or the Fee Letter or the transactions contemplated hereby or thereby, unless such settlement includes an explicit and unconditional release from the party bringing such lawsuit, claim or other proceeding of all indemnified persons. No indemnified person seeking reimbursement pursuant to the foregoing indemnity will, without your prior written consent, settle, compromise, consent to the entry of any judgment in or otherwise seek to terminate any action, claim, suit, investigation or proceeding for which indemnity is afforded hereunder unless such indemnified person reasonably believes that the matter in question involves potential criminal liability or that failure to do so reasonably could have a material adverse effect on such person or its affiliates.</w:t>
      </w:r>
    </w:p>
    <w:p>
      <w:pPr>
        <w:spacing w:after="0" w:line="172" w:lineRule="exact"/>
        <w:rPr>
          <w:rFonts w:ascii="Arial" w:cs="Arial" w:eastAsia="Arial" w:hAnsi="Arial"/>
          <w:sz w:val="16"/>
          <w:szCs w:val="16"/>
          <w:color w:val="auto"/>
        </w:rPr>
      </w:pPr>
    </w:p>
    <w:p>
      <w:pPr>
        <w:ind w:right="340" w:firstLine="359"/>
        <w:spacing w:after="0" w:line="268" w:lineRule="auto"/>
        <w:tabs>
          <w:tab w:leader="none" w:pos="63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indemnification provisions set forth in this Section 3 shall be in addition to any rights that the Participating Institutions or any other indemnified person shall have at common law, or in equity or otherwise.</w:t>
      </w:r>
    </w:p>
    <w:p>
      <w:pPr>
        <w:spacing w:after="0" w:line="186" w:lineRule="exact"/>
        <w:rPr>
          <w:sz w:val="20"/>
          <w:szCs w:val="20"/>
          <w:color w:val="auto"/>
        </w:rPr>
      </w:pPr>
    </w:p>
    <w:p>
      <w:pPr>
        <w:ind w:right="80" w:firstLine="359"/>
        <w:spacing w:after="0" w:line="283" w:lineRule="auto"/>
        <w:tabs>
          <w:tab w:leader="none" w:pos="658" w:val="left"/>
        </w:tabs>
        <w:numPr>
          <w:ilvl w:val="0"/>
          <w:numId w:val="285"/>
        </w:numPr>
        <w:rPr>
          <w:rFonts w:ascii="Arial" w:cs="Arial" w:eastAsia="Arial" w:hAnsi="Arial"/>
          <w:sz w:val="16"/>
          <w:szCs w:val="16"/>
          <w:color w:val="auto"/>
        </w:rPr>
      </w:pPr>
      <w:r>
        <w:rPr>
          <w:rFonts w:ascii="Arial" w:cs="Arial" w:eastAsia="Arial" w:hAnsi="Arial"/>
          <w:sz w:val="16"/>
          <w:szCs w:val="16"/>
          <w:i w:val="1"/>
          <w:iCs w:val="1"/>
          <w:color w:val="auto"/>
        </w:rPr>
        <w:t>Expiration of Commitment</w:t>
      </w:r>
      <w:r>
        <w:rPr>
          <w:rFonts w:ascii="Arial" w:cs="Arial" w:eastAsia="Arial" w:hAnsi="Arial"/>
          <w:sz w:val="16"/>
          <w:szCs w:val="16"/>
          <w:color w:val="auto"/>
        </w:rPr>
        <w:t>. The Commitment shall expire at 11:30 p.m., New York City time, on June 14, 2002, unless at or prior to such time you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previously have executed and returned to the Agent, BofA and Bear a copy of this Commitment Letter and the Fee Letter. If you do execute and deliver to the Agent, BofA and Bear this Commitment Letter and the Fee Letter, the Agent, BofA and Bear agree to hold the Commitment available for you until 5:00 p.m., New York City time, on October 15, 2002. The date and time of expiration of the Commitment is sometimes referred to herein as the </w:t>
      </w:r>
      <w:r>
        <w:rPr>
          <w:rFonts w:ascii="Arial" w:cs="Arial" w:eastAsia="Arial" w:hAnsi="Arial"/>
          <w:sz w:val="16"/>
          <w:szCs w:val="16"/>
          <w:b w:val="1"/>
          <w:bCs w:val="1"/>
          <w:i w:val="1"/>
          <w:iCs w:val="1"/>
          <w:color w:val="auto"/>
        </w:rPr>
        <w:t>"Commitment Expiration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Date."</w:t>
      </w:r>
    </w:p>
    <w:p>
      <w:pPr>
        <w:spacing w:after="0" w:line="218" w:lineRule="exact"/>
        <w:rPr>
          <w:rFonts w:ascii="Arial" w:cs="Arial" w:eastAsia="Arial" w:hAnsi="Arial"/>
          <w:sz w:val="16"/>
          <w:szCs w:val="16"/>
          <w:color w:val="auto"/>
        </w:rPr>
      </w:pPr>
    </w:p>
    <w:p>
      <w:pPr>
        <w:ind w:left="660" w:hanging="301"/>
        <w:spacing w:after="0"/>
        <w:tabs>
          <w:tab w:leader="none" w:pos="660"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ind w:right="200" w:firstLine="359"/>
        <w:spacing w:after="0" w:line="268" w:lineRule="auto"/>
        <w:tabs>
          <w:tab w:leader="none" w:pos="63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This Commitment Letter and the Fee Letter and the terms and conditions contained herein and therein shall be subject to the confidentiality provisions set forth in Exhibit C.</w:t>
      </w:r>
    </w:p>
    <w:p>
      <w:pPr>
        <w:spacing w:after="0" w:line="185" w:lineRule="exact"/>
        <w:rPr>
          <w:rFonts w:ascii="Arial" w:cs="Arial" w:eastAsia="Arial" w:hAnsi="Arial"/>
          <w:sz w:val="18"/>
          <w:szCs w:val="18"/>
          <w:color w:val="auto"/>
        </w:rPr>
      </w:pPr>
    </w:p>
    <w:p>
      <w:pPr>
        <w:ind w:right="140" w:firstLine="359"/>
        <w:spacing w:after="0" w:line="259" w:lineRule="auto"/>
        <w:tabs>
          <w:tab w:leader="none" w:pos="63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You acknowledge that each of the Participating Institutions and their respective affiliates (the term "Participating Institutions" being understood to refer hereinafter in this paragraph to include their respective affiliates) may be providing debt financing, equity capital or other services (including financial advisory services) to other companies in respect of which you may have conflicting interests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regarding the transactions described herein and otherwise. None of the Participating Institutions shall use confidential information obtained from you by virtue of the transactions contemplated by this Commitment Letter or their other relationships with you in connection with the performance by the Participating Institutions of services for other companies, and none of the Participating Institutions will furnish any such information to other companies. You also acknowledge that none of the Participating Institutions has any obligation to use in connection with the transactions contemplated by this Commitment Letter, or to furnish to you, confidential information obtained from other companies.</w:t>
      </w:r>
    </w:p>
    <w:p>
      <w:pPr>
        <w:spacing w:after="0" w:line="197" w:lineRule="exact"/>
        <w:rPr>
          <w:sz w:val="20"/>
          <w:szCs w:val="20"/>
          <w:color w:val="auto"/>
        </w:rPr>
      </w:pPr>
    </w:p>
    <w:p>
      <w:pPr>
        <w:ind w:left="660" w:hanging="301"/>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i w:val="1"/>
          <w:iCs w:val="1"/>
          <w:color w:val="auto"/>
        </w:rPr>
        <w:t>Assignment and Syndication</w:t>
      </w:r>
      <w:r>
        <w:rPr>
          <w:rFonts w:ascii="Arial" w:cs="Arial" w:eastAsia="Arial" w:hAnsi="Arial"/>
          <w:sz w:val="18"/>
          <w:szCs w:val="18"/>
          <w:color w:val="auto"/>
        </w:rPr>
        <w:t>.</w:t>
      </w:r>
    </w:p>
    <w:p>
      <w:pPr>
        <w:spacing w:after="0" w:line="225" w:lineRule="exact"/>
        <w:rPr>
          <w:sz w:val="20"/>
          <w:szCs w:val="20"/>
          <w:color w:val="auto"/>
        </w:rPr>
      </w:pPr>
    </w:p>
    <w:p>
      <w:pPr>
        <w:ind w:right="160" w:firstLine="359"/>
        <w:spacing w:after="0" w:line="301" w:lineRule="auto"/>
        <w:tabs>
          <w:tab w:leader="none" w:pos="631" w:val="left"/>
        </w:tabs>
        <w:numPr>
          <w:ilvl w:val="1"/>
          <w:numId w:val="288"/>
        </w:numPr>
        <w:rPr>
          <w:rFonts w:ascii="Arial" w:cs="Arial" w:eastAsia="Arial" w:hAnsi="Arial"/>
          <w:sz w:val="15"/>
          <w:szCs w:val="15"/>
          <w:color w:val="auto"/>
        </w:rPr>
      </w:pPr>
      <w:r>
        <w:rPr>
          <w:rFonts w:ascii="Arial" w:cs="Arial" w:eastAsia="Arial" w:hAnsi="Arial"/>
          <w:sz w:val="15"/>
          <w:szCs w:val="15"/>
          <w:color w:val="auto"/>
        </w:rPr>
        <w:t>The parties hereto agree that the Participating Institutions shall have the right to syndicate the Credit Facilities and/or the Commitment to a group of financial institutions or other investors, identified by us in consultation with you. The Participating Institutions shall manage all aspects of any such syndication, including decisions as to the selection of institutions to be approached and when they will be approached, the acceptance of commitments, the amounts offered, the amounts allocated and the compensation provided, and you agree to use all commercially reasonable efforts to assist each of the Participating Institutions in such syndication process, including, without limitation, (i) ensuring that the syndication efforts benefit materially from the existing lending relationships of the Company and its affiliates, (ii) arranging for direct contact between senior management and advisors of the Company and its affiliates and the proposed Senior Lenders, (iii) assisting in the preparation of Confidential Information Memoranda and other marketing materials to be used in connection with any syndication, including causing such Confidential Information Memoranda to conform to market standards as reasonably determined by the Participating Institutions and</w:t>
      </w:r>
    </w:p>
    <w:p>
      <w:pPr>
        <w:spacing w:after="0" w:line="4" w:lineRule="exact"/>
        <w:rPr>
          <w:rFonts w:ascii="Arial" w:cs="Arial" w:eastAsia="Arial" w:hAnsi="Arial"/>
          <w:sz w:val="15"/>
          <w:szCs w:val="15"/>
          <w:color w:val="auto"/>
        </w:rPr>
      </w:pPr>
    </w:p>
    <w:p>
      <w:pPr>
        <w:jc w:val="both"/>
        <w:ind w:right="80" w:firstLine="8"/>
        <w:spacing w:after="0" w:line="295" w:lineRule="auto"/>
        <w:tabs>
          <w:tab w:leader="none" w:pos="297" w:val="left"/>
        </w:tabs>
        <w:numPr>
          <w:ilvl w:val="0"/>
          <w:numId w:val="289"/>
        </w:numPr>
        <w:rPr>
          <w:rFonts w:ascii="Arial" w:cs="Arial" w:eastAsia="Arial" w:hAnsi="Arial"/>
          <w:sz w:val="16"/>
          <w:szCs w:val="16"/>
          <w:color w:val="auto"/>
        </w:rPr>
      </w:pPr>
      <w:r>
        <w:rPr>
          <w:rFonts w:ascii="Arial" w:cs="Arial" w:eastAsia="Arial" w:hAnsi="Arial"/>
          <w:sz w:val="16"/>
          <w:szCs w:val="16"/>
          <w:color w:val="auto"/>
        </w:rPr>
        <w:t>hosting, with the Participating Institutions, meetings of prospective Senior Lenders and, in connection with such Senior Lender meetings, consulting with the Participating Institutions with respect to the presentations to be made at such meetings, and making available appropriate officers and representatives to rehearse such presentations prior to such meetings, as reasonably requested by the Participating Institutions. You also agree that, at your expense, you will work with the Participating Institutions to procure a rating for the Credit Facilities by Moody's Investors Service, Inc. and Standard &amp; Poor's Ratings Group.</w:t>
      </w:r>
    </w:p>
    <w:p>
      <w:pPr>
        <w:spacing w:after="0" w:line="169" w:lineRule="exact"/>
        <w:rPr>
          <w:rFonts w:ascii="Arial" w:cs="Arial" w:eastAsia="Arial" w:hAnsi="Arial"/>
          <w:sz w:val="16"/>
          <w:szCs w:val="16"/>
          <w:color w:val="auto"/>
        </w:rPr>
      </w:pPr>
    </w:p>
    <w:p>
      <w:pPr>
        <w:ind w:right="100" w:firstLine="359"/>
        <w:spacing w:after="0" w:line="286" w:lineRule="auto"/>
        <w:tabs>
          <w:tab w:leader="none" w:pos="641"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To assist the Participating Institutions in their syndication efforts, you agree promptly to prepare and provide to the Participating Institutions all information with respect to the Project, the Company and its affiliates and the other transactions contemplated hereby, including all financial information and projections (the </w:t>
      </w:r>
      <w:r>
        <w:rPr>
          <w:rFonts w:ascii="Arial" w:cs="Arial" w:eastAsia="Arial" w:hAnsi="Arial"/>
          <w:sz w:val="16"/>
          <w:szCs w:val="16"/>
          <w:b w:val="1"/>
          <w:bCs w:val="1"/>
          <w:i w:val="1"/>
          <w:iCs w:val="1"/>
          <w:color w:val="auto"/>
        </w:rPr>
        <w:t>"Projections"</w:t>
      </w:r>
      <w:r>
        <w:rPr>
          <w:rFonts w:ascii="Arial" w:cs="Arial" w:eastAsia="Arial" w:hAnsi="Arial"/>
          <w:sz w:val="16"/>
          <w:szCs w:val="16"/>
          <w:color w:val="auto"/>
        </w:rPr>
        <w:t xml:space="preserve">), as they may reasonably request. You hereby represent, warrant and covenant that (i) all information other than the Projections (the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that has been or will be made available to the Participating Institutions by you or any of your representatives, as supplemented from time to time prior to the Closing Date, is or will be, when furnished, complete and correct in all material respects and does not or will not, as so supplemented, contain any untrue statement of a material fact or omit to state a material fact necessary in order to make the statements contained therein not materially misleading in light of the circumstances under which such statements are made and (ii) the Projections that have been or will be made available to the Participating Institutions by you or any of your representatives have been or will be prepared in good faith based upon reasonable assumptions, it being recognized by the Senior Lenders that the Projections are not to be viewed as fact and that actual results during the period or periods covered thereby may differ from the projected results set forth therein by a material amount. You understand that in arranging and syndicating the Credit Facilities we may use and rely on the Information and Projections without independent verification thereof and that you will promptly notify us of any changes in circumstances that could be expected to call into question the continued reasonableness of any assumption underlying the Projections.</w:t>
      </w:r>
    </w:p>
    <w:p>
      <w:pPr>
        <w:spacing w:after="0" w:line="178" w:lineRule="exact"/>
        <w:rPr>
          <w:rFonts w:ascii="Arial" w:cs="Arial" w:eastAsia="Arial" w:hAnsi="Arial"/>
          <w:sz w:val="16"/>
          <w:szCs w:val="16"/>
          <w:color w:val="auto"/>
        </w:rPr>
      </w:pPr>
    </w:p>
    <w:p>
      <w:pPr>
        <w:ind w:right="440" w:firstLine="359"/>
        <w:spacing w:after="0" w:line="332" w:lineRule="auto"/>
        <w:tabs>
          <w:tab w:leader="none" w:pos="631"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To ensure an orderly and effective syndication of the Credit Facilities, you agree that, from the date hereof until the earlier of the termination of the syndication as determined by the Arrangers and 90 days following the Closing Date, you will not, and will not permit any of your affiliates to, syndicate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or issue, attempt to syndicate or issue, announce or authorize the announcement of the syndication or issuance of, or engage in discussions concerning the syndication or issuance of, any debt facility, or debt or preferred equity security, of Wynn Resorts, Valvino, Wynn, LLC, the Company or any of their subsidiaries (other than, with respect to all such actions other than announcements or authorizations of announcements, the indebtedness contemplated hereby, the Second Mortgage Notes and the FF&amp;E Facility, and other debt permitted as contemplated by the Credit Facilities, such as purchase money debt), including any renewals</w:t>
      </w:r>
    </w:p>
    <w:p>
      <w:pPr>
        <w:sectPr>
          <w:pgSz w:w="11900" w:h="16926" w:orient="portrait"/>
          <w:cols w:equalWidth="0" w:num="1">
            <w:col w:w="11420"/>
          </w:cols>
          <w:pgMar w:left="240" w:top="131" w:right="239" w:bottom="0" w:gutter="0" w:footer="0" w:header="0"/>
        </w:sectPr>
      </w:pPr>
    </w:p>
    <w:bookmarkStart w:id="190" w:name="page191"/>
    <w:bookmarkEnd w:id="190"/>
    <w:p>
      <w:pPr>
        <w:ind w:right="100"/>
        <w:spacing w:after="0" w:line="291" w:lineRule="auto"/>
        <w:rPr>
          <w:sz w:val="20"/>
          <w:szCs w:val="20"/>
          <w:color w:val="auto"/>
        </w:rPr>
      </w:pPr>
      <w:r>
        <w:rPr>
          <w:rFonts w:ascii="Arial" w:cs="Arial" w:eastAsia="Arial" w:hAnsi="Arial"/>
          <w:sz w:val="16"/>
          <w:szCs w:val="16"/>
          <w:color w:val="auto"/>
        </w:rPr>
        <w:t>or refinancings of any existing debt facility, without the prior written consent of each of the Arrangers, in each case, if such actions could, in the reasonable judgment of the Arrangers, be expected to interfere with the syndication of the Credit Facilities. The parties recognize that in connection with Wynn Resorts' potential investment in, and financing of, a casino project in Macau, The Peoples Republic of China, it may become necessary for Wynn Resorts to approach and discuss such project with offshore investors and financial institutions, and each of the Participating Institutions agrees that Wynn Resorts shall be permitted to undertake such discussions so long as the same are properly coordinated with the Participating Institutions so as to prevent, to the Participating Institutions' reasonable satisfaction, material interference with the syndication of the Credit Facilities.</w:t>
      </w:r>
    </w:p>
    <w:p>
      <w:pPr>
        <w:spacing w:after="0" w:line="174" w:lineRule="exact"/>
        <w:rPr>
          <w:sz w:val="20"/>
          <w:szCs w:val="20"/>
          <w:color w:val="auto"/>
        </w:rPr>
      </w:pPr>
    </w:p>
    <w:p>
      <w:pPr>
        <w:ind w:right="80" w:firstLine="359"/>
        <w:spacing w:after="0" w:line="291" w:lineRule="auto"/>
        <w:tabs>
          <w:tab w:leader="none" w:pos="658" w:val="left"/>
        </w:tabs>
        <w:numPr>
          <w:ilvl w:val="0"/>
          <w:numId w:val="290"/>
        </w:numPr>
        <w:rPr>
          <w:rFonts w:ascii="Arial" w:cs="Arial" w:eastAsia="Arial" w:hAnsi="Arial"/>
          <w:sz w:val="16"/>
          <w:szCs w:val="16"/>
          <w:color w:val="auto"/>
        </w:rPr>
      </w:pPr>
      <w:r>
        <w:rPr>
          <w:rFonts w:ascii="Arial" w:cs="Arial" w:eastAsia="Arial" w:hAnsi="Arial"/>
          <w:sz w:val="16"/>
          <w:szCs w:val="16"/>
          <w:i w:val="1"/>
          <w:iCs w:val="1"/>
          <w:color w:val="auto"/>
        </w:rPr>
        <w:t>Company to reaffirm its Obligations</w:t>
      </w:r>
      <w:r>
        <w:rPr>
          <w:rFonts w:ascii="Arial" w:cs="Arial" w:eastAsia="Arial" w:hAnsi="Arial"/>
          <w:sz w:val="16"/>
          <w:szCs w:val="16"/>
          <w:color w:val="auto"/>
        </w:rPr>
        <w:t>. The Company hereby agrees that it will cause Wynn Resorts upon Wynn Resorts becoming the parent company of</w:t>
      </w:r>
      <w:r>
        <w:rPr>
          <w:rFonts w:ascii="Arial" w:cs="Arial" w:eastAsia="Arial" w:hAnsi="Arial"/>
          <w:sz w:val="16"/>
          <w:szCs w:val="16"/>
          <w:i w:val="1"/>
          <w:iCs w:val="1"/>
          <w:color w:val="auto"/>
        </w:rPr>
        <w:t xml:space="preserve"> </w:t>
      </w:r>
      <w:r>
        <w:rPr>
          <w:rFonts w:ascii="Arial" w:cs="Arial" w:eastAsia="Arial" w:hAnsi="Arial"/>
          <w:sz w:val="16"/>
          <w:szCs w:val="16"/>
          <w:color w:val="auto"/>
        </w:rPr>
        <w:t>Valvino to become jointly and severally liable effective as of the date of this Commitment Letter for any and all liabilities and obligations of the Company relating to or arising out of any of the Company's duties, responsibilities and obligations hereunder and under the Fee Letter. If the Company converts from a Nevada limited liability company to a Nevada corporation as contemplated in this Commitment Letter, then promptly following such conversion the Company shall reaffirm in writing to the Participating Institutions that it shall perform and observe all of its duties, responsibilities and obligations hereunder and under the Fee Letter by executing and delivering its acknowledgment that it is bound by the terms of this Section 7.</w:t>
      </w:r>
    </w:p>
    <w:p>
      <w:pPr>
        <w:spacing w:after="0" w:line="174" w:lineRule="exact"/>
        <w:rPr>
          <w:rFonts w:ascii="Arial" w:cs="Arial" w:eastAsia="Arial" w:hAnsi="Arial"/>
          <w:sz w:val="16"/>
          <w:szCs w:val="16"/>
          <w:color w:val="auto"/>
        </w:rPr>
      </w:pPr>
    </w:p>
    <w:p>
      <w:pPr>
        <w:ind w:firstLine="359"/>
        <w:spacing w:after="0" w:line="259" w:lineRule="auto"/>
        <w:tabs>
          <w:tab w:leader="none" w:pos="658"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The provisions of this Commitment Letter relating to the payment of fees and expenses, indemnification and contribution and confidentiality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provisions of Section 7 will survive the expiration or termination of any commitment hereunder or this Commitment Letter (including any extensions) and the execution and delivery of definitive financing documentation.</w:t>
      </w:r>
    </w:p>
    <w:p>
      <w:pPr>
        <w:spacing w:after="0" w:line="194" w:lineRule="exact"/>
        <w:rPr>
          <w:rFonts w:ascii="Arial" w:cs="Arial" w:eastAsia="Arial" w:hAnsi="Arial"/>
          <w:sz w:val="18"/>
          <w:szCs w:val="18"/>
          <w:color w:val="auto"/>
        </w:rPr>
      </w:pPr>
    </w:p>
    <w:p>
      <w:pPr>
        <w:ind w:left="660" w:hanging="301"/>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Choice of Law; Jurisdiction; Waivers</w:t>
      </w:r>
      <w:r>
        <w:rPr>
          <w:rFonts w:ascii="Arial" w:cs="Arial" w:eastAsia="Arial" w:hAnsi="Arial"/>
          <w:sz w:val="18"/>
          <w:szCs w:val="18"/>
          <w:color w:val="auto"/>
        </w:rPr>
        <w:t>.</w:t>
      </w:r>
    </w:p>
    <w:p>
      <w:pPr>
        <w:spacing w:after="0" w:line="225" w:lineRule="exact"/>
        <w:rPr>
          <w:sz w:val="20"/>
          <w:szCs w:val="20"/>
          <w:color w:val="auto"/>
        </w:rPr>
      </w:pPr>
    </w:p>
    <w:p>
      <w:pPr>
        <w:ind w:firstLine="359"/>
        <w:spacing w:after="0" w:line="289" w:lineRule="auto"/>
        <w:tabs>
          <w:tab w:leader="none" w:pos="631"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This Commitment Letter and the Fee Letter shall be governed by and construed in accordance with the laws of the State of New York. To the fullest extent permitted by applicable law, you hereby irrevocably submit to the non-exclusive jurisdiction of any New York State court or Federal court sitting in the County of New York in respect of any suit, action or proceeding arising out of or relating to the provisions of this Commitment Letter or the Fee Letter and irrevocably agree that all claims in respect of any such suit, action or proceeding may be heard and determined in any such court. The parties hereto hereby waive, to the fullest extent permitted by applicable law, any objection that they may now or hereafter have to the laying of venue of any such suit, action or proceeding brought in any such court, and any claim that any such suit, action or proceeding brought in any such court has been brought in an inconvenient forum. The parties hereto hereby waive, to the fullest extent permitted by applicable law, any right to trial by jury with respect to any action or proceeding arising out of or relating to this Commitment Letter or the Fee Letter.</w:t>
      </w:r>
    </w:p>
    <w:p>
      <w:pPr>
        <w:spacing w:after="0" w:line="172" w:lineRule="exact"/>
        <w:rPr>
          <w:rFonts w:ascii="Arial" w:cs="Arial" w:eastAsia="Arial" w:hAnsi="Arial"/>
          <w:sz w:val="16"/>
          <w:szCs w:val="16"/>
          <w:color w:val="auto"/>
        </w:rPr>
      </w:pPr>
    </w:p>
    <w:p>
      <w:pPr>
        <w:ind w:right="400" w:firstLine="359"/>
        <w:spacing w:after="0" w:line="268" w:lineRule="auto"/>
        <w:tabs>
          <w:tab w:leader="none" w:pos="64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 Senior Lender shall be liable in any respect for any of the obligations or liabilities of any other Senior Lender under this letter or arising from or relating to the transactions contemplated hereby.</w:t>
      </w:r>
    </w:p>
    <w:p>
      <w:pPr>
        <w:spacing w:after="0" w:line="186" w:lineRule="exact"/>
        <w:rPr>
          <w:sz w:val="20"/>
          <w:szCs w:val="20"/>
          <w:color w:val="auto"/>
        </w:rPr>
      </w:pPr>
    </w:p>
    <w:p>
      <w:pPr>
        <w:ind w:left="760" w:hanging="401"/>
        <w:spacing w:after="0"/>
        <w:tabs>
          <w:tab w:leader="none" w:pos="760" w:val="left"/>
        </w:tabs>
        <w:numPr>
          <w:ilvl w:val="0"/>
          <w:numId w:val="292"/>
        </w:numPr>
        <w:rPr>
          <w:rFonts w:ascii="Arial" w:cs="Arial" w:eastAsia="Arial" w:hAnsi="Arial"/>
          <w:sz w:val="18"/>
          <w:szCs w:val="18"/>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320" w:firstLine="359"/>
        <w:spacing w:after="0" w:line="268" w:lineRule="auto"/>
        <w:tabs>
          <w:tab w:leader="none" w:pos="63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This Commitment Letter and the Fee Letter may be executed in one or more counterparts, each of which will be deemed an original, but all of which taken together will constitute one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same instrument. Delivery of an executed signature page of this Commitment Letter and the Fee Letter by facsimile transmission shall be effective as delivery of a manually executed counterpart hereof.</w:t>
      </w:r>
    </w:p>
    <w:p>
      <w:pPr>
        <w:spacing w:after="0" w:line="186" w:lineRule="exact"/>
        <w:rPr>
          <w:sz w:val="20"/>
          <w:szCs w:val="20"/>
          <w:color w:val="auto"/>
        </w:rPr>
      </w:pPr>
    </w:p>
    <w:p>
      <w:pPr>
        <w:ind w:right="180" w:firstLine="359"/>
        <w:spacing w:after="0" w:line="255" w:lineRule="auto"/>
        <w:tabs>
          <w:tab w:leader="none" w:pos="63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You may not assign any of your rights or be relieved of any of your obligations hereunder without the prior written consent of each of the Senior Lenders. In connection with any syndication of all or a portion of the Commitments, the rights and obligations of each of the Senior Lenders hereunder may be assigned, in whole or in part, as provided above, and upon such assignment, such Senior Lender shall be relieved and novated hereunder from the obligations of such Senior Lender with respect to any portion of its Commitment that has been assigned as provided above and under the heading "Assignments and Participations" in Exhibit A attached hereto.</w:t>
      </w:r>
    </w:p>
    <w:p>
      <w:pPr>
        <w:spacing w:after="0" w:line="196" w:lineRule="exact"/>
        <w:rPr>
          <w:rFonts w:ascii="Arial" w:cs="Arial" w:eastAsia="Arial" w:hAnsi="Arial"/>
          <w:sz w:val="18"/>
          <w:szCs w:val="18"/>
          <w:color w:val="auto"/>
        </w:rPr>
      </w:pPr>
    </w:p>
    <w:p>
      <w:pPr>
        <w:ind w:right="140" w:firstLine="359"/>
        <w:spacing w:after="0" w:line="255" w:lineRule="auto"/>
        <w:tabs>
          <w:tab w:leader="none" w:pos="63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This Commitment Letter and the attached Exhibits set forth the entire understanding of the parties hereto as to the scope of the Commitment and the obligations of the Senior Lenders hereunder. This Commitment Letter shall supersede all prior understandings and proposals, whether written or oral, between any of the Senior Lenders and you relating to any financing or the transactions contemplated hereby including that certain Commitment Letter dated as of May 27, 2002 among the Agent, DBSI and you. This Commitment Letter shall be in addition to the agreements of the parties contained in the Fee Letter and the Administrative Agent Fee Letter (as defined in the Fee Letter).</w:t>
      </w:r>
    </w:p>
    <w:p>
      <w:pPr>
        <w:spacing w:after="0" w:line="196" w:lineRule="exact"/>
        <w:rPr>
          <w:rFonts w:ascii="Arial" w:cs="Arial" w:eastAsia="Arial" w:hAnsi="Arial"/>
          <w:sz w:val="18"/>
          <w:szCs w:val="18"/>
          <w:color w:val="auto"/>
        </w:rPr>
      </w:pPr>
    </w:p>
    <w:p>
      <w:pPr>
        <w:ind w:right="20" w:firstLine="359"/>
        <w:spacing w:after="0" w:line="256" w:lineRule="auto"/>
        <w:tabs>
          <w:tab w:leader="none" w:pos="64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This Commitment Letter and the Fee Letter have been and are made solely for the benefit of the parties hereto and thereto, as applicable, the indemnified persons, and their respective successors and assigns, and nothing in this Commitment Letter or the Fee Letter, expressed or implied, is intended to confer or does confer on any other person or entity any rights or remedies under or by reason of this Commitment Letter, the Fee Letter, or the agreements of the parties contained herein or therein.</w:t>
      </w:r>
    </w:p>
    <w:p>
      <w:pPr>
        <w:spacing w:after="0" w:line="197" w:lineRule="exact"/>
        <w:rPr>
          <w:rFonts w:ascii="Arial" w:cs="Arial" w:eastAsia="Arial" w:hAnsi="Arial"/>
          <w:sz w:val="18"/>
          <w:szCs w:val="18"/>
          <w:color w:val="auto"/>
        </w:rPr>
      </w:pPr>
    </w:p>
    <w:p>
      <w:pPr>
        <w:ind w:right="80" w:firstLine="359"/>
        <w:spacing w:after="0" w:line="254" w:lineRule="auto"/>
        <w:tabs>
          <w:tab w:leader="none" w:pos="62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You acknowledge that the Senior Lenders and the Participating Institutions may be (or may be affiliated with) full service financial firms and as such from time to time may effect transactions for their own account or the account of customers, and hold long or short positions in debt or equity securities or loans of companies that may be the subject of the transactions contemplated by this Commitment Letter. You hereby waive and release, to the fullest extent permitted by law, any claims you have with respect to any conflict of interest arising from such transactions, activities, investments or holdings, or arising from the failure of the Participating Institutions or one or more Senior Lenders or any of their respective affiliates to bring such transactions, activities, investments or holdings to your attention.</w:t>
      </w:r>
    </w:p>
    <w:p>
      <w:pPr>
        <w:spacing w:after="0" w:line="198" w:lineRule="exact"/>
        <w:rPr>
          <w:rFonts w:ascii="Arial" w:cs="Arial" w:eastAsia="Arial" w:hAnsi="Arial"/>
          <w:sz w:val="18"/>
          <w:szCs w:val="18"/>
          <w:color w:val="auto"/>
        </w:rPr>
      </w:pPr>
    </w:p>
    <w:p>
      <w:pPr>
        <w:ind w:right="240" w:firstLine="359"/>
        <w:spacing w:after="0" w:line="291" w:lineRule="auto"/>
        <w:tabs>
          <w:tab w:leader="none" w:pos="699"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Arrangers also will provide financial advisory services to the Company with respect to the transaction to which this Commitment Letter relates. Subject to each of the Bank Syndicate Confidentiality Agreement between Valvino Lamore and DBSI, the Bank Syndicate Confidentiality Agreement between Valvino Lamore and BofA and/or BofA Securities and the Bank Syndicate Confidentiality Agreement between Valvino Lamore and BSCL and/or Bear, the Company agrees that the Arrangers have the right to place advertisements in financial and other newspapers and journals at their own expense describing their respective services to Wynn Resorts and the Company, provided that the Arrangers will submit a copy of any such advertisements to the Company for its approval, which approval shall not be unreasonably withheld, conditioned or delayed.</w:t>
      </w:r>
    </w:p>
    <w:p>
      <w:pPr>
        <w:sectPr>
          <w:pgSz w:w="11900" w:h="16838" w:orient="portrait"/>
          <w:cols w:equalWidth="0" w:num="1">
            <w:col w:w="11420"/>
          </w:cols>
          <w:pgMar w:left="240" w:top="131" w:right="239" w:bottom="0" w:gutter="0" w:footer="0" w:header="0"/>
        </w:sectPr>
      </w:pPr>
    </w:p>
    <w:bookmarkStart w:id="191" w:name="page192"/>
    <w:bookmarkEnd w:id="191"/>
    <w:p>
      <w:pPr>
        <w:ind w:left="640" w:hanging="281"/>
        <w:spacing w:after="0"/>
        <w:tabs>
          <w:tab w:leader="none" w:pos="64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The Company will have obtained title insurance commitments reasonably satisfactory to the Senior Lenders (without exceptions for mechanics' liens)</w:t>
      </w:r>
    </w:p>
    <w:p>
      <w:pPr>
        <w:spacing w:after="0" w:line="38" w:lineRule="exact"/>
        <w:rPr>
          <w:rFonts w:ascii="Arial" w:cs="Arial" w:eastAsia="Arial" w:hAnsi="Arial"/>
          <w:sz w:val="16"/>
          <w:szCs w:val="16"/>
          <w:color w:val="auto"/>
        </w:rPr>
      </w:pPr>
    </w:p>
    <w:p>
      <w:pPr>
        <w:jc w:val="both"/>
        <w:ind w:right="640" w:firstLine="8"/>
        <w:spacing w:after="0" w:line="302" w:lineRule="auto"/>
        <w:tabs>
          <w:tab w:leader="none" w:pos="21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in respect of the Credit Facilities prior to printing the version of the offering memorandum to be distributed to potential lenders in connection with the syndication of the Credit Facilities and (ii) in respect of the Second Mortgage Notes prior to printing the version of the preliminary prospectus or offering memorandum, as applicable, to be distributed to potential purchasers in connection with the issuance of the Second Mortgage Notes.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0" w:firstLine="359"/>
        <w:spacing w:after="0" w:line="332" w:lineRule="auto"/>
        <w:tabs>
          <w:tab w:leader="none" w:pos="641"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duties and obligations of DBSI Securities and the Agent, on the one hand, the duties and obligations of BofA Securities and BofA, on the other hand, and the duties and obligations of BSCL and Bear, on the other hand, pursuant to this Commitment Letter shall be several, and not joint and several.</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are in agreement with the foregoing, kindly sign and return to us the enclosed copy of this Commitment Letter.</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ANDREW GOLDMAN</w:t>
            </w:r>
          </w:p>
        </w:tc>
      </w:tr>
      <w:tr>
        <w:trPr>
          <w:trHeight w:val="120"/>
        </w:trPr>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Andrew Goldman</w:t>
            </w:r>
          </w:p>
        </w:tc>
      </w:tr>
      <w:tr>
        <w:trPr>
          <w:trHeight w:val="120"/>
        </w:trPr>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i w:val="1"/>
                <w:iCs w:val="1"/>
                <w:color w:val="auto"/>
              </w:rPr>
              <w:t>Director</w:t>
            </w:r>
          </w:p>
        </w:tc>
      </w:tr>
      <w:tr>
        <w:trPr>
          <w:trHeight w:val="120"/>
        </w:trPr>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-597535</wp:posOffset>
            </wp:positionV>
            <wp:extent cx="1270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-306070</wp:posOffset>
            </wp:positionV>
            <wp:extent cx="1270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-14605</wp:posOffset>
            </wp:positionV>
            <wp:extent cx="1270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DEUTSCHE BANK TRUST COMPANY AMERICAS</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W.W. ARCHER</w:t>
            </w:r>
          </w:p>
        </w:tc>
      </w:tr>
      <w:tr>
        <w:trPr>
          <w:trHeight w:val="120"/>
        </w:trPr>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William W. Archer</w:t>
            </w:r>
          </w:p>
        </w:tc>
      </w:tr>
      <w:tr>
        <w:trPr>
          <w:trHeight w:val="120"/>
        </w:trPr>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i w:val="1"/>
                <w:iCs w:val="1"/>
                <w:color w:val="auto"/>
              </w:rPr>
              <w:t>Managing Director</w:t>
            </w:r>
          </w:p>
        </w:tc>
      </w:tr>
      <w:tr>
        <w:trPr>
          <w:trHeight w:val="120"/>
        </w:trPr>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-597535</wp:posOffset>
            </wp:positionV>
            <wp:extent cx="1270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-306070</wp:posOffset>
            </wp:positionV>
            <wp:extent cx="1270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-14605</wp:posOffset>
            </wp:positionV>
            <wp:extent cx="1270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BANC OF AMERICA SECURITIES LLC</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ELTON R. VOGEL</w:t>
            </w:r>
          </w:p>
        </w:tc>
      </w:tr>
      <w:tr>
        <w:trPr>
          <w:trHeight w:val="120"/>
        </w:trPr>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Elton R. Vogel</w:t>
            </w:r>
          </w:p>
        </w:tc>
      </w:tr>
      <w:tr>
        <w:trPr>
          <w:trHeight w:val="120"/>
        </w:trPr>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i w:val="1"/>
                <w:iCs w:val="1"/>
                <w:color w:val="auto"/>
              </w:rPr>
              <w:t>Attorney-in-Fact</w:t>
            </w:r>
          </w:p>
        </w:tc>
      </w:tr>
      <w:tr>
        <w:trPr>
          <w:trHeight w:val="120"/>
        </w:trPr>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-597535</wp:posOffset>
            </wp:positionV>
            <wp:extent cx="1270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-306070</wp:posOffset>
            </wp:positionV>
            <wp:extent cx="1270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-14605</wp:posOffset>
            </wp:positionV>
            <wp:extent cx="1270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ELTON R. VOGEL</w:t>
            </w:r>
          </w:p>
        </w:tc>
      </w:tr>
      <w:tr>
        <w:trPr>
          <w:trHeight w:val="120"/>
        </w:trPr>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Elton R. Vogel</w:t>
            </w:r>
          </w:p>
        </w:tc>
      </w:tr>
      <w:tr>
        <w:trPr>
          <w:trHeight w:val="120"/>
        </w:trPr>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9"/>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i w:val="1"/>
                <w:iCs w:val="1"/>
                <w:color w:val="auto"/>
              </w:rPr>
              <w:t>Attorney-in-Fact</w:t>
            </w:r>
          </w:p>
        </w:tc>
      </w:tr>
      <w:tr>
        <w:trPr>
          <w:trHeight w:val="120"/>
        </w:trPr>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-597535</wp:posOffset>
            </wp:positionV>
            <wp:extent cx="1270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-306070</wp:posOffset>
            </wp:positionV>
            <wp:extent cx="1270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-14605</wp:posOffset>
            </wp:positionV>
            <wp:extent cx="1270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BEAR STEARNS CORPORATE LENDING INC.</w:t>
      </w:r>
    </w:p>
    <w:p>
      <w:pPr>
        <w:spacing w:after="0" w:line="225" w:lineRule="exact"/>
        <w:rPr>
          <w:sz w:val="20"/>
          <w:szCs w:val="20"/>
          <w:color w:val="auto"/>
        </w:rPr>
      </w:pPr>
    </w:p>
    <w:p>
      <w:pPr>
        <w:ind w:left="56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77470</wp:posOffset>
            </wp:positionV>
            <wp:extent cx="3117215" cy="215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77470</wp:posOffset>
            </wp:positionV>
            <wp:extent cx="3117215" cy="215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77470</wp:posOffset>
            </wp:positionV>
            <wp:extent cx="3117215" cy="215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BEAR, STEARNS &amp; CO. INC.</w:t>
      </w:r>
    </w:p>
    <w:p>
      <w:pPr>
        <w:spacing w:after="0" w:line="225" w:lineRule="exact"/>
        <w:rPr>
          <w:sz w:val="20"/>
          <w:szCs w:val="20"/>
          <w:color w:val="auto"/>
        </w:rPr>
      </w:pPr>
    </w:p>
    <w:p>
      <w:pPr>
        <w:ind w:left="56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77470</wp:posOffset>
            </wp:positionV>
            <wp:extent cx="3117215" cy="215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77470</wp:posOffset>
            </wp:positionV>
            <wp:extent cx="3117215" cy="215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pacing w:after="0" w:line="2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77470</wp:posOffset>
            </wp:positionV>
            <wp:extent cx="3117215" cy="215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311721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92" w:name="page193"/>
    <w:bookmarkEnd w:id="192"/>
    <w:p>
      <w:pPr>
        <w:ind w:left="5620"/>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562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STEPHEN A. WYNN</w:t>
            </w:r>
          </w:p>
        </w:tc>
      </w:tr>
      <w:tr>
        <w:trPr>
          <w:trHeight w:val="120"/>
        </w:trPr>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r>
        <w:trPr>
          <w:trHeight w:val="313"/>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i w:val="1"/>
                <w:iCs w:val="1"/>
                <w:color w:val="auto"/>
              </w:rPr>
              <w:t>Managing Member</w:t>
            </w: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spacing w:after="0"/>
              <w:rPr>
                <w:sz w:val="19"/>
                <w:szCs w:val="19"/>
                <w:color w:val="auto"/>
              </w:rPr>
            </w:pPr>
          </w:p>
        </w:tc>
      </w:tr>
      <w:tr>
        <w:trPr>
          <w:trHeight w:val="120"/>
        </w:trPr>
        <w:tc>
          <w:tcPr>
            <w:tcW w:w="90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-580390</wp:posOffset>
            </wp:positionV>
            <wp:extent cx="1270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-580390</wp:posOffset>
            </wp:positionV>
            <wp:extent cx="1270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-14605</wp:posOffset>
            </wp:positionV>
            <wp:extent cx="1270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5400" w:type="dxa"/>
            <w:vAlign w:val="bottom"/>
            <w:gridSpan w:val="3"/>
          </w:tcPr>
          <w:p>
            <w:pPr>
              <w:ind w:left="180"/>
              <w:spacing w:after="0"/>
              <w:rPr>
                <w:sz w:val="20"/>
                <w:szCs w:val="20"/>
                <w:color w:val="auto"/>
              </w:rPr>
            </w:pPr>
            <w:r>
              <w:rPr>
                <w:rFonts w:ascii="Arial" w:cs="Arial" w:eastAsia="Arial" w:hAnsi="Arial"/>
                <w:sz w:val="18"/>
                <w:szCs w:val="18"/>
                <w:color w:val="auto"/>
              </w:rPr>
              <w:t>Wynn Resorts Holdings, LLC,</w:t>
            </w:r>
          </w:p>
        </w:tc>
      </w:tr>
      <w:tr>
        <w:trPr>
          <w:trHeight w:val="222"/>
        </w:trPr>
        <w:tc>
          <w:tcPr>
            <w:tcW w:w="400" w:type="dxa"/>
            <w:vAlign w:val="bottom"/>
          </w:tcPr>
          <w:p>
            <w:pPr>
              <w:spacing w:after="0"/>
              <w:rPr>
                <w:sz w:val="19"/>
                <w:szCs w:val="19"/>
                <w:color w:val="auto"/>
              </w:rPr>
            </w:pPr>
          </w:p>
        </w:tc>
        <w:tc>
          <w:tcPr>
            <w:tcW w:w="5400" w:type="dxa"/>
            <w:vAlign w:val="bottom"/>
            <w:gridSpan w:val="3"/>
          </w:tcPr>
          <w:p>
            <w:pPr>
              <w:ind w:left="180"/>
              <w:spacing w:after="0"/>
              <w:rPr>
                <w:sz w:val="20"/>
                <w:szCs w:val="20"/>
                <w:color w:val="auto"/>
              </w:rPr>
            </w:pPr>
            <w:r>
              <w:rPr>
                <w:rFonts w:ascii="Arial" w:cs="Arial" w:eastAsia="Arial" w:hAnsi="Arial"/>
                <w:sz w:val="18"/>
                <w:szCs w:val="18"/>
                <w:color w:val="auto"/>
              </w:rPr>
              <w:t>a Nevada limited liability company, its sole member</w:t>
            </w:r>
          </w:p>
        </w:tc>
      </w:tr>
      <w:tr>
        <w:trPr>
          <w:trHeight w:val="426"/>
        </w:trPr>
        <w:tc>
          <w:tcPr>
            <w:tcW w:w="40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Valvino Lamore, LLC,</w:t>
            </w:r>
          </w:p>
        </w:tc>
      </w:tr>
      <w:tr>
        <w:trPr>
          <w:trHeight w:val="222"/>
        </w:trPr>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a Nevada limited liability company, its sole member</w:t>
            </w:r>
          </w:p>
        </w:tc>
      </w:tr>
      <w:tr>
        <w:trPr>
          <w:trHeight w:val="432"/>
        </w:trPr>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STEPHEN A. WYNN</w:t>
            </w:r>
          </w:p>
        </w:tc>
      </w:tr>
      <w:tr>
        <w:trPr>
          <w:trHeight w:val="120"/>
        </w:trPr>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r>
      <w:tr>
        <w:trPr>
          <w:trHeight w:val="313"/>
        </w:trPr>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rPr>
              <w:t>Name:</w:t>
            </w:r>
          </w:p>
        </w:tc>
        <w:tc>
          <w:tcPr>
            <w:tcW w:w="376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i w:val="1"/>
                <w:iCs w:val="1"/>
                <w:color w:val="auto"/>
              </w:rPr>
              <w:t>Managing Member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-353695</wp:posOffset>
            </wp:positionV>
            <wp:extent cx="1270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tbl>
      <w:tblPr>
        <w:tblLayout w:type="fixed"/>
        <w:tblInd w:w="5680" w:type="dxa"/>
        <w:tblCellMar>
          <w:top w:w="0" w:type="dxa"/>
          <w:left w:w="0" w:type="dxa"/>
          <w:bottom w:w="0" w:type="dxa"/>
          <w:right w:w="0" w:type="dxa"/>
        </w:tblCellMar>
      </w:tblPr>
      <w:tr>
        <w:trPr>
          <w:trHeight w:val="222"/>
        </w:trPr>
        <w:tc>
          <w:tcPr>
            <w:tcW w:w="1400" w:type="dxa"/>
            <w:vAlign w:val="bottom"/>
          </w:tcPr>
          <w:p>
            <w:pPr>
              <w:ind w:left="500"/>
              <w:spacing w:after="0"/>
              <w:rPr>
                <w:sz w:val="20"/>
                <w:szCs w:val="20"/>
                <w:color w:val="auto"/>
              </w:rPr>
            </w:pPr>
            <w:r>
              <w:rPr>
                <w:rFonts w:ascii="Arial" w:cs="Arial" w:eastAsia="Arial" w:hAnsi="Arial"/>
                <w:sz w:val="18"/>
                <w:szCs w:val="18"/>
                <w:color w:val="auto"/>
              </w:rPr>
              <w:t>By:</w:t>
            </w:r>
          </w:p>
        </w:tc>
        <w:tc>
          <w:tcPr>
            <w:tcW w:w="4340" w:type="dxa"/>
            <w:vAlign w:val="bottom"/>
          </w:tcPr>
          <w:p>
            <w:pPr>
              <w:spacing w:after="0"/>
              <w:rPr>
                <w:sz w:val="20"/>
                <w:szCs w:val="20"/>
                <w:color w:val="auto"/>
              </w:rPr>
            </w:pPr>
            <w:r>
              <w:rPr>
                <w:rFonts w:ascii="Arial" w:cs="Arial" w:eastAsia="Arial" w:hAnsi="Arial"/>
                <w:sz w:val="18"/>
                <w:szCs w:val="18"/>
                <w:color w:val="auto"/>
              </w:rPr>
              <w:t>/s/ STEPHEN A. WYNN</w:t>
            </w:r>
          </w:p>
        </w:tc>
      </w:tr>
      <w:tr>
        <w:trPr>
          <w:trHeight w:val="120"/>
        </w:trPr>
        <w:tc>
          <w:tcPr>
            <w:tcW w:w="140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r>
      <w:tr>
        <w:trPr>
          <w:trHeight w:val="313"/>
        </w:trPr>
        <w:tc>
          <w:tcPr>
            <w:tcW w:w="1400" w:type="dxa"/>
            <w:vAlign w:val="bottom"/>
          </w:tcPr>
          <w:p>
            <w:pPr>
              <w:ind w:left="500"/>
              <w:spacing w:after="0"/>
              <w:rPr>
                <w:sz w:val="20"/>
                <w:szCs w:val="20"/>
                <w:color w:val="auto"/>
              </w:rPr>
            </w:pPr>
            <w:r>
              <w:rPr>
                <w:rFonts w:ascii="Arial" w:cs="Arial" w:eastAsia="Arial" w:hAnsi="Arial"/>
                <w:sz w:val="18"/>
                <w:szCs w:val="18"/>
                <w:color w:val="auto"/>
              </w:rPr>
              <w:t>Name:</w:t>
            </w:r>
          </w:p>
        </w:tc>
        <w:tc>
          <w:tcPr>
            <w:tcW w:w="4340" w:type="dxa"/>
            <w:vAlign w:val="bottom"/>
          </w:tcPr>
          <w:p>
            <w:pPr>
              <w:spacing w:after="0"/>
              <w:rPr>
                <w:sz w:val="20"/>
                <w:szCs w:val="20"/>
                <w:color w:val="auto"/>
              </w:rPr>
            </w:pPr>
            <w:r>
              <w:rPr>
                <w:rFonts w:ascii="Arial" w:cs="Arial" w:eastAsia="Arial" w:hAnsi="Arial"/>
                <w:sz w:val="18"/>
                <w:szCs w:val="18"/>
                <w:color w:val="auto"/>
              </w:rPr>
              <w:t>Stephen A. Wynn</w:t>
            </w:r>
          </w:p>
        </w:tc>
      </w:tr>
      <w:tr>
        <w:trPr>
          <w:trHeight w:val="222"/>
        </w:trPr>
        <w:tc>
          <w:tcPr>
            <w:tcW w:w="1400" w:type="dxa"/>
            <w:vAlign w:val="bottom"/>
          </w:tcPr>
          <w:p>
            <w:pPr>
              <w:ind w:left="500"/>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i w:val="1"/>
                <w:iCs w:val="1"/>
                <w:color w:val="auto"/>
              </w:rPr>
              <w:t>Managing Member</w:t>
            </w:r>
          </w:p>
        </w:tc>
      </w:tr>
      <w:tr>
        <w:trPr>
          <w:trHeight w:val="432"/>
        </w:trPr>
        <w:tc>
          <w:tcPr>
            <w:tcW w:w="1400" w:type="dxa"/>
            <w:vAlign w:val="bottom"/>
          </w:tcPr>
          <w:p>
            <w:pPr>
              <w:jc w:val="right"/>
              <w:ind w:right="1235"/>
              <w:spacing w:after="0"/>
              <w:rPr>
                <w:sz w:val="20"/>
                <w:szCs w:val="20"/>
                <w:color w:val="auto"/>
              </w:rPr>
            </w:pPr>
            <w:r>
              <w:rPr>
                <w:rFonts w:ascii="Arial" w:cs="Arial" w:eastAsia="Arial" w:hAnsi="Arial"/>
                <w:sz w:val="15"/>
                <w:szCs w:val="15"/>
                <w:color w:val="auto"/>
                <w:w w:val="71"/>
              </w:rPr>
              <w:t>9</w:t>
            </w:r>
          </w:p>
        </w:tc>
        <w:tc>
          <w:tcPr>
            <w:tcW w:w="4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-628650</wp:posOffset>
            </wp:positionV>
            <wp:extent cx="1270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-628650</wp:posOffset>
            </wp:positionV>
            <wp:extent cx="1270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 TO COMMITMENT LETTER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TERMS OF CREDIT FACILITIES</w:t>
      </w:r>
    </w:p>
    <w:p>
      <w:pPr>
        <w:spacing w:after="0" w:line="219"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i w:val="1"/>
          <w:iCs w:val="1"/>
          <w:color w:val="auto"/>
        </w:rPr>
        <w:t>Set forth below is a summary of certain of the terms of the Credit Facilities and the documentation related thereto. Capitalized terms used and not otherwise defined herein have the meanings set forth in the Commitment Letter to which this Summary of Terms is attached and of which it forms a part.</w:t>
      </w:r>
    </w:p>
    <w:p>
      <w:pPr>
        <w:spacing w:after="0" w:line="139" w:lineRule="exact"/>
        <w:rPr>
          <w:sz w:val="20"/>
          <w:szCs w:val="20"/>
          <w:color w:val="auto"/>
        </w:rPr>
      </w:pPr>
    </w:p>
    <w:p>
      <w:pPr>
        <w:ind w:left="580" w:hanging="572"/>
        <w:spacing w:after="0"/>
        <w:tabs>
          <w:tab w:leader="none" w:pos="580" w:val="left"/>
        </w:tabs>
        <w:numPr>
          <w:ilvl w:val="0"/>
          <w:numId w:val="298"/>
        </w:numPr>
        <w:rPr>
          <w:rFonts w:ascii="Arial" w:cs="Arial" w:eastAsia="Arial" w:hAnsi="Arial"/>
          <w:sz w:val="18"/>
          <w:szCs w:val="18"/>
          <w:color w:val="auto"/>
        </w:rPr>
      </w:pPr>
      <w:r>
        <w:rPr>
          <w:rFonts w:ascii="Arial" w:cs="Arial" w:eastAsia="Arial" w:hAnsi="Arial"/>
          <w:sz w:val="18"/>
          <w:szCs w:val="18"/>
          <w:b w:val="1"/>
          <w:bCs w:val="1"/>
          <w:i w:val="1"/>
          <w:iCs w:val="1"/>
          <w:color w:val="auto"/>
        </w:rPr>
        <w:t>Project and Project Credit Support</w:t>
      </w:r>
    </w:p>
    <w:p>
      <w:pPr>
        <w:sectPr>
          <w:pgSz w:w="11900" w:h="16838" w:orient="portrait"/>
          <w:cols w:equalWidth="0" w:num="1">
            <w:col w:w="11420"/>
          </w:cols>
          <w:pgMar w:left="240" w:top="347" w:right="239" w:bottom="136" w:gutter="0" w:footer="0" w:header="0"/>
        </w:sectPr>
      </w:pPr>
    </w:p>
    <w:p>
      <w:pPr>
        <w:spacing w:after="0" w:line="24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Project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development and construction of a casino/resort planned to include more than 2,500 hotel rooms, more than 100,000 square feet of gaming space, an approximately 130 acre newly designed golf course and various other amenities for approximately $2.45 billion on the site of the old Desert Inn Resort &amp; Casino located in Las Vegas, Nevada (the </w:t>
      </w:r>
      <w:r>
        <w:rPr>
          <w:rFonts w:ascii="Arial" w:cs="Arial" w:eastAsia="Arial" w:hAnsi="Arial"/>
          <w:sz w:val="16"/>
          <w:szCs w:val="16"/>
          <w:b w:val="1"/>
          <w:bCs w:val="1"/>
          <w:i w:val="1"/>
          <w:iCs w:val="1"/>
          <w:color w:val="auto"/>
        </w:rPr>
        <w:t>"Project"</w:t>
      </w:r>
      <w:r>
        <w:rPr>
          <w:rFonts w:ascii="Arial" w:cs="Arial" w:eastAsia="Arial" w:hAnsi="Arial"/>
          <w:sz w:val="16"/>
          <w:szCs w:val="16"/>
          <w:color w:val="auto"/>
        </w:rPr>
        <w:t>).</w:t>
      </w:r>
    </w:p>
    <w:p>
      <w:pPr>
        <w:spacing w:after="0" w:line="188" w:lineRule="exact"/>
        <w:rPr>
          <w:sz w:val="20"/>
          <w:szCs w:val="20"/>
          <w:color w:val="auto"/>
        </w:rPr>
      </w:pPr>
    </w:p>
    <w:p>
      <w:pPr>
        <w:sectPr>
          <w:pgSz w:w="11900" w:h="16838" w:orient="portrait"/>
          <w:cols w:equalWidth="0" w:num="2">
            <w:col w:w="4080" w:space="720"/>
            <w:col w:w="6620"/>
          </w:cols>
          <w:pgMar w:left="240" w:top="347" w:right="239" w:bottom="136" w:gutter="0" w:footer="0" w:header="0"/>
          <w:type w:val="continuous"/>
        </w:sectPr>
      </w:pPr>
    </w:p>
    <w:p>
      <w:pPr>
        <w:ind w:left="580"/>
        <w:spacing w:after="0"/>
        <w:rPr>
          <w:sz w:val="20"/>
          <w:szCs w:val="20"/>
          <w:color w:val="auto"/>
        </w:rPr>
      </w:pPr>
      <w:r>
        <w:rPr>
          <w:rFonts w:ascii="Arial" w:cs="Arial" w:eastAsia="Arial" w:hAnsi="Arial"/>
          <w:sz w:val="15"/>
          <w:szCs w:val="15"/>
          <w:b w:val="1"/>
          <w:bCs w:val="1"/>
          <w:color w:val="auto"/>
        </w:rPr>
        <w:t>Construction Arrangements</w:t>
      </w:r>
    </w:p>
    <w:p>
      <w:pPr>
        <w:spacing w:after="0" w:line="20" w:lineRule="exact"/>
        <w:rPr>
          <w:sz w:val="20"/>
          <w:szCs w:val="20"/>
          <w:color w:val="auto"/>
        </w:rPr>
      </w:pPr>
      <w:r>
        <w:rPr>
          <w:sz w:val="20"/>
          <w:szCs w:val="20"/>
          <w:color w:val="auto"/>
        </w:rPr>
        <w:br w:type="column"/>
      </w:r>
    </w:p>
    <w:p>
      <w:pPr>
        <w:ind w:right="80"/>
        <w:spacing w:after="0" w:line="286" w:lineRule="auto"/>
        <w:rPr>
          <w:sz w:val="20"/>
          <w:szCs w:val="20"/>
          <w:color w:val="auto"/>
        </w:rPr>
      </w:pPr>
      <w:r>
        <w:rPr>
          <w:rFonts w:ascii="Arial" w:cs="Arial" w:eastAsia="Arial" w:hAnsi="Arial"/>
          <w:sz w:val="16"/>
          <w:szCs w:val="16"/>
          <w:color w:val="auto"/>
        </w:rPr>
        <w:t xml:space="preserve">The Company will enter into a construction contract with Marnell Corrao Associates, Inc. (the </w:t>
      </w:r>
      <w:r>
        <w:rPr>
          <w:rFonts w:ascii="Arial" w:cs="Arial" w:eastAsia="Arial" w:hAnsi="Arial"/>
          <w:sz w:val="16"/>
          <w:szCs w:val="16"/>
          <w:b w:val="1"/>
          <w:bCs w:val="1"/>
          <w:i w:val="1"/>
          <w:iCs w:val="1"/>
          <w:color w:val="auto"/>
        </w:rPr>
        <w:t>"General Contractor"</w:t>
      </w:r>
      <w:r>
        <w:rPr>
          <w:rFonts w:ascii="Arial" w:cs="Arial" w:eastAsia="Arial" w:hAnsi="Arial"/>
          <w:sz w:val="16"/>
          <w:szCs w:val="16"/>
          <w:color w:val="auto"/>
        </w:rPr>
        <w:t xml:space="preserve">) to construct predominantly all of the improvements involved in the Project (excluding furniture, fixtures and equipment, the parking structure and the golf course). The construction contract shall commit the General Contractor to complete such construction by the Completion Date described below for a guaranteed maximum price no greater than $902 million, and will include an unallocated contingency of at least $45.0 million (such contract being hereafter referred to as the </w:t>
      </w:r>
      <w:r>
        <w:rPr>
          <w:rFonts w:ascii="Arial" w:cs="Arial" w:eastAsia="Arial" w:hAnsi="Arial"/>
          <w:sz w:val="16"/>
          <w:szCs w:val="16"/>
          <w:b w:val="1"/>
          <w:bCs w:val="1"/>
          <w:i w:val="1"/>
          <w:iCs w:val="1"/>
          <w:color w:val="auto"/>
        </w:rPr>
        <w:t>"Construction Contract"</w:t>
      </w:r>
      <w:r>
        <w:rPr>
          <w:rFonts w:ascii="Arial" w:cs="Arial" w:eastAsia="Arial" w:hAnsi="Arial"/>
          <w:sz w:val="16"/>
          <w:szCs w:val="16"/>
          <w:color w:val="auto"/>
        </w:rPr>
        <w:t>). The Company also will enter into separate construction contracts with other contractors for the parking structure and the golf course, each of which also shall call for completion by the Completion Date for a guaranteed maximum price no greater than a specified sum (which, in the case of the parking structure, shall not exceed $11.5 million and in the case of the golf course shall not exceed $22.5 million).</w:t>
      </w:r>
    </w:p>
    <w:p>
      <w:pPr>
        <w:spacing w:after="0" w:line="199" w:lineRule="exact"/>
        <w:rPr>
          <w:sz w:val="20"/>
          <w:szCs w:val="20"/>
          <w:color w:val="auto"/>
        </w:rPr>
      </w:pPr>
    </w:p>
    <w:p>
      <w:pPr>
        <w:sectPr>
          <w:pgSz w:w="11900" w:h="16838" w:orient="portrait"/>
          <w:cols w:equalWidth="0" w:num="2">
            <w:col w:w="4080" w:space="720"/>
            <w:col w:w="6620"/>
          </w:cols>
          <w:pgMar w:left="240" w:top="347" w:right="239" w:bottom="136" w:gutter="0" w:footer="0" w:header="0"/>
          <w:type w:val="continuous"/>
        </w:sectPr>
      </w:pPr>
    </w:p>
    <w:p>
      <w:pPr>
        <w:ind w:left="580"/>
        <w:spacing w:after="0"/>
        <w:rPr>
          <w:sz w:val="20"/>
          <w:szCs w:val="20"/>
          <w:color w:val="auto"/>
        </w:rPr>
      </w:pPr>
      <w:r>
        <w:rPr>
          <w:rFonts w:ascii="Arial" w:cs="Arial" w:eastAsia="Arial" w:hAnsi="Arial"/>
          <w:sz w:val="15"/>
          <w:szCs w:val="15"/>
          <w:b w:val="1"/>
          <w:bCs w:val="1"/>
          <w:color w:val="auto"/>
        </w:rPr>
        <w:t>Commencement Date</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Construction of the Project is expected to begin concurrently with the Closing Date, which is expected to be on or around September 30, 2002.</w:t>
      </w:r>
    </w:p>
    <w:p>
      <w:pPr>
        <w:spacing w:after="0" w:line="200" w:lineRule="exact"/>
        <w:rPr>
          <w:sz w:val="20"/>
          <w:szCs w:val="20"/>
          <w:color w:val="auto"/>
        </w:rPr>
      </w:pPr>
    </w:p>
    <w:p>
      <w:pPr>
        <w:sectPr>
          <w:pgSz w:w="11900" w:h="16838" w:orient="portrait"/>
          <w:cols w:equalWidth="0" w:num="2">
            <w:col w:w="4080" w:space="720"/>
            <w:col w:w="6620"/>
          </w:cols>
          <w:pgMar w:left="240" w:top="347" w:right="239" w:bottom="136" w:gutter="0" w:footer="0" w:header="0"/>
          <w:type w:val="continuous"/>
        </w:sectPr>
      </w:pPr>
    </w:p>
    <w:p>
      <w:pPr>
        <w:spacing w:after="0" w:line="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Completion Date</w:t>
      </w:r>
    </w:p>
    <w:p>
      <w:pPr>
        <w:spacing w:after="0" w:line="20" w:lineRule="exact"/>
        <w:rPr>
          <w:sz w:val="20"/>
          <w:szCs w:val="20"/>
          <w:color w:val="auto"/>
        </w:rPr>
      </w:pPr>
      <w:r>
        <w:rPr>
          <w:sz w:val="20"/>
          <w:szCs w:val="20"/>
          <w:color w:val="auto"/>
        </w:rPr>
        <w:br w:type="column"/>
      </w:r>
    </w:p>
    <w:p>
      <w:pPr>
        <w:jc w:val="both"/>
        <w:ind w:right="60"/>
        <w:spacing w:after="0" w:line="259" w:lineRule="auto"/>
        <w:rPr>
          <w:sz w:val="20"/>
          <w:szCs w:val="20"/>
          <w:color w:val="auto"/>
        </w:rPr>
      </w:pPr>
      <w:r>
        <w:rPr>
          <w:rFonts w:ascii="Arial" w:cs="Arial" w:eastAsia="Arial" w:hAnsi="Arial"/>
          <w:sz w:val="18"/>
          <w:szCs w:val="18"/>
          <w:color w:val="auto"/>
        </w:rPr>
        <w:t xml:space="preserve">The date on which completion and the "Opening" (to be mutually agreed upon and defined in the Disbursement Agreement) of the Project has occurred shall be hereafter referred to as the </w:t>
      </w:r>
      <w:r>
        <w:rPr>
          <w:rFonts w:ascii="Arial" w:cs="Arial" w:eastAsia="Arial" w:hAnsi="Arial"/>
          <w:sz w:val="18"/>
          <w:szCs w:val="18"/>
          <w:b w:val="1"/>
          <w:bCs w:val="1"/>
          <w:i w:val="1"/>
          <w:iCs w:val="1"/>
          <w:color w:val="auto"/>
        </w:rPr>
        <w:t>"Completion Date"</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080" w:space="720"/>
            <w:col w:w="6620"/>
          </w:cols>
          <w:pgMar w:left="240" w:top="347" w:right="239" w:bottom="136" w:gutter="0" w:footer="0" w:header="0"/>
          <w:type w:val="continuous"/>
        </w:sectPr>
      </w:pPr>
    </w:p>
    <w:p>
      <w:pPr>
        <w:spacing w:after="0" w:line="1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Anticipated Completion Date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anticipated Completion Date is expected to be on or around March, 2005.</w:t>
      </w:r>
    </w:p>
    <w:p>
      <w:pPr>
        <w:sectPr>
          <w:pgSz w:w="11900" w:h="16838" w:orient="portrait"/>
          <w:cols w:equalWidth="0" w:num="2">
            <w:col w:w="4080" w:space="720"/>
            <w:col w:w="6620"/>
          </w:cols>
          <w:pgMar w:left="240" w:top="347" w:right="239" w:bottom="136" w:gutter="0" w:footer="0" w:header="0"/>
          <w:type w:val="continuous"/>
        </w:sectPr>
      </w:pPr>
    </w:p>
    <w:bookmarkStart w:id="193" w:name="page194"/>
    <w:bookmarkEnd w:id="193"/>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60" w:type="dxa"/>
            <w:vAlign w:val="bottom"/>
          </w:tcPr>
          <w:p>
            <w:pPr>
              <w:ind w:left="1660"/>
              <w:spacing w:after="0"/>
              <w:rPr>
                <w:sz w:val="20"/>
                <w:szCs w:val="20"/>
                <w:color w:val="auto"/>
              </w:rPr>
            </w:pPr>
            <w:r>
              <w:rPr>
                <w:rFonts w:ascii="Arial" w:cs="Arial" w:eastAsia="Arial" w:hAnsi="Arial"/>
                <w:sz w:val="18"/>
                <w:szCs w:val="18"/>
                <w:color w:val="auto"/>
              </w:rPr>
              <w:t>10</w:t>
            </w:r>
          </w:p>
        </w:tc>
      </w:tr>
      <w:tr>
        <w:trPr>
          <w:trHeight w:val="228"/>
        </w:trPr>
        <w:tc>
          <w:tcPr>
            <w:tcW w:w="38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7460" w:type="dxa"/>
            <w:vAlign w:val="bottom"/>
            <w:tcBorders>
              <w:bottom w:val="single" w:sz="8" w:color="808080"/>
            </w:tcBorders>
          </w:tcPr>
          <w:p>
            <w:pPr>
              <w:spacing w:after="0"/>
              <w:rPr>
                <w:sz w:val="19"/>
                <w:szCs w:val="19"/>
                <w:color w:val="auto"/>
              </w:rPr>
            </w:pPr>
          </w:p>
        </w:tc>
      </w:tr>
      <w:tr>
        <w:trPr>
          <w:trHeight w:val="556"/>
        </w:trPr>
        <w:tc>
          <w:tcPr>
            <w:tcW w:w="38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Arial" w:cs="Arial" w:eastAsia="Arial" w:hAnsi="Arial"/>
                <w:sz w:val="18"/>
                <w:szCs w:val="18"/>
                <w:b w:val="1"/>
                <w:bCs w:val="1"/>
                <w:color w:val="auto"/>
              </w:rPr>
              <w:t>Completion Guarantee</w:t>
            </w:r>
          </w:p>
        </w:tc>
        <w:tc>
          <w:tcPr>
            <w:tcW w:w="7460" w:type="dxa"/>
            <w:vAlign w:val="bottom"/>
          </w:tcPr>
          <w:p>
            <w:pPr>
              <w:ind w:left="840"/>
              <w:spacing w:after="0"/>
              <w:rPr>
                <w:sz w:val="20"/>
                <w:szCs w:val="20"/>
                <w:color w:val="auto"/>
              </w:rPr>
            </w:pPr>
            <w:r>
              <w:rPr>
                <w:rFonts w:ascii="Arial" w:cs="Arial" w:eastAsia="Arial" w:hAnsi="Arial"/>
                <w:sz w:val="18"/>
                <w:szCs w:val="18"/>
                <w:color w:val="auto"/>
                <w:w w:val="94"/>
              </w:rPr>
              <w:t xml:space="preserve">The completion guarantee (the </w:t>
            </w:r>
            <w:r>
              <w:rPr>
                <w:rFonts w:ascii="Arial" w:cs="Arial" w:eastAsia="Arial" w:hAnsi="Arial"/>
                <w:sz w:val="18"/>
                <w:szCs w:val="18"/>
                <w:b w:val="1"/>
                <w:bCs w:val="1"/>
                <w:i w:val="1"/>
                <w:iCs w:val="1"/>
                <w:color w:val="auto"/>
                <w:w w:val="94"/>
              </w:rPr>
              <w:t>"Completion Guarantee"</w:t>
            </w:r>
            <w:r>
              <w:rPr>
                <w:rFonts w:ascii="Arial" w:cs="Arial" w:eastAsia="Arial" w:hAnsi="Arial"/>
                <w:sz w:val="18"/>
                <w:szCs w:val="18"/>
                <w:color w:val="auto"/>
                <w:w w:val="94"/>
              </w:rPr>
              <w:t>) will be provided by a special</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4"/>
              </w:rPr>
              <w:t xml:space="preserve">purpose entity (the </w:t>
            </w:r>
            <w:r>
              <w:rPr>
                <w:rFonts w:ascii="Arial" w:cs="Arial" w:eastAsia="Arial" w:hAnsi="Arial"/>
                <w:sz w:val="18"/>
                <w:szCs w:val="18"/>
                <w:b w:val="1"/>
                <w:bCs w:val="1"/>
                <w:i w:val="1"/>
                <w:iCs w:val="1"/>
                <w:color w:val="auto"/>
                <w:w w:val="94"/>
              </w:rPr>
              <w:t>"Completion Guarantor"</w:t>
            </w:r>
            <w:r>
              <w:rPr>
                <w:rFonts w:ascii="Arial" w:cs="Arial" w:eastAsia="Arial" w:hAnsi="Arial"/>
                <w:sz w:val="18"/>
                <w:szCs w:val="18"/>
                <w:color w:val="auto"/>
                <w:w w:val="94"/>
              </w:rPr>
              <w:t>). The Completion Guarantee shall assure</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4"/>
              </w:rPr>
              <w:t>completion of the Project, which shall include completion in full of the construction of the</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4"/>
              </w:rPr>
              <w:t>Project (including all furniture, fixtures and equipment, the parking structure and the golf</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3"/>
              </w:rPr>
              <w:t>course), availability of the initial working capital contemplated in the budget, receipt of all</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0"/>
              </w:rPr>
              <w:t>permits and licenses necessary to open and operate the Project and the presence of trained</w:t>
            </w:r>
          </w:p>
        </w:tc>
      </w:tr>
      <w:tr>
        <w:trPr>
          <w:trHeight w:val="222"/>
        </w:trPr>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rPr>
              <w:t xml:space="preserve">staff to achieve the Completion Date (collectively, the </w:t>
            </w:r>
            <w:r>
              <w:rPr>
                <w:rFonts w:ascii="Arial" w:cs="Arial" w:eastAsia="Arial" w:hAnsi="Arial"/>
                <w:sz w:val="18"/>
                <w:szCs w:val="18"/>
                <w:b w:val="1"/>
                <w:bCs w:val="1"/>
                <w:i w:val="1"/>
                <w:iCs w:val="1"/>
                <w:color w:val="auto"/>
              </w:rPr>
              <w:t>"Completion Obligations"</w:t>
            </w:r>
            <w:r>
              <w:rPr>
                <w:rFonts w:ascii="Arial" w:cs="Arial" w:eastAsia="Arial" w:hAnsi="Arial"/>
                <w:sz w:val="18"/>
                <w:szCs w:val="18"/>
                <w:color w:val="auto"/>
              </w:rPr>
              <w:t>).</w:t>
            </w:r>
          </w:p>
        </w:tc>
      </w:tr>
      <w:tr>
        <w:trPr>
          <w:trHeight w:val="426"/>
        </w:trPr>
        <w:tc>
          <w:tcPr>
            <w:tcW w:w="3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0"/>
              </w:rPr>
              <w:t>The Completion Guarantee will be capped at $50.0 million and will be (i) cash collateralized</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0"/>
              </w:rPr>
              <w:t>by a first priority security interest in an interest-bearing account holding at least $50.0 million</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89"/>
              </w:rPr>
              <w:t>in cash or other permitted investments, or (ii) secured by a letter of credit with a face amount</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3"/>
              </w:rPr>
              <w:t>of at least $50.0 million or other collateral of equivalent quality and liquidity acceptable to</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0"/>
              </w:rPr>
              <w:t>the Senior Lenders. On the Completion Date, the completion guarantee will be released and</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88"/>
              </w:rPr>
              <w:t>any remaining amount of the collateral security therefore shall be released to or as directed by</w:t>
            </w:r>
          </w:p>
        </w:tc>
      </w:tr>
      <w:tr>
        <w:trPr>
          <w:trHeight w:val="222"/>
        </w:trPr>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rPr>
              <w:t>the Company.</w:t>
            </w:r>
          </w:p>
        </w:tc>
      </w:tr>
      <w:tr>
        <w:trPr>
          <w:trHeight w:val="453"/>
        </w:trPr>
        <w:tc>
          <w:tcPr>
            <w:tcW w:w="38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Arial" w:cs="Arial" w:eastAsia="Arial" w:hAnsi="Arial"/>
                <w:sz w:val="18"/>
                <w:szCs w:val="18"/>
                <w:b w:val="1"/>
                <w:bCs w:val="1"/>
                <w:color w:val="auto"/>
              </w:rPr>
              <w:t>Scope Changes</w:t>
            </w:r>
          </w:p>
        </w:tc>
        <w:tc>
          <w:tcPr>
            <w:tcW w:w="7460" w:type="dxa"/>
            <w:vAlign w:val="bottom"/>
          </w:tcPr>
          <w:p>
            <w:pPr>
              <w:ind w:left="840"/>
              <w:spacing w:after="0"/>
              <w:rPr>
                <w:sz w:val="20"/>
                <w:szCs w:val="20"/>
                <w:color w:val="auto"/>
              </w:rPr>
            </w:pPr>
            <w:r>
              <w:rPr>
                <w:rFonts w:ascii="Arial" w:cs="Arial" w:eastAsia="Arial" w:hAnsi="Arial"/>
                <w:sz w:val="18"/>
                <w:szCs w:val="18"/>
                <w:color w:val="auto"/>
                <w:w w:val="90"/>
              </w:rPr>
              <w:t>The Company shall agree that, as a condition to the approval of any change orders that will</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0"/>
              </w:rPr>
              <w:t>increase the anticipated costs of the Project, the Company shall fund the proceeds of equity</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4"/>
              </w:rPr>
              <w:t>contributions made to the Company into an account pledged to the Senior Lenders in an</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87"/>
              </w:rPr>
              <w:t>amount equal to the anticipated cost of such change orders, which amounts so funded shall be</w:t>
            </w:r>
          </w:p>
        </w:tc>
      </w:tr>
      <w:tr>
        <w:trPr>
          <w:trHeight w:val="222"/>
        </w:trPr>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rPr>
              <w:t>applied toward such anticipated increased costs.</w:t>
            </w:r>
          </w:p>
        </w:tc>
      </w:tr>
      <w:tr>
        <w:trPr>
          <w:trHeight w:val="453"/>
        </w:trPr>
        <w:tc>
          <w:tcPr>
            <w:tcW w:w="38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Arial" w:cs="Arial" w:eastAsia="Arial" w:hAnsi="Arial"/>
                <w:sz w:val="18"/>
                <w:szCs w:val="18"/>
                <w:b w:val="1"/>
                <w:bCs w:val="1"/>
                <w:color w:val="auto"/>
              </w:rPr>
              <w:t>Project Liquidity Reserve</w:t>
            </w:r>
          </w:p>
        </w:tc>
        <w:tc>
          <w:tcPr>
            <w:tcW w:w="7460" w:type="dxa"/>
            <w:vAlign w:val="bottom"/>
          </w:tcPr>
          <w:p>
            <w:pPr>
              <w:ind w:left="840"/>
              <w:spacing w:after="0"/>
              <w:rPr>
                <w:sz w:val="20"/>
                <w:szCs w:val="20"/>
                <w:color w:val="auto"/>
              </w:rPr>
            </w:pPr>
            <w:r>
              <w:rPr>
                <w:rFonts w:ascii="Arial" w:cs="Arial" w:eastAsia="Arial" w:hAnsi="Arial"/>
                <w:sz w:val="18"/>
                <w:szCs w:val="18"/>
                <w:color w:val="auto"/>
                <w:w w:val="90"/>
              </w:rPr>
              <w:t xml:space="preserve">The Company or a special purpose affiliate thereof (the </w:t>
            </w:r>
            <w:r>
              <w:rPr>
                <w:rFonts w:ascii="Arial" w:cs="Arial" w:eastAsia="Arial" w:hAnsi="Arial"/>
                <w:sz w:val="18"/>
                <w:szCs w:val="18"/>
                <w:b w:val="1"/>
                <w:bCs w:val="1"/>
                <w:i w:val="1"/>
                <w:iCs w:val="1"/>
                <w:color w:val="auto"/>
                <w:w w:val="90"/>
              </w:rPr>
              <w:t>"Liquidity Reserve Provider"</w:t>
            </w:r>
            <w:r>
              <w:rPr>
                <w:rFonts w:ascii="Arial" w:cs="Arial" w:eastAsia="Arial" w:hAnsi="Arial"/>
                <w:sz w:val="18"/>
                <w:szCs w:val="18"/>
                <w:color w:val="auto"/>
                <w:w w:val="90"/>
              </w:rPr>
              <w:t>) will</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1"/>
              </w:rPr>
              <w:t>establish a securities account subject to a first priority perfected security interest in favor of</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3"/>
              </w:rPr>
              <w:t>the Senior Lenders. The account will be funded with cash or permitted investments in an</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3"/>
              </w:rPr>
              <w:t>amount equal to $30.0 million and will secure Company's performance of the Completion</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0"/>
              </w:rPr>
              <w:t>Obligations and, after the Completion Date, will be available to meet the Company's working</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3"/>
              </w:rPr>
              <w:t>capital needs. None of the Company's direct or indirect shareholders shall be required to</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89"/>
              </w:rPr>
              <w:t>commit to replenish such account after disbursement of funds therefrom. Amounts remaining</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4"/>
              </w:rPr>
              <w:t>in the liquidity account will be released at such time as the Company shall have met the</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8"/>
              </w:rPr>
              <w:t>EBITDA targets set forth in the Closing Date projections for a full fiscal year after the</w:t>
            </w:r>
          </w:p>
        </w:tc>
      </w:tr>
      <w:tr>
        <w:trPr>
          <w:trHeight w:val="222"/>
        </w:trPr>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rPr>
              <w:t>Completion Date of the Project.</w:t>
            </w:r>
          </w:p>
        </w:tc>
      </w:tr>
      <w:tr>
        <w:trPr>
          <w:trHeight w:val="891"/>
        </w:trPr>
        <w:tc>
          <w:tcPr>
            <w:tcW w:w="3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460" w:type="dxa"/>
            <w:vAlign w:val="bottom"/>
          </w:tcPr>
          <w:p>
            <w:pPr>
              <w:ind w:left="1660"/>
              <w:spacing w:after="0"/>
              <w:rPr>
                <w:sz w:val="20"/>
                <w:szCs w:val="20"/>
                <w:color w:val="auto"/>
              </w:rPr>
            </w:pPr>
            <w:r>
              <w:rPr>
                <w:rFonts w:ascii="Arial" w:cs="Arial" w:eastAsia="Arial" w:hAnsi="Arial"/>
                <w:sz w:val="18"/>
                <w:szCs w:val="18"/>
                <w:color w:val="auto"/>
              </w:rPr>
              <w:t>11</w:t>
            </w:r>
          </w:p>
        </w:tc>
      </w:tr>
      <w:tr>
        <w:trPr>
          <w:trHeight w:val="228"/>
        </w:trPr>
        <w:tc>
          <w:tcPr>
            <w:tcW w:w="38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7460" w:type="dxa"/>
            <w:vAlign w:val="bottom"/>
            <w:tcBorders>
              <w:bottom w:val="single" w:sz="8" w:color="808080"/>
            </w:tcBorders>
          </w:tcPr>
          <w:p>
            <w:pPr>
              <w:spacing w:after="0"/>
              <w:rPr>
                <w:sz w:val="19"/>
                <w:szCs w:val="19"/>
                <w:color w:val="auto"/>
              </w:rPr>
            </w:pPr>
          </w:p>
        </w:tc>
      </w:tr>
      <w:tr>
        <w:trPr>
          <w:trHeight w:val="556"/>
        </w:trPr>
        <w:tc>
          <w:tcPr>
            <w:tcW w:w="38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Arial" w:cs="Arial" w:eastAsia="Arial" w:hAnsi="Arial"/>
                <w:sz w:val="18"/>
                <w:szCs w:val="18"/>
                <w:b w:val="1"/>
                <w:bCs w:val="1"/>
                <w:color w:val="auto"/>
              </w:rPr>
              <w:t>Payment and Performance Bond</w:t>
            </w:r>
          </w:p>
        </w:tc>
        <w:tc>
          <w:tcPr>
            <w:tcW w:w="7460" w:type="dxa"/>
            <w:vAlign w:val="bottom"/>
          </w:tcPr>
          <w:p>
            <w:pPr>
              <w:ind w:left="840"/>
              <w:spacing w:after="0"/>
              <w:rPr>
                <w:sz w:val="20"/>
                <w:szCs w:val="20"/>
                <w:color w:val="auto"/>
              </w:rPr>
            </w:pPr>
            <w:r>
              <w:rPr>
                <w:rFonts w:ascii="Arial" w:cs="Arial" w:eastAsia="Arial" w:hAnsi="Arial"/>
                <w:sz w:val="18"/>
                <w:szCs w:val="18"/>
                <w:color w:val="auto"/>
                <w:w w:val="91"/>
              </w:rPr>
              <w:t>The General Contractor will obtain and maintain a payment and performance bond from an</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8"/>
              </w:rPr>
              <w:t>issuer with a size and credit rating reasonably acceptable to the Senior Lenders (the</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b w:val="1"/>
                <w:bCs w:val="1"/>
                <w:i w:val="1"/>
                <w:iCs w:val="1"/>
                <w:color w:val="auto"/>
                <w:w w:val="93"/>
              </w:rPr>
              <w:t>"Payment and Performance Bond"</w:t>
            </w:r>
            <w:r>
              <w:rPr>
                <w:rFonts w:ascii="Arial" w:cs="Arial" w:eastAsia="Arial" w:hAnsi="Arial"/>
                <w:sz w:val="18"/>
                <w:szCs w:val="18"/>
                <w:color w:val="auto"/>
                <w:w w:val="93"/>
              </w:rPr>
              <w:t>) in respect of its obligations under the Construction</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89"/>
              </w:rPr>
              <w:t>Contract in an amount of not less than $150.0 million. Unless otherwise agreed by the Senior</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88"/>
              </w:rPr>
              <w:t>Lenders, the Company shall require the General Contractor to cause each subcontractor (with</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89"/>
              </w:rPr>
              <w:t>more than the lesser of 5% of the total construction price and $25.0 million in aggregate fees)</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4"/>
              </w:rPr>
              <w:t>to, upon execution of its subcontract, provide a payment and performance bond from an</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89"/>
              </w:rPr>
              <w:t>issuer with a size and credit rating reasonably acceptable to the Senior Lenders to secure its</w:t>
            </w:r>
          </w:p>
        </w:tc>
      </w:tr>
      <w:tr>
        <w:trPr>
          <w:trHeight w:val="222"/>
        </w:trPr>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rPr>
              <w:t>obligations under its respective subcontract.</w:t>
            </w:r>
          </w:p>
        </w:tc>
      </w:tr>
      <w:tr>
        <w:trPr>
          <w:trHeight w:val="453"/>
        </w:trPr>
        <w:tc>
          <w:tcPr>
            <w:tcW w:w="38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Arial" w:cs="Arial" w:eastAsia="Arial" w:hAnsi="Arial"/>
                <w:sz w:val="18"/>
                <w:szCs w:val="18"/>
                <w:b w:val="1"/>
                <w:bCs w:val="1"/>
                <w:color w:val="auto"/>
              </w:rPr>
              <w:t>Construction Contract Guarantee</w:t>
            </w:r>
          </w:p>
        </w:tc>
        <w:tc>
          <w:tcPr>
            <w:tcW w:w="7460" w:type="dxa"/>
            <w:vAlign w:val="bottom"/>
          </w:tcPr>
          <w:p>
            <w:pPr>
              <w:ind w:left="840"/>
              <w:spacing w:after="0"/>
              <w:rPr>
                <w:sz w:val="20"/>
                <w:szCs w:val="20"/>
                <w:color w:val="auto"/>
              </w:rPr>
            </w:pPr>
            <w:r>
              <w:rPr>
                <w:rFonts w:ascii="Arial" w:cs="Arial" w:eastAsia="Arial" w:hAnsi="Arial"/>
                <w:sz w:val="18"/>
                <w:szCs w:val="18"/>
                <w:color w:val="auto"/>
                <w:w w:val="89"/>
              </w:rPr>
              <w:t>The obligations of the General Contractor under the Construction Contract will be guaranteed</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1"/>
              </w:rPr>
              <w:t xml:space="preserve">by Austi, Inc. (the </w:t>
            </w:r>
            <w:r>
              <w:rPr>
                <w:rFonts w:ascii="Arial" w:cs="Arial" w:eastAsia="Arial" w:hAnsi="Arial"/>
                <w:sz w:val="18"/>
                <w:szCs w:val="18"/>
                <w:b w:val="1"/>
                <w:bCs w:val="1"/>
                <w:i w:val="1"/>
                <w:iCs w:val="1"/>
                <w:color w:val="auto"/>
                <w:w w:val="91"/>
              </w:rPr>
              <w:t>"Construction Contract Guarantee"</w:t>
            </w:r>
            <w:r>
              <w:rPr>
                <w:rFonts w:ascii="Arial" w:cs="Arial" w:eastAsia="Arial" w:hAnsi="Arial"/>
                <w:sz w:val="18"/>
                <w:szCs w:val="18"/>
                <w:color w:val="auto"/>
                <w:w w:val="91"/>
              </w:rPr>
              <w:t xml:space="preserve"> and, together with the Completion</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5"/>
              </w:rPr>
              <w:t>Guarantee, the Project Liquidity Reserve and the Payment and Performance Bond, the</w:t>
            </w:r>
          </w:p>
        </w:tc>
      </w:tr>
      <w:tr>
        <w:trPr>
          <w:trHeight w:val="222"/>
        </w:trPr>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60" w:type="dxa"/>
            <w:vAlign w:val="bottom"/>
          </w:tcPr>
          <w:p>
            <w:pPr>
              <w:ind w:left="840"/>
              <w:spacing w:after="0"/>
              <w:rPr>
                <w:sz w:val="20"/>
                <w:szCs w:val="20"/>
                <w:color w:val="auto"/>
              </w:rPr>
            </w:pPr>
            <w:r>
              <w:rPr>
                <w:rFonts w:ascii="Arial" w:cs="Arial" w:eastAsia="Arial" w:hAnsi="Arial"/>
                <w:sz w:val="18"/>
                <w:szCs w:val="18"/>
                <w:b w:val="1"/>
                <w:bCs w:val="1"/>
                <w:i w:val="1"/>
                <w:iCs w:val="1"/>
                <w:color w:val="auto"/>
              </w:rPr>
              <w:t>"Project Credit Support"</w:t>
            </w:r>
            <w:r>
              <w:rPr>
                <w:rFonts w:ascii="Arial" w:cs="Arial" w:eastAsia="Arial" w:hAnsi="Arial"/>
                <w:sz w:val="18"/>
                <w:szCs w:val="18"/>
                <w:color w:val="auto"/>
              </w:rPr>
              <w:t>).</w:t>
            </w:r>
          </w:p>
        </w:tc>
      </w:tr>
      <w:tr>
        <w:trPr>
          <w:trHeight w:val="426"/>
        </w:trPr>
        <w:tc>
          <w:tcPr>
            <w:tcW w:w="3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rPr>
              <w:t>The Construction Contract Guarantee will guarantee all of the General Contractor's</w:t>
            </w:r>
          </w:p>
        </w:tc>
      </w:tr>
      <w:tr>
        <w:trPr>
          <w:trHeight w:val="222"/>
        </w:trPr>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2"/>
              </w:rPr>
              <w:t>obligations under and in accordance with the Construction Contract but will be unsecured.</w:t>
            </w:r>
          </w:p>
        </w:tc>
      </w:tr>
      <w:tr>
        <w:trPr>
          <w:trHeight w:val="453"/>
        </w:trPr>
        <w:tc>
          <w:tcPr>
            <w:tcW w:w="38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Arial" w:cs="Arial" w:eastAsia="Arial" w:hAnsi="Arial"/>
                <w:sz w:val="18"/>
                <w:szCs w:val="18"/>
                <w:b w:val="1"/>
                <w:bCs w:val="1"/>
                <w:color w:val="auto"/>
              </w:rPr>
              <w:t>Disbursement Agreement</w:t>
            </w:r>
          </w:p>
        </w:tc>
        <w:tc>
          <w:tcPr>
            <w:tcW w:w="7460" w:type="dxa"/>
            <w:vAlign w:val="bottom"/>
          </w:tcPr>
          <w:p>
            <w:pPr>
              <w:ind w:left="840"/>
              <w:spacing w:after="0"/>
              <w:rPr>
                <w:sz w:val="20"/>
                <w:szCs w:val="20"/>
                <w:color w:val="auto"/>
              </w:rPr>
            </w:pPr>
            <w:r>
              <w:rPr>
                <w:rFonts w:ascii="Arial" w:cs="Arial" w:eastAsia="Arial" w:hAnsi="Arial"/>
                <w:sz w:val="18"/>
                <w:szCs w:val="18"/>
                <w:color w:val="auto"/>
                <w:w w:val="94"/>
              </w:rPr>
              <w:t>The Agent, the indenture trustee for the Second Mortgage Notes, the Company and the</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97"/>
              </w:rPr>
              <w:t>Disbursement Agent will enter into a disbursement agreement which will establish the</w:t>
            </w: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w w:val="89"/>
              </w:rPr>
              <w:t>sequence of funding and will include, among other things, the conditions to every advance of</w:t>
            </w:r>
          </w:p>
        </w:tc>
      </w:tr>
      <w:tr>
        <w:trPr>
          <w:trHeight w:val="222"/>
        </w:trPr>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460" w:type="dxa"/>
            <w:vAlign w:val="bottom"/>
          </w:tcPr>
          <w:p>
            <w:pPr>
              <w:ind w:left="840"/>
              <w:spacing w:after="0"/>
              <w:rPr>
                <w:sz w:val="20"/>
                <w:szCs w:val="20"/>
                <w:color w:val="auto"/>
              </w:rPr>
            </w:pPr>
            <w:r>
              <w:rPr>
                <w:rFonts w:ascii="Arial" w:cs="Arial" w:eastAsia="Arial" w:hAnsi="Arial"/>
                <w:sz w:val="18"/>
                <w:szCs w:val="18"/>
                <w:color w:val="auto"/>
              </w:rPr>
              <w:t>funds. Such conditions shall include those set forth in Exhibits B-I and B-II hereto.</w:t>
            </w: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II.</w:t>
            </w:r>
          </w:p>
        </w:tc>
        <w:tc>
          <w:tcPr>
            <w:tcW w:w="35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Parties and Key Dates</w:t>
            </w:r>
          </w:p>
        </w:tc>
        <w:tc>
          <w:tcPr>
            <w:tcW w:w="7460" w:type="dxa"/>
            <w:vAlign w:val="bottom"/>
          </w:tcPr>
          <w:p>
            <w:pPr>
              <w:spacing w:after="0"/>
              <w:rPr>
                <w:sz w:val="24"/>
                <w:szCs w:val="24"/>
                <w:color w:val="auto"/>
              </w:rPr>
            </w:pPr>
          </w:p>
        </w:tc>
      </w:tr>
      <w:tr>
        <w:trPr>
          <w:trHeight w:val="459"/>
        </w:trPr>
        <w:tc>
          <w:tcPr>
            <w:tcW w:w="380" w:type="dxa"/>
            <w:vAlign w:val="bottom"/>
          </w:tcPr>
          <w:p>
            <w:pPr>
              <w:spacing w:after="0"/>
              <w:rPr>
                <w:sz w:val="24"/>
                <w:szCs w:val="24"/>
                <w:color w:val="auto"/>
              </w:rPr>
            </w:pPr>
          </w:p>
        </w:tc>
        <w:tc>
          <w:tcPr>
            <w:tcW w:w="3580" w:type="dxa"/>
            <w:vAlign w:val="bottom"/>
          </w:tcPr>
          <w:p>
            <w:pPr>
              <w:ind w:left="200"/>
              <w:spacing w:after="0"/>
              <w:rPr>
                <w:sz w:val="20"/>
                <w:szCs w:val="20"/>
                <w:color w:val="auto"/>
              </w:rPr>
            </w:pPr>
            <w:r>
              <w:rPr>
                <w:rFonts w:ascii="Arial" w:cs="Arial" w:eastAsia="Arial" w:hAnsi="Arial"/>
                <w:sz w:val="18"/>
                <w:szCs w:val="18"/>
                <w:b w:val="1"/>
                <w:bCs w:val="1"/>
                <w:color w:val="auto"/>
              </w:rPr>
              <w:t>Borrower</w:t>
            </w:r>
          </w:p>
        </w:tc>
        <w:tc>
          <w:tcPr>
            <w:tcW w:w="7460" w:type="dxa"/>
            <w:vAlign w:val="bottom"/>
          </w:tcPr>
          <w:p>
            <w:pPr>
              <w:ind w:left="840"/>
              <w:spacing w:after="0"/>
              <w:rPr>
                <w:sz w:val="20"/>
                <w:szCs w:val="20"/>
                <w:color w:val="auto"/>
              </w:rPr>
            </w:pPr>
            <w:r>
              <w:rPr>
                <w:rFonts w:ascii="Arial" w:cs="Arial" w:eastAsia="Arial" w:hAnsi="Arial"/>
                <w:sz w:val="18"/>
                <w:szCs w:val="18"/>
                <w:color w:val="auto"/>
              </w:rPr>
              <w:t>The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-9238615</wp:posOffset>
            </wp:positionV>
            <wp:extent cx="1270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-9238615</wp:posOffset>
            </wp:positionV>
            <wp:extent cx="1270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-3870325</wp:posOffset>
            </wp:positionV>
            <wp:extent cx="1270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-3870325</wp:posOffset>
            </wp:positionV>
            <wp:extent cx="1270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2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92" w:gutter="0" w:footer="0" w:header="0"/>
          <w:type w:val="continuous"/>
        </w:sectPr>
      </w:pPr>
    </w:p>
    <w:bookmarkStart w:id="194" w:name="page195"/>
    <w:bookmarkEnd w:id="194"/>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60" w:type="dxa"/>
            <w:vAlign w:val="bottom"/>
          </w:tcPr>
          <w:p>
            <w:pPr>
              <w:ind w:left="580"/>
              <w:spacing w:after="0"/>
              <w:rPr>
                <w:sz w:val="20"/>
                <w:szCs w:val="20"/>
                <w:color w:val="auto"/>
              </w:rPr>
            </w:pPr>
            <w:r>
              <w:rPr>
                <w:rFonts w:ascii="Arial" w:cs="Arial" w:eastAsia="Arial" w:hAnsi="Arial"/>
                <w:sz w:val="18"/>
                <w:szCs w:val="18"/>
                <w:b w:val="1"/>
                <w:bCs w:val="1"/>
                <w:color w:val="auto"/>
              </w:rPr>
              <w:t>Guarantors</w:t>
            </w:r>
          </w:p>
        </w:tc>
        <w:tc>
          <w:tcPr>
            <w:tcW w:w="7560" w:type="dxa"/>
            <w:vAlign w:val="bottom"/>
          </w:tcPr>
          <w:p>
            <w:pPr>
              <w:ind w:left="940"/>
              <w:spacing w:after="0"/>
              <w:rPr>
                <w:sz w:val="20"/>
                <w:szCs w:val="20"/>
                <w:color w:val="auto"/>
              </w:rPr>
            </w:pPr>
            <w:r>
              <w:rPr>
                <w:rFonts w:ascii="Arial" w:cs="Arial" w:eastAsia="Arial" w:hAnsi="Arial"/>
                <w:sz w:val="18"/>
                <w:szCs w:val="18"/>
                <w:color w:val="auto"/>
                <w:w w:val="92"/>
              </w:rPr>
              <w:t>Valvino Lamore, LLC, Wynn, LLC and all of the Company's restricted subsidiaries, and all</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w w:val="98"/>
              </w:rPr>
              <w:t>existing and future affiliates of the Company as shall be necessary for the successful</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w w:val="90"/>
              </w:rPr>
              <w:t xml:space="preserve">construction, completion and operation of the Project (the </w:t>
            </w:r>
            <w:r>
              <w:rPr>
                <w:rFonts w:ascii="Arial" w:cs="Arial" w:eastAsia="Arial" w:hAnsi="Arial"/>
                <w:sz w:val="18"/>
                <w:szCs w:val="18"/>
                <w:b w:val="1"/>
                <w:bCs w:val="1"/>
                <w:i w:val="1"/>
                <w:iCs w:val="1"/>
                <w:color w:val="auto"/>
                <w:w w:val="90"/>
              </w:rPr>
              <w:t>"Guarantors"</w:t>
            </w:r>
            <w:r>
              <w:rPr>
                <w:rFonts w:ascii="Arial" w:cs="Arial" w:eastAsia="Arial" w:hAnsi="Arial"/>
                <w:sz w:val="18"/>
                <w:szCs w:val="18"/>
                <w:color w:val="auto"/>
                <w:w w:val="90"/>
              </w:rPr>
              <w:t>; the Company and</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w w:val="97"/>
              </w:rPr>
              <w:t>the Guarantors (other than Valvino Lamore, LLC) being, collectively referred to as the</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b w:val="1"/>
                <w:bCs w:val="1"/>
                <w:i w:val="1"/>
                <w:iCs w:val="1"/>
                <w:color w:val="auto"/>
                <w:w w:val="91"/>
              </w:rPr>
              <w:t>"Credit Parties"</w:t>
            </w:r>
            <w:r>
              <w:rPr>
                <w:rFonts w:ascii="Arial" w:cs="Arial" w:eastAsia="Arial" w:hAnsi="Arial"/>
                <w:sz w:val="18"/>
                <w:szCs w:val="18"/>
                <w:color w:val="auto"/>
                <w:w w:val="91"/>
              </w:rPr>
              <w:t>). The Guarantors shall fully and unconditionally guarantee the payment of</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w w:val="90"/>
              </w:rPr>
              <w:t>all indebtedness and other obligations under the Credit Facilities. Wynn Resorts shall not be</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w w:val="89"/>
              </w:rPr>
              <w:t>required to guarantee the Credit Facilities, but shall enter into a commitment not to incur any</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w w:val="88"/>
              </w:rPr>
              <w:t>debt or guarantee any indebtedness or other payment obligations of any of its affiliates unless</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w w:val="89"/>
              </w:rPr>
              <w:t xml:space="preserve">Wynn Resorts concurrently enters into a guaranty of the Credit Facilities; </w:t>
            </w:r>
            <w:r>
              <w:rPr>
                <w:rFonts w:ascii="Arial" w:cs="Arial" w:eastAsia="Arial" w:hAnsi="Arial"/>
                <w:sz w:val="18"/>
                <w:szCs w:val="18"/>
                <w:i w:val="1"/>
                <w:iCs w:val="1"/>
                <w:color w:val="auto"/>
                <w:w w:val="89"/>
              </w:rPr>
              <w:t>provided, however,</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w w:val="89"/>
              </w:rPr>
              <w:t>that Wynn Resorts shall not become a Credit Party, and shall not be subject to the restrictive</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w w:val="92"/>
              </w:rPr>
              <w:t>covenants and other provisions of the Credit Facilities by reason of entering into any such</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w w:val="93"/>
              </w:rPr>
              <w:t xml:space="preserve">guaranty or such commitment to provide such a guaranty, and </w:t>
            </w:r>
            <w:r>
              <w:rPr>
                <w:rFonts w:ascii="Arial" w:cs="Arial" w:eastAsia="Arial" w:hAnsi="Arial"/>
                <w:sz w:val="18"/>
                <w:szCs w:val="18"/>
                <w:i w:val="1"/>
                <w:iCs w:val="1"/>
                <w:color w:val="auto"/>
                <w:w w:val="93"/>
              </w:rPr>
              <w:t>provided further,</w:t>
            </w:r>
            <w:r>
              <w:rPr>
                <w:rFonts w:ascii="Arial" w:cs="Arial" w:eastAsia="Arial" w:hAnsi="Arial"/>
                <w:sz w:val="18"/>
                <w:szCs w:val="18"/>
                <w:color w:val="auto"/>
                <w:w w:val="93"/>
              </w:rPr>
              <w:t xml:space="preserve"> that such</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w w:val="93"/>
              </w:rPr>
              <w:t>commitment shall expire, and any such guaranty shall be released, at such time as (i) the</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w w:val="97"/>
              </w:rPr>
              <w:t>Company achieves a total debt to EBITDA ratio of 3.0 to 1.0 or less and (ii) the Credit</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w w:val="96"/>
              </w:rPr>
              <w:t>Facilities are and will continue to be rated BB+ or higher by S&amp;P and Ba1 or higher by</w:t>
            </w:r>
          </w:p>
        </w:tc>
      </w:tr>
      <w:tr>
        <w:trPr>
          <w:trHeight w:val="216"/>
        </w:trPr>
        <w:tc>
          <w:tcPr>
            <w:tcW w:w="3860" w:type="dxa"/>
            <w:vAlign w:val="bottom"/>
          </w:tcPr>
          <w:p>
            <w:pPr>
              <w:spacing w:after="0"/>
              <w:rPr>
                <w:sz w:val="18"/>
                <w:szCs w:val="18"/>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w w:val="90"/>
              </w:rPr>
              <w:t>Moody's immediately after giving effect to the expiration of such commitment and release of</w:t>
            </w:r>
          </w:p>
        </w:tc>
      </w:tr>
      <w:tr>
        <w:trPr>
          <w:trHeight w:val="222"/>
        </w:trPr>
        <w:tc>
          <w:tcPr>
            <w:tcW w:w="3860" w:type="dxa"/>
            <w:vAlign w:val="bottom"/>
          </w:tcPr>
          <w:p>
            <w:pPr>
              <w:spacing w:after="0"/>
              <w:rPr>
                <w:sz w:val="19"/>
                <w:szCs w:val="19"/>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rPr>
              <w:t>any such guaranty.</w:t>
            </w:r>
          </w:p>
        </w:tc>
      </w:tr>
      <w:tr>
        <w:trPr>
          <w:trHeight w:val="453"/>
        </w:trPr>
        <w:tc>
          <w:tcPr>
            <w:tcW w:w="3860" w:type="dxa"/>
            <w:vAlign w:val="bottom"/>
          </w:tcPr>
          <w:p>
            <w:pPr>
              <w:ind w:left="580"/>
              <w:spacing w:after="0"/>
              <w:rPr>
                <w:sz w:val="20"/>
                <w:szCs w:val="20"/>
                <w:color w:val="auto"/>
              </w:rPr>
            </w:pPr>
            <w:r>
              <w:rPr>
                <w:rFonts w:ascii="Arial" w:cs="Arial" w:eastAsia="Arial" w:hAnsi="Arial"/>
                <w:sz w:val="18"/>
                <w:szCs w:val="18"/>
                <w:b w:val="1"/>
                <w:bCs w:val="1"/>
                <w:color w:val="auto"/>
              </w:rPr>
              <w:t>Advisors</w:t>
            </w:r>
          </w:p>
        </w:tc>
        <w:tc>
          <w:tcPr>
            <w:tcW w:w="7560" w:type="dxa"/>
            <w:vAlign w:val="bottom"/>
          </w:tcPr>
          <w:p>
            <w:pPr>
              <w:ind w:left="940"/>
              <w:spacing w:after="0"/>
              <w:rPr>
                <w:sz w:val="20"/>
                <w:szCs w:val="20"/>
                <w:color w:val="auto"/>
              </w:rPr>
            </w:pPr>
            <w:r>
              <w:rPr>
                <w:rFonts w:ascii="Arial" w:cs="Arial" w:eastAsia="Arial" w:hAnsi="Arial"/>
                <w:sz w:val="18"/>
                <w:szCs w:val="18"/>
                <w:color w:val="auto"/>
                <w:w w:val="89"/>
              </w:rPr>
              <w:t>Deutsche Bank Securities Inc., Banc of America Securities LLC and Bear, Stearns &amp; Co. Inc.</w:t>
            </w:r>
          </w:p>
        </w:tc>
      </w:tr>
      <w:tr>
        <w:trPr>
          <w:trHeight w:val="222"/>
        </w:trPr>
        <w:tc>
          <w:tcPr>
            <w:tcW w:w="3860" w:type="dxa"/>
            <w:vAlign w:val="bottom"/>
          </w:tcPr>
          <w:p>
            <w:pPr>
              <w:spacing w:after="0"/>
              <w:rPr>
                <w:sz w:val="19"/>
                <w:szCs w:val="19"/>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rPr>
              <w:t xml:space="preserve">(in such capacity, the </w:t>
            </w:r>
            <w:r>
              <w:rPr>
                <w:rFonts w:ascii="Arial" w:cs="Arial" w:eastAsia="Arial" w:hAnsi="Arial"/>
                <w:sz w:val="18"/>
                <w:szCs w:val="18"/>
                <w:b w:val="1"/>
                <w:bCs w:val="1"/>
                <w:i w:val="1"/>
                <w:iCs w:val="1"/>
                <w:color w:val="auto"/>
              </w:rPr>
              <w:t>"Advisors"</w:t>
            </w:r>
            <w:r>
              <w:rPr>
                <w:rFonts w:ascii="Arial" w:cs="Arial" w:eastAsia="Arial" w:hAnsi="Arial"/>
                <w:sz w:val="18"/>
                <w:szCs w:val="18"/>
                <w:color w:val="auto"/>
              </w:rPr>
              <w:t>).</w:t>
            </w:r>
          </w:p>
        </w:tc>
      </w:tr>
      <w:tr>
        <w:trPr>
          <w:trHeight w:val="453"/>
        </w:trPr>
        <w:tc>
          <w:tcPr>
            <w:tcW w:w="3860" w:type="dxa"/>
            <w:vAlign w:val="bottom"/>
          </w:tcPr>
          <w:p>
            <w:pPr>
              <w:ind w:left="580"/>
              <w:spacing w:after="0"/>
              <w:rPr>
                <w:sz w:val="20"/>
                <w:szCs w:val="20"/>
                <w:color w:val="auto"/>
              </w:rPr>
            </w:pPr>
            <w:r>
              <w:rPr>
                <w:rFonts w:ascii="Arial" w:cs="Arial" w:eastAsia="Arial" w:hAnsi="Arial"/>
                <w:sz w:val="18"/>
                <w:szCs w:val="18"/>
                <w:b w:val="1"/>
                <w:bCs w:val="1"/>
                <w:color w:val="auto"/>
              </w:rPr>
              <w:t>Joint Lead Arrangers</w:t>
            </w:r>
          </w:p>
        </w:tc>
        <w:tc>
          <w:tcPr>
            <w:tcW w:w="7560" w:type="dxa"/>
            <w:vAlign w:val="bottom"/>
          </w:tcPr>
          <w:p>
            <w:pPr>
              <w:ind w:left="940"/>
              <w:spacing w:after="0"/>
              <w:rPr>
                <w:sz w:val="20"/>
                <w:szCs w:val="20"/>
                <w:color w:val="auto"/>
              </w:rPr>
            </w:pPr>
            <w:r>
              <w:rPr>
                <w:rFonts w:ascii="Arial" w:cs="Arial" w:eastAsia="Arial" w:hAnsi="Arial"/>
                <w:sz w:val="18"/>
                <w:szCs w:val="18"/>
                <w:color w:val="auto"/>
                <w:w w:val="88"/>
              </w:rPr>
              <w:t>Deutsche Bank Securities Inc. and Banc of America Securities LLC (each, in such capacity, a</w:t>
            </w:r>
          </w:p>
        </w:tc>
      </w:tr>
      <w:tr>
        <w:trPr>
          <w:trHeight w:val="222"/>
        </w:trPr>
        <w:tc>
          <w:tcPr>
            <w:tcW w:w="3860" w:type="dxa"/>
            <w:vAlign w:val="bottom"/>
          </w:tcPr>
          <w:p>
            <w:pPr>
              <w:spacing w:after="0"/>
              <w:rPr>
                <w:sz w:val="19"/>
                <w:szCs w:val="19"/>
                <w:color w:val="auto"/>
              </w:rPr>
            </w:pPr>
          </w:p>
        </w:tc>
        <w:tc>
          <w:tcPr>
            <w:tcW w:w="7560" w:type="dxa"/>
            <w:vAlign w:val="bottom"/>
          </w:tcPr>
          <w:p>
            <w:pPr>
              <w:ind w:left="940"/>
              <w:spacing w:after="0"/>
              <w:rPr>
                <w:sz w:val="20"/>
                <w:szCs w:val="20"/>
                <w:color w:val="auto"/>
              </w:rPr>
            </w:pPr>
            <w:r>
              <w:rPr>
                <w:rFonts w:ascii="Arial" w:cs="Arial" w:eastAsia="Arial" w:hAnsi="Arial"/>
                <w:sz w:val="18"/>
                <w:szCs w:val="18"/>
                <w:b w:val="1"/>
                <w:bCs w:val="1"/>
                <w:i w:val="1"/>
                <w:iCs w:val="1"/>
                <w:color w:val="auto"/>
              </w:rPr>
              <w:t>"Lead Arranger"</w:t>
            </w:r>
            <w:r>
              <w:rPr>
                <w:rFonts w:ascii="Arial" w:cs="Arial" w:eastAsia="Arial" w:hAnsi="Arial"/>
                <w:sz w:val="18"/>
                <w:szCs w:val="18"/>
                <w:color w:val="auto"/>
              </w:rPr>
              <w:t>).</w:t>
            </w:r>
          </w:p>
        </w:tc>
      </w:tr>
      <w:tr>
        <w:trPr>
          <w:trHeight w:val="459"/>
        </w:trPr>
        <w:tc>
          <w:tcPr>
            <w:tcW w:w="3860" w:type="dxa"/>
            <w:vAlign w:val="bottom"/>
          </w:tcPr>
          <w:p>
            <w:pPr>
              <w:ind w:left="580"/>
              <w:spacing w:after="0"/>
              <w:rPr>
                <w:sz w:val="20"/>
                <w:szCs w:val="20"/>
                <w:color w:val="auto"/>
              </w:rPr>
            </w:pPr>
            <w:r>
              <w:rPr>
                <w:rFonts w:ascii="Arial" w:cs="Arial" w:eastAsia="Arial" w:hAnsi="Arial"/>
                <w:sz w:val="18"/>
                <w:szCs w:val="18"/>
                <w:b w:val="1"/>
                <w:bCs w:val="1"/>
                <w:color w:val="auto"/>
              </w:rPr>
              <w:t>Arrangers</w:t>
            </w:r>
          </w:p>
        </w:tc>
        <w:tc>
          <w:tcPr>
            <w:tcW w:w="7560" w:type="dxa"/>
            <w:vAlign w:val="bottom"/>
          </w:tcPr>
          <w:p>
            <w:pPr>
              <w:ind w:left="940"/>
              <w:spacing w:after="0"/>
              <w:rPr>
                <w:sz w:val="20"/>
                <w:szCs w:val="20"/>
                <w:color w:val="auto"/>
              </w:rPr>
            </w:pPr>
            <w:r>
              <w:rPr>
                <w:rFonts w:ascii="Arial" w:cs="Arial" w:eastAsia="Arial" w:hAnsi="Arial"/>
                <w:sz w:val="18"/>
                <w:szCs w:val="18"/>
                <w:color w:val="auto"/>
                <w:w w:val="96"/>
              </w:rPr>
              <w:t xml:space="preserve">The Lead Arrangers and Bear, Stearns &amp; Co. Inc. (in such capacity, the </w:t>
            </w:r>
            <w:r>
              <w:rPr>
                <w:rFonts w:ascii="Arial" w:cs="Arial" w:eastAsia="Arial" w:hAnsi="Arial"/>
                <w:sz w:val="18"/>
                <w:szCs w:val="18"/>
                <w:b w:val="1"/>
                <w:bCs w:val="1"/>
                <w:i w:val="1"/>
                <w:iCs w:val="1"/>
                <w:color w:val="auto"/>
                <w:w w:val="96"/>
              </w:rPr>
              <w:t>"Arrangers"</w:t>
            </w:r>
            <w:r>
              <w:rPr>
                <w:rFonts w:ascii="Arial" w:cs="Arial" w:eastAsia="Arial" w:hAnsi="Arial"/>
                <w:sz w:val="18"/>
                <w:szCs w:val="18"/>
                <w:color w:val="auto"/>
                <w:w w:val="96"/>
              </w:rPr>
              <w:t>).</w:t>
            </w:r>
          </w:p>
        </w:tc>
      </w:tr>
      <w:tr>
        <w:trPr>
          <w:trHeight w:val="453"/>
        </w:trPr>
        <w:tc>
          <w:tcPr>
            <w:tcW w:w="3860" w:type="dxa"/>
            <w:vAlign w:val="bottom"/>
          </w:tcPr>
          <w:p>
            <w:pPr>
              <w:ind w:left="580"/>
              <w:spacing w:after="0"/>
              <w:rPr>
                <w:sz w:val="20"/>
                <w:szCs w:val="20"/>
                <w:color w:val="auto"/>
              </w:rPr>
            </w:pPr>
            <w:r>
              <w:rPr>
                <w:rFonts w:ascii="Arial" w:cs="Arial" w:eastAsia="Arial" w:hAnsi="Arial"/>
                <w:sz w:val="18"/>
                <w:szCs w:val="18"/>
                <w:b w:val="1"/>
                <w:bCs w:val="1"/>
                <w:color w:val="auto"/>
              </w:rPr>
              <w:t>Joint Book-Running Managers</w:t>
            </w:r>
          </w:p>
        </w:tc>
        <w:tc>
          <w:tcPr>
            <w:tcW w:w="7560" w:type="dxa"/>
            <w:vAlign w:val="bottom"/>
          </w:tcPr>
          <w:p>
            <w:pPr>
              <w:ind w:left="940"/>
              <w:spacing w:after="0"/>
              <w:rPr>
                <w:sz w:val="20"/>
                <w:szCs w:val="20"/>
                <w:color w:val="auto"/>
              </w:rPr>
            </w:pPr>
            <w:r>
              <w:rPr>
                <w:rFonts w:ascii="Arial" w:cs="Arial" w:eastAsia="Arial" w:hAnsi="Arial"/>
                <w:sz w:val="18"/>
                <w:szCs w:val="18"/>
                <w:color w:val="auto"/>
                <w:w w:val="89"/>
              </w:rPr>
              <w:t>Deutsche Bank Securities Inc., Banc of America Securities LLC and Bear, Stearns &amp; Co. Inc.</w:t>
            </w:r>
          </w:p>
        </w:tc>
      </w:tr>
      <w:tr>
        <w:trPr>
          <w:trHeight w:val="222"/>
        </w:trPr>
        <w:tc>
          <w:tcPr>
            <w:tcW w:w="3860" w:type="dxa"/>
            <w:vAlign w:val="bottom"/>
          </w:tcPr>
          <w:p>
            <w:pPr>
              <w:spacing w:after="0"/>
              <w:rPr>
                <w:sz w:val="19"/>
                <w:szCs w:val="19"/>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rPr>
              <w:t xml:space="preserve">(each, in such capacity, a </w:t>
            </w:r>
            <w:r>
              <w:rPr>
                <w:rFonts w:ascii="Arial" w:cs="Arial" w:eastAsia="Arial" w:hAnsi="Arial"/>
                <w:sz w:val="18"/>
                <w:szCs w:val="18"/>
                <w:b w:val="1"/>
                <w:bCs w:val="1"/>
                <w:i w:val="1"/>
                <w:iCs w:val="1"/>
                <w:color w:val="auto"/>
              </w:rPr>
              <w:t>"Book Running Managers"</w:t>
            </w:r>
            <w:r>
              <w:rPr>
                <w:rFonts w:ascii="Arial" w:cs="Arial" w:eastAsia="Arial" w:hAnsi="Arial"/>
                <w:sz w:val="18"/>
                <w:szCs w:val="18"/>
                <w:color w:val="auto"/>
              </w:rPr>
              <w:t>).</w:t>
            </w:r>
          </w:p>
        </w:tc>
      </w:tr>
      <w:tr>
        <w:trPr>
          <w:trHeight w:val="459"/>
        </w:trPr>
        <w:tc>
          <w:tcPr>
            <w:tcW w:w="3860" w:type="dxa"/>
            <w:vAlign w:val="bottom"/>
          </w:tcPr>
          <w:p>
            <w:pPr>
              <w:ind w:left="580"/>
              <w:spacing w:after="0"/>
              <w:rPr>
                <w:sz w:val="20"/>
                <w:szCs w:val="20"/>
                <w:color w:val="auto"/>
              </w:rPr>
            </w:pPr>
            <w:r>
              <w:rPr>
                <w:rFonts w:ascii="Arial" w:cs="Arial" w:eastAsia="Arial" w:hAnsi="Arial"/>
                <w:sz w:val="18"/>
                <w:szCs w:val="18"/>
                <w:b w:val="1"/>
                <w:bCs w:val="1"/>
                <w:color w:val="auto"/>
              </w:rPr>
              <w:t>Syndication Agent</w:t>
            </w:r>
          </w:p>
        </w:tc>
        <w:tc>
          <w:tcPr>
            <w:tcW w:w="7560" w:type="dxa"/>
            <w:vAlign w:val="bottom"/>
          </w:tcPr>
          <w:p>
            <w:pPr>
              <w:ind w:left="940"/>
              <w:spacing w:after="0"/>
              <w:rPr>
                <w:sz w:val="20"/>
                <w:szCs w:val="20"/>
                <w:color w:val="auto"/>
              </w:rPr>
            </w:pPr>
            <w:r>
              <w:rPr>
                <w:rFonts w:ascii="Arial" w:cs="Arial" w:eastAsia="Arial" w:hAnsi="Arial"/>
                <w:sz w:val="18"/>
                <w:szCs w:val="18"/>
                <w:color w:val="auto"/>
              </w:rPr>
              <w:t xml:space="preserve">Banc of America Securities LLC (in such capacity, the </w:t>
            </w:r>
            <w:r>
              <w:rPr>
                <w:rFonts w:ascii="Arial" w:cs="Arial" w:eastAsia="Arial" w:hAnsi="Arial"/>
                <w:sz w:val="18"/>
                <w:szCs w:val="18"/>
                <w:b w:val="1"/>
                <w:bCs w:val="1"/>
                <w:i w:val="1"/>
                <w:iCs w:val="1"/>
                <w:color w:val="auto"/>
              </w:rPr>
              <w:t>"Syndication Agent"</w:t>
            </w:r>
            <w:r>
              <w:rPr>
                <w:rFonts w:ascii="Arial" w:cs="Arial" w:eastAsia="Arial" w:hAnsi="Arial"/>
                <w:sz w:val="18"/>
                <w:szCs w:val="18"/>
                <w:color w:val="auto"/>
              </w:rPr>
              <w:t>).</w:t>
            </w:r>
          </w:p>
        </w:tc>
      </w:tr>
      <w:tr>
        <w:trPr>
          <w:trHeight w:val="459"/>
        </w:trPr>
        <w:tc>
          <w:tcPr>
            <w:tcW w:w="3860" w:type="dxa"/>
            <w:vAlign w:val="bottom"/>
          </w:tcPr>
          <w:p>
            <w:pPr>
              <w:ind w:left="580"/>
              <w:spacing w:after="0"/>
              <w:rPr>
                <w:sz w:val="20"/>
                <w:szCs w:val="20"/>
                <w:color w:val="auto"/>
              </w:rPr>
            </w:pPr>
            <w:r>
              <w:rPr>
                <w:rFonts w:ascii="Arial" w:cs="Arial" w:eastAsia="Arial" w:hAnsi="Arial"/>
                <w:sz w:val="18"/>
                <w:szCs w:val="18"/>
                <w:b w:val="1"/>
                <w:bCs w:val="1"/>
                <w:color w:val="auto"/>
              </w:rPr>
              <w:t>Administrative Agent</w:t>
            </w:r>
          </w:p>
        </w:tc>
        <w:tc>
          <w:tcPr>
            <w:tcW w:w="7560" w:type="dxa"/>
            <w:vAlign w:val="bottom"/>
          </w:tcPr>
          <w:p>
            <w:pPr>
              <w:ind w:left="940"/>
              <w:spacing w:after="0"/>
              <w:rPr>
                <w:sz w:val="20"/>
                <w:szCs w:val="20"/>
                <w:color w:val="auto"/>
              </w:rPr>
            </w:pPr>
            <w:r>
              <w:rPr>
                <w:rFonts w:ascii="Arial" w:cs="Arial" w:eastAsia="Arial" w:hAnsi="Arial"/>
                <w:sz w:val="18"/>
                <w:szCs w:val="18"/>
                <w:color w:val="auto"/>
                <w:w w:val="91"/>
              </w:rPr>
              <w:t xml:space="preserve">Deutsche Bank Trust Company Americas (in such capacity, the </w:t>
            </w:r>
            <w:r>
              <w:rPr>
                <w:rFonts w:ascii="Arial" w:cs="Arial" w:eastAsia="Arial" w:hAnsi="Arial"/>
                <w:sz w:val="18"/>
                <w:szCs w:val="18"/>
                <w:b w:val="1"/>
                <w:bCs w:val="1"/>
                <w:i w:val="1"/>
                <w:iCs w:val="1"/>
                <w:color w:val="auto"/>
                <w:w w:val="91"/>
              </w:rPr>
              <w:t>"Administrative Agent"</w:t>
            </w:r>
            <w:r>
              <w:rPr>
                <w:rFonts w:ascii="Arial" w:cs="Arial" w:eastAsia="Arial" w:hAnsi="Arial"/>
                <w:sz w:val="18"/>
                <w:szCs w:val="18"/>
                <w:color w:val="auto"/>
                <w:w w:val="91"/>
              </w:rPr>
              <w:t>).</w:t>
            </w:r>
          </w:p>
        </w:tc>
      </w:tr>
      <w:tr>
        <w:trPr>
          <w:trHeight w:val="459"/>
        </w:trPr>
        <w:tc>
          <w:tcPr>
            <w:tcW w:w="3860" w:type="dxa"/>
            <w:vAlign w:val="bottom"/>
          </w:tcPr>
          <w:p>
            <w:pPr>
              <w:ind w:left="580"/>
              <w:spacing w:after="0"/>
              <w:rPr>
                <w:sz w:val="20"/>
                <w:szCs w:val="20"/>
                <w:color w:val="auto"/>
              </w:rPr>
            </w:pPr>
            <w:r>
              <w:rPr>
                <w:rFonts w:ascii="Arial" w:cs="Arial" w:eastAsia="Arial" w:hAnsi="Arial"/>
                <w:sz w:val="18"/>
                <w:szCs w:val="18"/>
                <w:b w:val="1"/>
                <w:bCs w:val="1"/>
                <w:color w:val="auto"/>
              </w:rPr>
              <w:t>Documentation Agent</w:t>
            </w:r>
          </w:p>
        </w:tc>
        <w:tc>
          <w:tcPr>
            <w:tcW w:w="7560" w:type="dxa"/>
            <w:vAlign w:val="bottom"/>
          </w:tcPr>
          <w:p>
            <w:pPr>
              <w:ind w:left="940"/>
              <w:spacing w:after="0"/>
              <w:rPr>
                <w:sz w:val="20"/>
                <w:szCs w:val="20"/>
                <w:color w:val="auto"/>
              </w:rPr>
            </w:pPr>
            <w:r>
              <w:rPr>
                <w:rFonts w:ascii="Arial" w:cs="Arial" w:eastAsia="Arial" w:hAnsi="Arial"/>
                <w:sz w:val="18"/>
                <w:szCs w:val="18"/>
                <w:color w:val="auto"/>
                <w:w w:val="95"/>
              </w:rPr>
              <w:t xml:space="preserve">Bear Stearns Corporate Lending, Inc. (in such capacity, the </w:t>
            </w:r>
            <w:r>
              <w:rPr>
                <w:rFonts w:ascii="Arial" w:cs="Arial" w:eastAsia="Arial" w:hAnsi="Arial"/>
                <w:sz w:val="18"/>
                <w:szCs w:val="18"/>
                <w:b w:val="1"/>
                <w:bCs w:val="1"/>
                <w:i w:val="1"/>
                <w:iCs w:val="1"/>
                <w:color w:val="auto"/>
                <w:w w:val="95"/>
              </w:rPr>
              <w:t>"Documentation Agent"</w:t>
            </w:r>
            <w:r>
              <w:rPr>
                <w:rFonts w:ascii="Arial" w:cs="Arial" w:eastAsia="Arial" w:hAnsi="Arial"/>
                <w:sz w:val="18"/>
                <w:szCs w:val="18"/>
                <w:color w:val="auto"/>
                <w:w w:val="95"/>
              </w:rPr>
              <w:t>).</w:t>
            </w:r>
          </w:p>
        </w:tc>
      </w:tr>
      <w:tr>
        <w:trPr>
          <w:trHeight w:val="459"/>
        </w:trPr>
        <w:tc>
          <w:tcPr>
            <w:tcW w:w="3860" w:type="dxa"/>
            <w:vAlign w:val="bottom"/>
          </w:tcPr>
          <w:p>
            <w:pPr>
              <w:ind w:left="580"/>
              <w:spacing w:after="0"/>
              <w:rPr>
                <w:sz w:val="20"/>
                <w:szCs w:val="20"/>
                <w:color w:val="auto"/>
              </w:rPr>
            </w:pPr>
            <w:r>
              <w:rPr>
                <w:rFonts w:ascii="Arial" w:cs="Arial" w:eastAsia="Arial" w:hAnsi="Arial"/>
                <w:sz w:val="18"/>
                <w:szCs w:val="18"/>
                <w:b w:val="1"/>
                <w:bCs w:val="1"/>
                <w:color w:val="auto"/>
              </w:rPr>
              <w:t>Disbursement Agent</w:t>
            </w:r>
          </w:p>
        </w:tc>
        <w:tc>
          <w:tcPr>
            <w:tcW w:w="7560" w:type="dxa"/>
            <w:vAlign w:val="bottom"/>
          </w:tcPr>
          <w:p>
            <w:pPr>
              <w:ind w:left="940"/>
              <w:spacing w:after="0"/>
              <w:rPr>
                <w:sz w:val="20"/>
                <w:szCs w:val="20"/>
                <w:color w:val="auto"/>
              </w:rPr>
            </w:pPr>
            <w:r>
              <w:rPr>
                <w:rFonts w:ascii="Arial" w:cs="Arial" w:eastAsia="Arial" w:hAnsi="Arial"/>
                <w:sz w:val="18"/>
                <w:szCs w:val="18"/>
                <w:color w:val="auto"/>
              </w:rPr>
              <w:t xml:space="preserve">An affiliate of the Administrative Agent (the </w:t>
            </w:r>
            <w:r>
              <w:rPr>
                <w:rFonts w:ascii="Arial" w:cs="Arial" w:eastAsia="Arial" w:hAnsi="Arial"/>
                <w:sz w:val="18"/>
                <w:szCs w:val="18"/>
                <w:b w:val="1"/>
                <w:bCs w:val="1"/>
                <w:i w:val="1"/>
                <w:iCs w:val="1"/>
                <w:color w:val="auto"/>
              </w:rPr>
              <w:t>"Disbursement Agent"</w:t>
            </w:r>
            <w:r>
              <w:rPr>
                <w:rFonts w:ascii="Arial" w:cs="Arial" w:eastAsia="Arial" w:hAnsi="Arial"/>
                <w:sz w:val="18"/>
                <w:szCs w:val="18"/>
                <w:color w:val="auto"/>
              </w:rPr>
              <w:t>).</w:t>
            </w:r>
          </w:p>
        </w:tc>
      </w:tr>
      <w:tr>
        <w:trPr>
          <w:trHeight w:val="453"/>
        </w:trPr>
        <w:tc>
          <w:tcPr>
            <w:tcW w:w="3860" w:type="dxa"/>
            <w:vAlign w:val="bottom"/>
          </w:tcPr>
          <w:p>
            <w:pPr>
              <w:ind w:left="580"/>
              <w:spacing w:after="0"/>
              <w:rPr>
                <w:sz w:val="20"/>
                <w:szCs w:val="20"/>
                <w:color w:val="auto"/>
              </w:rPr>
            </w:pPr>
            <w:r>
              <w:rPr>
                <w:rFonts w:ascii="Arial" w:cs="Arial" w:eastAsia="Arial" w:hAnsi="Arial"/>
                <w:sz w:val="18"/>
                <w:szCs w:val="18"/>
                <w:b w:val="1"/>
                <w:bCs w:val="1"/>
                <w:color w:val="auto"/>
              </w:rPr>
              <w:t>Senior Lenders</w:t>
            </w:r>
          </w:p>
        </w:tc>
        <w:tc>
          <w:tcPr>
            <w:tcW w:w="7560" w:type="dxa"/>
            <w:vAlign w:val="bottom"/>
          </w:tcPr>
          <w:p>
            <w:pPr>
              <w:ind w:left="940"/>
              <w:spacing w:after="0"/>
              <w:rPr>
                <w:sz w:val="20"/>
                <w:szCs w:val="20"/>
                <w:color w:val="auto"/>
              </w:rPr>
            </w:pPr>
            <w:r>
              <w:rPr>
                <w:rFonts w:ascii="Arial" w:cs="Arial" w:eastAsia="Arial" w:hAnsi="Arial"/>
                <w:sz w:val="18"/>
                <w:szCs w:val="18"/>
                <w:color w:val="auto"/>
                <w:w w:val="95"/>
              </w:rPr>
              <w:t>A syndicate of banks, financial institutions and other entities arranged by the Arrangers</w:t>
            </w:r>
          </w:p>
        </w:tc>
      </w:tr>
      <w:tr>
        <w:trPr>
          <w:trHeight w:val="222"/>
        </w:trPr>
        <w:tc>
          <w:tcPr>
            <w:tcW w:w="3860" w:type="dxa"/>
            <w:vAlign w:val="bottom"/>
          </w:tcPr>
          <w:p>
            <w:pPr>
              <w:spacing w:after="0"/>
              <w:rPr>
                <w:sz w:val="19"/>
                <w:szCs w:val="19"/>
                <w:color w:val="auto"/>
              </w:rPr>
            </w:pPr>
          </w:p>
        </w:tc>
        <w:tc>
          <w:tcPr>
            <w:tcW w:w="7560" w:type="dxa"/>
            <w:vAlign w:val="bottom"/>
          </w:tcPr>
          <w:p>
            <w:pPr>
              <w:ind w:left="940"/>
              <w:spacing w:after="0"/>
              <w:rPr>
                <w:sz w:val="20"/>
                <w:szCs w:val="20"/>
                <w:color w:val="auto"/>
              </w:rPr>
            </w:pPr>
            <w:r>
              <w:rPr>
                <w:rFonts w:ascii="Arial" w:cs="Arial" w:eastAsia="Arial" w:hAnsi="Arial"/>
                <w:sz w:val="18"/>
                <w:szCs w:val="18"/>
                <w:color w:val="auto"/>
              </w:rPr>
              <w:t xml:space="preserve">(collectively, the </w:t>
            </w:r>
            <w:r>
              <w:rPr>
                <w:rFonts w:ascii="Arial" w:cs="Arial" w:eastAsia="Arial" w:hAnsi="Arial"/>
                <w:sz w:val="18"/>
                <w:szCs w:val="18"/>
                <w:b w:val="1"/>
                <w:bCs w:val="1"/>
                <w:i w:val="1"/>
                <w:iCs w:val="1"/>
                <w:color w:val="auto"/>
              </w:rPr>
              <w:t>"Senior Lenders"</w:t>
            </w:r>
            <w:r>
              <w:rPr>
                <w:rFonts w:ascii="Arial" w:cs="Arial" w:eastAsia="Arial" w:hAnsi="Arial"/>
                <w:sz w:val="18"/>
                <w:szCs w:val="18"/>
                <w:color w:val="auto"/>
              </w:rPr>
              <w:t>).</w:t>
            </w:r>
          </w:p>
        </w:tc>
      </w:tr>
      <w:tr>
        <w:trPr>
          <w:trHeight w:val="459"/>
        </w:trPr>
        <w:tc>
          <w:tcPr>
            <w:tcW w:w="3860" w:type="dxa"/>
            <w:vAlign w:val="bottom"/>
          </w:tcPr>
          <w:p>
            <w:pPr>
              <w:ind w:left="580"/>
              <w:spacing w:after="0"/>
              <w:rPr>
                <w:sz w:val="20"/>
                <w:szCs w:val="20"/>
                <w:color w:val="auto"/>
              </w:rPr>
            </w:pPr>
            <w:r>
              <w:rPr>
                <w:rFonts w:ascii="Arial" w:cs="Arial" w:eastAsia="Arial" w:hAnsi="Arial"/>
                <w:sz w:val="18"/>
                <w:szCs w:val="18"/>
                <w:b w:val="1"/>
                <w:bCs w:val="1"/>
                <w:color w:val="auto"/>
              </w:rPr>
              <w:t>Closing Date</w:t>
            </w:r>
          </w:p>
        </w:tc>
        <w:tc>
          <w:tcPr>
            <w:tcW w:w="7560" w:type="dxa"/>
            <w:vAlign w:val="bottom"/>
          </w:tcPr>
          <w:p>
            <w:pPr>
              <w:ind w:left="940"/>
              <w:spacing w:after="0"/>
              <w:rPr>
                <w:sz w:val="20"/>
                <w:szCs w:val="20"/>
                <w:color w:val="auto"/>
              </w:rPr>
            </w:pPr>
            <w:r>
              <w:rPr>
                <w:rFonts w:ascii="Arial" w:cs="Arial" w:eastAsia="Arial" w:hAnsi="Arial"/>
                <w:sz w:val="18"/>
                <w:szCs w:val="18"/>
                <w:color w:val="auto"/>
              </w:rPr>
              <w:t>Expected to be on or around July 31, 2002.</w:t>
            </w:r>
          </w:p>
        </w:tc>
      </w:tr>
      <w:tr>
        <w:trPr>
          <w:trHeight w:val="891"/>
        </w:trPr>
        <w:tc>
          <w:tcPr>
            <w:tcW w:w="3860" w:type="dxa"/>
            <w:vAlign w:val="bottom"/>
          </w:tcPr>
          <w:p>
            <w:pPr>
              <w:spacing w:after="0"/>
              <w:rPr>
                <w:sz w:val="24"/>
                <w:szCs w:val="24"/>
                <w:color w:val="auto"/>
              </w:rPr>
            </w:pPr>
          </w:p>
        </w:tc>
        <w:tc>
          <w:tcPr>
            <w:tcW w:w="7560" w:type="dxa"/>
            <w:vAlign w:val="bottom"/>
          </w:tcPr>
          <w:p>
            <w:pPr>
              <w:ind w:left="1760"/>
              <w:spacing w:after="0"/>
              <w:rPr>
                <w:sz w:val="20"/>
                <w:szCs w:val="20"/>
                <w:color w:val="auto"/>
              </w:rPr>
            </w:pPr>
            <w:r>
              <w:rPr>
                <w:rFonts w:ascii="Arial" w:cs="Arial" w:eastAsia="Arial" w:hAnsi="Arial"/>
                <w:sz w:val="18"/>
                <w:szCs w:val="18"/>
                <w:color w:val="auto"/>
              </w:rPr>
              <w:t>13</w:t>
            </w:r>
          </w:p>
        </w:tc>
      </w:tr>
      <w:tr>
        <w:trPr>
          <w:trHeight w:val="228"/>
        </w:trPr>
        <w:tc>
          <w:tcPr>
            <w:tcW w:w="3860" w:type="dxa"/>
            <w:vAlign w:val="bottom"/>
            <w:tcBorders>
              <w:bottom w:val="single" w:sz="8" w:color="808080"/>
            </w:tcBorders>
          </w:tcPr>
          <w:p>
            <w:pPr>
              <w:spacing w:after="0"/>
              <w:rPr>
                <w:sz w:val="19"/>
                <w:szCs w:val="19"/>
                <w:color w:val="auto"/>
              </w:rPr>
            </w:pPr>
          </w:p>
        </w:tc>
        <w:tc>
          <w:tcPr>
            <w:tcW w:w="7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5" w:orient="portrait"/>
          <w:cols w:equalWidth="0" w:num="1">
            <w:col w:w="11420"/>
          </w:cols>
          <w:pgMar w:left="240" w:top="125" w:right="239" w:bottom="0" w:gutter="0" w:footer="0" w:header="0"/>
        </w:sectPr>
      </w:pPr>
    </w:p>
    <w:p>
      <w:pPr>
        <w:spacing w:after="0" w:line="340" w:lineRule="exact"/>
        <w:rPr>
          <w:sz w:val="20"/>
          <w:szCs w:val="20"/>
          <w:color w:val="auto"/>
        </w:rPr>
      </w:pPr>
    </w:p>
    <w:p>
      <w:pPr>
        <w:ind w:left="580" w:right="660" w:hanging="572"/>
        <w:spacing w:after="0" w:line="649" w:lineRule="auto"/>
        <w:tabs>
          <w:tab w:leader="none" w:pos="580" w:val="left"/>
        </w:tabs>
        <w:numPr>
          <w:ilvl w:val="0"/>
          <w:numId w:val="29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Types and Amounts of Credit Facilities </w:t>
      </w:r>
      <w:r>
        <w:rPr>
          <w:rFonts w:ascii="Arial" w:cs="Arial" w:eastAsia="Arial" w:hAnsi="Arial"/>
          <w:sz w:val="16"/>
          <w:szCs w:val="16"/>
          <w:b w:val="1"/>
          <w:bCs w:val="1"/>
          <w:color w:val="auto"/>
        </w:rPr>
        <w:t>Senior Term Loan Facility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Purpose</w:t>
      </w:r>
    </w:p>
    <w:p>
      <w:pPr>
        <w:spacing w:after="0" w:line="200" w:lineRule="exact"/>
        <w:rPr>
          <w:sz w:val="20"/>
          <w:szCs w:val="20"/>
          <w:color w:val="auto"/>
        </w:rPr>
      </w:pPr>
    </w:p>
    <w:p>
      <w:pPr>
        <w:spacing w:after="0" w:line="23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Revolving Credit Facility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Availability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Letters of Credit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A seven-year term loan facility (the </w:t>
      </w:r>
      <w:r>
        <w:rPr>
          <w:rFonts w:ascii="Arial" w:cs="Arial" w:eastAsia="Arial" w:hAnsi="Arial"/>
          <w:sz w:val="16"/>
          <w:szCs w:val="16"/>
          <w:b w:val="1"/>
          <w:bCs w:val="1"/>
          <w:i w:val="1"/>
          <w:iCs w:val="1"/>
          <w:color w:val="auto"/>
        </w:rPr>
        <w:t>"Term Loan Facility"</w:t>
      </w:r>
      <w:r>
        <w:rPr>
          <w:rFonts w:ascii="Arial" w:cs="Arial" w:eastAsia="Arial" w:hAnsi="Arial"/>
          <w:sz w:val="16"/>
          <w:szCs w:val="16"/>
          <w:color w:val="auto"/>
        </w:rPr>
        <w:t xml:space="preserve">) in an aggregate principal amount equal to $250.0 million (the loans thereunder, the </w:t>
      </w:r>
      <w:r>
        <w:rPr>
          <w:rFonts w:ascii="Arial" w:cs="Arial" w:eastAsia="Arial" w:hAnsi="Arial"/>
          <w:sz w:val="16"/>
          <w:szCs w:val="16"/>
          <w:b w:val="1"/>
          <w:bCs w:val="1"/>
          <w:i w:val="1"/>
          <w:iCs w:val="1"/>
          <w:color w:val="auto"/>
        </w:rPr>
        <w:t>"Term Loans"</w:t>
      </w:r>
      <w:r>
        <w:rPr>
          <w:rFonts w:ascii="Arial" w:cs="Arial" w:eastAsia="Arial" w:hAnsi="Arial"/>
          <w:sz w:val="16"/>
          <w:szCs w:val="16"/>
          <w:color w:val="auto"/>
        </w:rPr>
        <w:t>). Prior to the Completion Date, there will be no amortization of the Term Loans. From and after the Completion Date, the Term Loans shall be repayable in quarterly installments in amounts to be agreed upon until the date that is seven years after the Closing Date.</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Term Loans shall be made in one or more drawings between the Closing Date and the second anniversary of the Closing Date (the </w:t>
      </w:r>
      <w:r>
        <w:rPr>
          <w:rFonts w:ascii="Arial" w:cs="Arial" w:eastAsia="Arial" w:hAnsi="Arial"/>
          <w:sz w:val="18"/>
          <w:szCs w:val="18"/>
          <w:b w:val="1"/>
          <w:bCs w:val="1"/>
          <w:i w:val="1"/>
          <w:iCs w:val="1"/>
          <w:color w:val="auto"/>
        </w:rPr>
        <w:t>"Term Loan Commitment Termination Date"</w:t>
      </w:r>
      <w:r>
        <w:rPr>
          <w:rFonts w:ascii="Arial" w:cs="Arial" w:eastAsia="Arial" w:hAnsi="Arial"/>
          <w:sz w:val="18"/>
          <w:szCs w:val="18"/>
          <w:color w:val="auto"/>
        </w:rPr>
        <w:t>). No more than one draw shall be permitted in any calendar month. No Term Loan once repaid may be reborrowed. The Term Loan commitment will expire on the Term Loan Commitment Termination Date.</w:t>
      </w:r>
    </w:p>
    <w:p>
      <w:pPr>
        <w:spacing w:after="0" w:line="197"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proceeds of the Term Loans shall be used to finance the development and construction of the Project, including pre-opening costs and expenses, and to pay related fees and expenses.</w:t>
      </w:r>
    </w:p>
    <w:p>
      <w:pPr>
        <w:spacing w:after="0" w:line="1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A six year revolving credit facility (the </w:t>
      </w:r>
      <w:r>
        <w:rPr>
          <w:rFonts w:ascii="Arial" w:cs="Arial" w:eastAsia="Arial" w:hAnsi="Arial"/>
          <w:sz w:val="16"/>
          <w:szCs w:val="16"/>
          <w:b w:val="1"/>
          <w:bCs w:val="1"/>
          <w:i w:val="1"/>
          <w:iCs w:val="1"/>
          <w:color w:val="auto"/>
        </w:rPr>
        <w:t>"Revolving Credit Facility"</w:t>
      </w:r>
      <w:r>
        <w:rPr>
          <w:rFonts w:ascii="Arial" w:cs="Arial" w:eastAsia="Arial" w:hAnsi="Arial"/>
          <w:sz w:val="16"/>
          <w:szCs w:val="16"/>
          <w:color w:val="auto"/>
        </w:rPr>
        <w:t xml:space="preserve"> and, together with the Term Loan Facility, the </w:t>
      </w:r>
      <w:r>
        <w:rPr>
          <w:rFonts w:ascii="Arial" w:cs="Arial" w:eastAsia="Arial" w:hAnsi="Arial"/>
          <w:sz w:val="16"/>
          <w:szCs w:val="16"/>
          <w:b w:val="1"/>
          <w:bCs w:val="1"/>
          <w:i w:val="1"/>
          <w:iCs w:val="1"/>
          <w:color w:val="auto"/>
        </w:rPr>
        <w:t>"Credit Facilities"</w:t>
      </w:r>
      <w:r>
        <w:rPr>
          <w:rFonts w:ascii="Arial" w:cs="Arial" w:eastAsia="Arial" w:hAnsi="Arial"/>
          <w:sz w:val="16"/>
          <w:szCs w:val="16"/>
          <w:color w:val="auto"/>
        </w:rPr>
        <w:t xml:space="preserve">) in an aggregate principal amount equal to $750.0 million (the loans thereunder, the </w:t>
      </w:r>
      <w:r>
        <w:rPr>
          <w:rFonts w:ascii="Arial" w:cs="Arial" w:eastAsia="Arial" w:hAnsi="Arial"/>
          <w:sz w:val="16"/>
          <w:szCs w:val="16"/>
          <w:b w:val="1"/>
          <w:bCs w:val="1"/>
          <w:i w:val="1"/>
          <w:iCs w:val="1"/>
          <w:color w:val="auto"/>
        </w:rPr>
        <w:t>"Revolving Credit Loans"</w:t>
      </w:r>
      <w:r>
        <w:rPr>
          <w:rFonts w:ascii="Arial" w:cs="Arial" w:eastAsia="Arial" w:hAnsi="Arial"/>
          <w:sz w:val="16"/>
          <w:szCs w:val="16"/>
          <w:color w:val="auto"/>
        </w:rPr>
        <w:t>).</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Revolving Credit Facility shall be available on a revolving basis during the period commencing on the Closing Date and ending on the sixth anniversary thereof (the </w:t>
      </w:r>
      <w:r>
        <w:rPr>
          <w:rFonts w:ascii="Arial" w:cs="Arial" w:eastAsia="Arial" w:hAnsi="Arial"/>
          <w:sz w:val="18"/>
          <w:szCs w:val="18"/>
          <w:b w:val="1"/>
          <w:bCs w:val="1"/>
          <w:i w:val="1"/>
          <w:iCs w:val="1"/>
          <w:color w:val="auto"/>
        </w:rPr>
        <w:t>"Revolving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Credit Termination Date"</w:t>
      </w:r>
      <w:r>
        <w:rPr>
          <w:rFonts w:ascii="Arial" w:cs="Arial" w:eastAsia="Arial" w:hAnsi="Arial"/>
          <w:sz w:val="18"/>
          <w:szCs w:val="18"/>
          <w:color w:val="auto"/>
        </w:rPr>
        <w:t>).</w:t>
      </w:r>
    </w:p>
    <w:p>
      <w:pPr>
        <w:spacing w:after="0" w:line="19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 xml:space="preserve">A portion of the Revolving Credit Facility not in excess of $25 million shall be available for the issuance of standby letters of credit (the </w:t>
      </w:r>
      <w:r>
        <w:rPr>
          <w:rFonts w:ascii="Arial" w:cs="Arial" w:eastAsia="Arial" w:hAnsi="Arial"/>
          <w:sz w:val="16"/>
          <w:szCs w:val="16"/>
          <w:b w:val="1"/>
          <w:bCs w:val="1"/>
          <w:i w:val="1"/>
          <w:iCs w:val="1"/>
          <w:color w:val="auto"/>
        </w:rPr>
        <w:t>"Letters of Credit"</w:t>
      </w:r>
      <w:r>
        <w:rPr>
          <w:rFonts w:ascii="Arial" w:cs="Arial" w:eastAsia="Arial" w:hAnsi="Arial"/>
          <w:sz w:val="16"/>
          <w:szCs w:val="16"/>
          <w:color w:val="auto"/>
        </w:rPr>
        <w:t>) by one or more Senior</w:t>
      </w:r>
    </w:p>
    <w:p>
      <w:pPr>
        <w:sectPr>
          <w:pgSz w:w="11900" w:h="16885" w:orient="portrait"/>
          <w:cols w:equalWidth="0" w:num="2">
            <w:col w:w="4080" w:space="720"/>
            <w:col w:w="6620"/>
          </w:cols>
          <w:pgMar w:left="240" w:top="125" w:right="239" w:bottom="0" w:gutter="0" w:footer="0" w:header="0"/>
          <w:type w:val="continuous"/>
        </w:sectPr>
      </w:pPr>
    </w:p>
    <w:bookmarkStart w:id="195" w:name="page196"/>
    <w:bookmarkEnd w:id="195"/>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88"/>
              </w:rPr>
              <w:t>Lenders to be selected in the syndication process (each such Senior Lender in such capacity,</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4"/>
              </w:rPr>
              <w:t xml:space="preserve">an </w:t>
            </w:r>
            <w:r>
              <w:rPr>
                <w:rFonts w:ascii="Arial" w:cs="Arial" w:eastAsia="Arial" w:hAnsi="Arial"/>
                <w:sz w:val="18"/>
                <w:szCs w:val="18"/>
                <w:b w:val="1"/>
                <w:bCs w:val="1"/>
                <w:i w:val="1"/>
                <w:iCs w:val="1"/>
                <w:color w:val="auto"/>
                <w:w w:val="94"/>
              </w:rPr>
              <w:t>"Issuing Lender"</w:t>
            </w:r>
            <w:r>
              <w:rPr>
                <w:rFonts w:ascii="Arial" w:cs="Arial" w:eastAsia="Arial" w:hAnsi="Arial"/>
                <w:sz w:val="18"/>
                <w:szCs w:val="18"/>
                <w:color w:val="auto"/>
                <w:w w:val="94"/>
              </w:rPr>
              <w:t>). The face amount of any outstanding Letters of Credit will reduce</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7"/>
              </w:rPr>
              <w:t>availability under the Revolving Credit Facility on a dollar-for-dollar basis. No Letter of</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0"/>
              </w:rPr>
              <w:t>Credit shall have an expiration date after the earlier of (i) one year after the date of issuance</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0"/>
              </w:rPr>
              <w:t>and (ii) five business days prior to the Revolving Credit Termination Date; provided that any</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0"/>
              </w:rPr>
              <w:t>Letter of Credit with a one-year tenor may provide for the renewal thereof for additional one-</w:t>
            </w:r>
          </w:p>
        </w:tc>
      </w:tr>
      <w:tr>
        <w:trPr>
          <w:trHeight w:val="222"/>
        </w:trPr>
        <w:tc>
          <w:tcPr>
            <w:tcW w:w="4040" w:type="dxa"/>
            <w:vAlign w:val="bottom"/>
          </w:tcPr>
          <w:p>
            <w:pPr>
              <w:spacing w:after="0"/>
              <w:rPr>
                <w:sz w:val="19"/>
                <w:szCs w:val="19"/>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89"/>
              </w:rPr>
              <w:t>year periods (which shall in no event extend beyond the date referred to in clause (ii) above).</w:t>
            </w:r>
          </w:p>
        </w:tc>
      </w:tr>
      <w:tr>
        <w:trPr>
          <w:trHeight w:val="426"/>
        </w:trPr>
        <w:tc>
          <w:tcPr>
            <w:tcW w:w="4040" w:type="dxa"/>
            <w:vAlign w:val="bottom"/>
          </w:tcPr>
          <w:p>
            <w:pPr>
              <w:spacing w:after="0"/>
              <w:rPr>
                <w:sz w:val="24"/>
                <w:szCs w:val="24"/>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2"/>
              </w:rPr>
              <w:t>Drawings under any Letter of Credit shall be reimbursed by the Company (whether with its</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89"/>
              </w:rPr>
              <w:t>own funds or with the proceeds of Revolving Credit Loans) on the same business day. To the</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88"/>
              </w:rPr>
              <w:t>extent that the Company does not so reimburse the Issuing Lender, the Senior Lenders under</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1"/>
              </w:rPr>
              <w:t>the Revolving Credit Facility shall be irrevocably and unconditionally obligated to reimburse</w:t>
            </w:r>
          </w:p>
        </w:tc>
      </w:tr>
      <w:tr>
        <w:trPr>
          <w:trHeight w:val="222"/>
        </w:trPr>
        <w:tc>
          <w:tcPr>
            <w:tcW w:w="4040" w:type="dxa"/>
            <w:vAlign w:val="bottom"/>
          </w:tcPr>
          <w:p>
            <w:pPr>
              <w:spacing w:after="0"/>
              <w:rPr>
                <w:sz w:val="19"/>
                <w:szCs w:val="19"/>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rPr>
              <w:t>the Issuing Lender on a pro rata basis.</w:t>
            </w:r>
          </w:p>
        </w:tc>
      </w:tr>
      <w:tr>
        <w:trPr>
          <w:trHeight w:val="891"/>
        </w:trPr>
        <w:tc>
          <w:tcPr>
            <w:tcW w:w="4040" w:type="dxa"/>
            <w:vAlign w:val="bottom"/>
          </w:tcPr>
          <w:p>
            <w:pPr>
              <w:spacing w:after="0"/>
              <w:rPr>
                <w:sz w:val="24"/>
                <w:szCs w:val="24"/>
                <w:color w:val="auto"/>
              </w:rPr>
            </w:pPr>
          </w:p>
        </w:tc>
        <w:tc>
          <w:tcPr>
            <w:tcW w:w="7380" w:type="dxa"/>
            <w:vAlign w:val="bottom"/>
          </w:tcPr>
          <w:p>
            <w:pPr>
              <w:ind w:left="1580"/>
              <w:spacing w:after="0"/>
              <w:rPr>
                <w:sz w:val="20"/>
                <w:szCs w:val="20"/>
                <w:color w:val="auto"/>
              </w:rPr>
            </w:pPr>
            <w:r>
              <w:rPr>
                <w:rFonts w:ascii="Arial" w:cs="Arial" w:eastAsia="Arial" w:hAnsi="Arial"/>
                <w:sz w:val="18"/>
                <w:szCs w:val="18"/>
                <w:color w:val="auto"/>
              </w:rPr>
              <w:t>14</w:t>
            </w:r>
          </w:p>
        </w:tc>
      </w:tr>
      <w:tr>
        <w:trPr>
          <w:trHeight w:val="228"/>
        </w:trPr>
        <w:tc>
          <w:tcPr>
            <w:tcW w:w="4040" w:type="dxa"/>
            <w:vAlign w:val="bottom"/>
            <w:tcBorders>
              <w:bottom w:val="single" w:sz="8" w:color="808080"/>
            </w:tcBorders>
          </w:tcPr>
          <w:p>
            <w:pPr>
              <w:spacing w:after="0"/>
              <w:rPr>
                <w:sz w:val="19"/>
                <w:szCs w:val="19"/>
                <w:color w:val="auto"/>
              </w:rPr>
            </w:pPr>
          </w:p>
        </w:tc>
        <w:tc>
          <w:tcPr>
            <w:tcW w:w="7380" w:type="dxa"/>
            <w:vAlign w:val="bottom"/>
            <w:tcBorders>
              <w:bottom w:val="single" w:sz="8" w:color="808080"/>
            </w:tcBorders>
          </w:tcPr>
          <w:p>
            <w:pPr>
              <w:spacing w:after="0"/>
              <w:rPr>
                <w:sz w:val="19"/>
                <w:szCs w:val="19"/>
                <w:color w:val="auto"/>
              </w:rPr>
            </w:pPr>
          </w:p>
        </w:tc>
      </w:tr>
      <w:tr>
        <w:trPr>
          <w:trHeight w:val="529"/>
        </w:trPr>
        <w:tc>
          <w:tcPr>
            <w:tcW w:w="4040" w:type="dxa"/>
            <w:vAlign w:val="bottom"/>
          </w:tcPr>
          <w:p>
            <w:pPr>
              <w:ind w:left="760"/>
              <w:spacing w:after="0"/>
              <w:rPr>
                <w:sz w:val="20"/>
                <w:szCs w:val="20"/>
                <w:color w:val="auto"/>
              </w:rPr>
            </w:pPr>
            <w:r>
              <w:rPr>
                <w:rFonts w:ascii="Arial" w:cs="Arial" w:eastAsia="Arial" w:hAnsi="Arial"/>
                <w:sz w:val="18"/>
                <w:szCs w:val="18"/>
                <w:i w:val="1"/>
                <w:iCs w:val="1"/>
                <w:color w:val="auto"/>
              </w:rPr>
              <w:t>Swing Line Loans</w:t>
            </w:r>
          </w:p>
        </w:tc>
        <w:tc>
          <w:tcPr>
            <w:tcW w:w="7380" w:type="dxa"/>
            <w:vAlign w:val="bottom"/>
          </w:tcPr>
          <w:p>
            <w:pPr>
              <w:ind w:left="760"/>
              <w:spacing w:after="0"/>
              <w:rPr>
                <w:sz w:val="20"/>
                <w:szCs w:val="20"/>
                <w:color w:val="auto"/>
              </w:rPr>
            </w:pPr>
            <w:r>
              <w:rPr>
                <w:rFonts w:ascii="Arial" w:cs="Arial" w:eastAsia="Arial" w:hAnsi="Arial"/>
                <w:sz w:val="18"/>
                <w:szCs w:val="18"/>
                <w:color w:val="auto"/>
                <w:w w:val="97"/>
              </w:rPr>
              <w:t>From and after substantial completion of the Project, a portion of the Revolving Credit</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1"/>
              </w:rPr>
              <w:t xml:space="preserve">Facility not in excess of $10 million shall be available for swing line loans (the </w:t>
            </w:r>
            <w:r>
              <w:rPr>
                <w:rFonts w:ascii="Arial" w:cs="Arial" w:eastAsia="Arial" w:hAnsi="Arial"/>
                <w:sz w:val="18"/>
                <w:szCs w:val="18"/>
                <w:b w:val="1"/>
                <w:bCs w:val="1"/>
                <w:i w:val="1"/>
                <w:iCs w:val="1"/>
                <w:color w:val="auto"/>
                <w:w w:val="91"/>
              </w:rPr>
              <w:t>"Swing Line</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b w:val="1"/>
                <w:bCs w:val="1"/>
                <w:i w:val="1"/>
                <w:iCs w:val="1"/>
                <w:color w:val="auto"/>
                <w:w w:val="94"/>
              </w:rPr>
              <w:t>Loans"</w:t>
            </w:r>
            <w:r>
              <w:rPr>
                <w:rFonts w:ascii="Arial" w:cs="Arial" w:eastAsia="Arial" w:hAnsi="Arial"/>
                <w:sz w:val="18"/>
                <w:szCs w:val="18"/>
                <w:color w:val="auto"/>
                <w:w w:val="94"/>
              </w:rPr>
              <w:t>) from the Administrative Agent (in such capacity, the</w:t>
            </w:r>
            <w:r>
              <w:rPr>
                <w:rFonts w:ascii="Arial" w:cs="Arial" w:eastAsia="Arial" w:hAnsi="Arial"/>
                <w:sz w:val="18"/>
                <w:szCs w:val="18"/>
                <w:b w:val="1"/>
                <w:bCs w:val="1"/>
                <w:i w:val="1"/>
                <w:iCs w:val="1"/>
                <w:color w:val="auto"/>
                <w:w w:val="94"/>
              </w:rPr>
              <w:t xml:space="preserve"> "Swing Line Lender"</w:t>
            </w:r>
            <w:r>
              <w:rPr>
                <w:rFonts w:ascii="Arial" w:cs="Arial" w:eastAsia="Arial" w:hAnsi="Arial"/>
                <w:sz w:val="18"/>
                <w:szCs w:val="18"/>
                <w:color w:val="auto"/>
                <w:w w:val="94"/>
              </w:rPr>
              <w:t>) on</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3"/>
              </w:rPr>
              <w:t>same-day notice. Any such Swing Line Loans will reduce availability under the Revolving</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3"/>
              </w:rPr>
              <w:t>Credit Facility on a dollar-for-dollar basis. Each Senior Lender under the Revolving Credit</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89"/>
              </w:rPr>
              <w:t>Facility shall acquire, under certain circumstances, an irrevocable and unconditional pro rata</w:t>
            </w:r>
          </w:p>
        </w:tc>
      </w:tr>
      <w:tr>
        <w:trPr>
          <w:trHeight w:val="222"/>
        </w:trPr>
        <w:tc>
          <w:tcPr>
            <w:tcW w:w="4040" w:type="dxa"/>
            <w:vAlign w:val="bottom"/>
          </w:tcPr>
          <w:p>
            <w:pPr>
              <w:spacing w:after="0"/>
              <w:rPr>
                <w:sz w:val="19"/>
                <w:szCs w:val="19"/>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rPr>
              <w:t>participation in each Swing Line Loan.</w:t>
            </w:r>
          </w:p>
        </w:tc>
      </w:tr>
      <w:tr>
        <w:trPr>
          <w:trHeight w:val="426"/>
        </w:trPr>
        <w:tc>
          <w:tcPr>
            <w:tcW w:w="4040" w:type="dxa"/>
            <w:vAlign w:val="bottom"/>
          </w:tcPr>
          <w:p>
            <w:pPr>
              <w:ind w:left="760"/>
              <w:spacing w:after="0"/>
              <w:rPr>
                <w:sz w:val="20"/>
                <w:szCs w:val="20"/>
                <w:color w:val="auto"/>
              </w:rPr>
            </w:pPr>
            <w:r>
              <w:rPr>
                <w:rFonts w:ascii="Arial" w:cs="Arial" w:eastAsia="Arial" w:hAnsi="Arial"/>
                <w:sz w:val="18"/>
                <w:szCs w:val="18"/>
                <w:i w:val="1"/>
                <w:iCs w:val="1"/>
                <w:color w:val="auto"/>
              </w:rPr>
              <w:t>Optional Conversion to Term Loans</w:t>
            </w:r>
          </w:p>
        </w:tc>
        <w:tc>
          <w:tcPr>
            <w:tcW w:w="7380" w:type="dxa"/>
            <w:vAlign w:val="bottom"/>
          </w:tcPr>
          <w:p>
            <w:pPr>
              <w:ind w:left="760"/>
              <w:spacing w:after="0"/>
              <w:rPr>
                <w:sz w:val="20"/>
                <w:szCs w:val="20"/>
                <w:color w:val="auto"/>
              </w:rPr>
            </w:pPr>
            <w:r>
              <w:rPr>
                <w:rFonts w:ascii="Arial" w:cs="Arial" w:eastAsia="Arial" w:hAnsi="Arial"/>
                <w:sz w:val="18"/>
                <w:szCs w:val="18"/>
                <w:color w:val="auto"/>
                <w:w w:val="94"/>
              </w:rPr>
              <w:t>At such time as the total extensions of credit under the Revolving Credit Facility equal or</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1"/>
              </w:rPr>
              <w:t>exceed $200.0 million, the Arrangers (by majority decision) shall have the right, but not the</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rPr>
              <w:t>obligation, to convert between $100.0 million and $400.0 million of the outstanding</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6"/>
              </w:rPr>
              <w:t>Revolving Loans to Term Loans under the Term Loan Facility, on the same terms and</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88"/>
              </w:rPr>
              <w:t>conditions as the existing Term Loans or on such other terms and conditions as are otherwise</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87"/>
              </w:rPr>
              <w:t>acceptable to such Arrangers and agreed to by the Company. The amount so converted on the</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2"/>
              </w:rPr>
              <w:t>first such conversion shall be a minimum of $100.0 million and $25.0 million increments in</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88"/>
              </w:rPr>
              <w:t>excess thereof, and the amount so converted on the second and each subsequent conversion</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4"/>
              </w:rPr>
              <w:t>shall be a minimum of $50.0 million and $25.0 million increments in excess thereof. The</w:t>
            </w:r>
          </w:p>
        </w:tc>
      </w:tr>
      <w:tr>
        <w:trPr>
          <w:trHeight w:val="216"/>
        </w:trPr>
        <w:tc>
          <w:tcPr>
            <w:tcW w:w="4040" w:type="dxa"/>
            <w:vAlign w:val="bottom"/>
          </w:tcPr>
          <w:p>
            <w:pPr>
              <w:spacing w:after="0"/>
              <w:rPr>
                <w:sz w:val="18"/>
                <w:szCs w:val="18"/>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89"/>
              </w:rPr>
              <w:t>commitments under the Revolving Credit Facility will be permanently reduced by the amount</w:t>
            </w:r>
          </w:p>
        </w:tc>
      </w:tr>
      <w:tr>
        <w:trPr>
          <w:trHeight w:val="222"/>
        </w:trPr>
        <w:tc>
          <w:tcPr>
            <w:tcW w:w="4040" w:type="dxa"/>
            <w:vAlign w:val="bottom"/>
          </w:tcPr>
          <w:p>
            <w:pPr>
              <w:spacing w:after="0"/>
              <w:rPr>
                <w:sz w:val="19"/>
                <w:szCs w:val="19"/>
                <w:color w:val="auto"/>
              </w:rPr>
            </w:pPr>
          </w:p>
        </w:tc>
        <w:tc>
          <w:tcPr>
            <w:tcW w:w="7380" w:type="dxa"/>
            <w:vAlign w:val="bottom"/>
          </w:tcPr>
          <w:p>
            <w:pPr>
              <w:ind w:left="760"/>
              <w:spacing w:after="0"/>
              <w:rPr>
                <w:sz w:val="20"/>
                <w:szCs w:val="20"/>
                <w:color w:val="auto"/>
              </w:rPr>
            </w:pPr>
            <w:r>
              <w:rPr>
                <w:rFonts w:ascii="Arial" w:cs="Arial" w:eastAsia="Arial" w:hAnsi="Arial"/>
                <w:sz w:val="18"/>
                <w:szCs w:val="18"/>
                <w:color w:val="auto"/>
                <w:w w:val="91"/>
              </w:rPr>
              <w:t>of the Revolving Credit Loans converted into Term Loans in accordance with the foregoing.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-2823845</wp:posOffset>
            </wp:positionV>
            <wp:extent cx="1270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-2823845</wp:posOffset>
            </wp:positionV>
            <wp:extent cx="1270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Maturity</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b w:val="1"/>
          <w:bCs w:val="1"/>
          <w:i w:val="1"/>
          <w:iCs w:val="1"/>
          <w:color w:val="auto"/>
        </w:rPr>
        <w:t>Certain Payment Provisions</w:t>
      </w:r>
    </w:p>
    <w:p>
      <w:pPr>
        <w:spacing w:after="0" w:line="27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Fees and Interest Rates</w:t>
      </w:r>
    </w:p>
    <w:p>
      <w:pPr>
        <w:spacing w:after="0" w:line="252" w:lineRule="exact"/>
        <w:rPr>
          <w:sz w:val="20"/>
          <w:szCs w:val="20"/>
          <w:color w:val="auto"/>
        </w:rPr>
      </w:pPr>
    </w:p>
    <w:p>
      <w:pPr>
        <w:ind w:left="580" w:right="340"/>
        <w:spacing w:after="0" w:line="275" w:lineRule="auto"/>
        <w:rPr>
          <w:sz w:val="20"/>
          <w:szCs w:val="20"/>
          <w:color w:val="auto"/>
        </w:rPr>
      </w:pPr>
      <w:r>
        <w:rPr>
          <w:rFonts w:ascii="Arial" w:cs="Arial" w:eastAsia="Arial" w:hAnsi="Arial"/>
          <w:sz w:val="18"/>
          <w:szCs w:val="18"/>
          <w:b w:val="1"/>
          <w:bCs w:val="1"/>
          <w:color w:val="auto"/>
        </w:rPr>
        <w:t>Voluntary Prepayments and Commitment Reductions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Revolving Credit Termination Date.</w:t>
      </w:r>
    </w:p>
    <w:p>
      <w:pPr>
        <w:spacing w:after="0" w:line="2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proceeds of the Revolving Credit Loans shall be used to finance the development and construction of the Project, to pay related fees and expenses (including pre-opening costs and expenses) and, following the Completion Date, for general corporate purposes of the Company and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 set forth on Annex A-I.</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Loans may be prepaid in whole or in part (in minimum amounts and upon notice periods to be agreed upon), without premium or penalty;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Reserve Adjusted Eurodollar Loans that are prepaid on any day other than the last day of an interest period applicable thereto shall be accompanied by customary breakage costs. Voluntary prepayments of the Term Loans shall be applied ratably in accordance with the then outstanding amounts thereof and may not be reborrowed. To the extent any such payments or commitment reductions would be made prior to the Completion Date, the Project must satisfy the In Balance Requirement (as defined below).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146050</wp:posOffset>
            </wp:positionV>
            <wp:extent cx="7250430" cy="215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720"/>
            <w:col w:w="6620"/>
          </w:cols>
          <w:pgMar w:left="240" w:top="131" w:right="239" w:bottom="0" w:gutter="0" w:footer="0" w:header="0"/>
          <w:type w:val="continuous"/>
        </w:sectPr>
      </w:pPr>
    </w:p>
    <w:p>
      <w:pPr>
        <w:spacing w:after="0" w:line="397" w:lineRule="exact"/>
        <w:rPr>
          <w:sz w:val="20"/>
          <w:szCs w:val="20"/>
          <w:color w:val="auto"/>
        </w:rPr>
      </w:pPr>
    </w:p>
    <w:p>
      <w:pPr>
        <w:ind w:left="580"/>
        <w:spacing w:after="0"/>
        <w:tabs>
          <w:tab w:leader="none" w:pos="4780" w:val="left"/>
        </w:tabs>
        <w:rPr>
          <w:sz w:val="20"/>
          <w:szCs w:val="20"/>
          <w:color w:val="auto"/>
        </w:rPr>
      </w:pPr>
      <w:r>
        <w:rPr>
          <w:rFonts w:ascii="Arial" w:cs="Arial" w:eastAsia="Arial" w:hAnsi="Arial"/>
          <w:sz w:val="18"/>
          <w:szCs w:val="18"/>
          <w:b w:val="1"/>
          <w:bCs w:val="1"/>
          <w:color w:val="auto"/>
        </w:rPr>
        <w:t>Mandatory Prepayments and Commitment</w:t>
      </w:r>
      <w:r>
        <w:rPr>
          <w:sz w:val="20"/>
          <w:szCs w:val="20"/>
          <w:color w:val="auto"/>
        </w:rPr>
        <w:tab/>
      </w:r>
      <w:r>
        <w:rPr>
          <w:rFonts w:ascii="Arial" w:cs="Arial" w:eastAsia="Arial" w:hAnsi="Arial"/>
          <w:sz w:val="15"/>
          <w:szCs w:val="15"/>
          <w:color w:val="auto"/>
        </w:rPr>
        <w:t>The following amounts shall be applied to prepay the Term Loans and reduce the Revolving</w:t>
      </w:r>
    </w:p>
    <w:p>
      <w:pPr>
        <w:spacing w:after="0" w:line="21" w:lineRule="exact"/>
        <w:rPr>
          <w:sz w:val="20"/>
          <w:szCs w:val="20"/>
          <w:color w:val="auto"/>
        </w:rPr>
      </w:pPr>
    </w:p>
    <w:p>
      <w:pPr>
        <w:ind w:left="580"/>
        <w:spacing w:after="0"/>
        <w:tabs>
          <w:tab w:leader="none" w:pos="4780" w:val="left"/>
        </w:tabs>
        <w:rPr>
          <w:sz w:val="20"/>
          <w:szCs w:val="20"/>
          <w:color w:val="auto"/>
        </w:rPr>
      </w:pPr>
      <w:r>
        <w:rPr>
          <w:rFonts w:ascii="Arial" w:cs="Arial" w:eastAsia="Arial" w:hAnsi="Arial"/>
          <w:sz w:val="18"/>
          <w:szCs w:val="18"/>
          <w:b w:val="1"/>
          <w:bCs w:val="1"/>
          <w:color w:val="auto"/>
        </w:rPr>
        <w:t>Reductions</w:t>
      </w:r>
      <w:r>
        <w:rPr>
          <w:sz w:val="20"/>
          <w:szCs w:val="20"/>
          <w:color w:val="auto"/>
        </w:rPr>
        <w:tab/>
      </w:r>
      <w:r>
        <w:rPr>
          <w:rFonts w:ascii="Arial" w:cs="Arial" w:eastAsia="Arial" w:hAnsi="Arial"/>
          <w:sz w:val="18"/>
          <w:szCs w:val="18"/>
          <w:color w:val="auto"/>
        </w:rPr>
        <w:t>Credit Facility:</w:t>
      </w:r>
    </w:p>
    <w:p>
      <w:pPr>
        <w:spacing w:after="0" w:line="219" w:lineRule="exact"/>
        <w:rPr>
          <w:sz w:val="20"/>
          <w:szCs w:val="20"/>
          <w:color w:val="auto"/>
        </w:rPr>
      </w:pPr>
    </w:p>
    <w:p>
      <w:pPr>
        <w:ind w:left="4800" w:right="160"/>
        <w:spacing w:after="0" w:line="256" w:lineRule="auto"/>
        <w:rPr>
          <w:sz w:val="20"/>
          <w:szCs w:val="20"/>
          <w:color w:val="auto"/>
        </w:rPr>
      </w:pPr>
      <w:r>
        <w:rPr>
          <w:rFonts w:ascii="Arial" w:cs="Arial" w:eastAsia="Arial" w:hAnsi="Arial"/>
          <w:sz w:val="18"/>
          <w:szCs w:val="18"/>
          <w:color w:val="auto"/>
        </w:rPr>
        <w:t>(i) 100% of the net cash proceeds of any sale or issuance or incurrence of indebtedness by any Credit Party after the Closing Date, other than the incurrence of indebtedness under the FF&amp;E Facility, the Second Mortgage Notes and certain customary exceptions to be agreed upon;</w:t>
      </w:r>
    </w:p>
    <w:p>
      <w:pPr>
        <w:spacing w:after="0" w:line="197" w:lineRule="exact"/>
        <w:rPr>
          <w:sz w:val="20"/>
          <w:szCs w:val="20"/>
          <w:color w:val="auto"/>
        </w:rPr>
      </w:pPr>
    </w:p>
    <w:p>
      <w:pPr>
        <w:ind w:left="4800"/>
        <w:spacing w:after="0"/>
        <w:tabs>
          <w:tab w:leader="none" w:pos="51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5"/>
          <w:szCs w:val="15"/>
          <w:color w:val="auto"/>
        </w:rPr>
        <w:t>100% of the net cash proceeds from asset sales by the Credit Parties (or sale of the</w:t>
      </w:r>
    </w:p>
    <w:p>
      <w:pPr>
        <w:sectPr>
          <w:pgSz w:w="11900" w:h="16838" w:orient="portrait"/>
          <w:cols w:equalWidth="0" w:num="1">
            <w:col w:w="11420"/>
          </w:cols>
          <w:pgMar w:left="240" w:top="131" w:right="239" w:bottom="0" w:gutter="0" w:footer="0" w:header="0"/>
          <w:type w:val="continuous"/>
        </w:sectPr>
      </w:pPr>
    </w:p>
    <w:bookmarkStart w:id="196" w:name="page197"/>
    <w:bookmarkEnd w:id="196"/>
    <w:p>
      <w:pPr>
        <w:ind w:left="4800" w:right="340"/>
        <w:spacing w:after="0" w:line="332" w:lineRule="auto"/>
        <w:rPr>
          <w:sz w:val="20"/>
          <w:szCs w:val="20"/>
          <w:color w:val="auto"/>
        </w:rPr>
      </w:pPr>
      <w:r>
        <w:rPr>
          <w:rFonts w:ascii="Arial" w:cs="Arial" w:eastAsia="Arial" w:hAnsi="Arial"/>
          <w:sz w:val="16"/>
          <w:szCs w:val="16"/>
          <w:color w:val="auto"/>
        </w:rPr>
        <w:t>Phase II Land prior to release thereof from the collateral), subject to permitted releases of collateral, reinvestment rights and customary exceptions to be agreed upon;</w:t>
      </w:r>
    </w:p>
    <w:p>
      <w:pPr>
        <w:spacing w:after="0" w:line="139" w:lineRule="exact"/>
        <w:rPr>
          <w:sz w:val="20"/>
          <w:szCs w:val="20"/>
          <w:color w:val="auto"/>
        </w:rPr>
      </w:pPr>
    </w:p>
    <w:p>
      <w:pPr>
        <w:ind w:left="4800" w:right="100" w:firstLine="2"/>
        <w:spacing w:after="0" w:line="332" w:lineRule="auto"/>
        <w:tabs>
          <w:tab w:leader="none" w:pos="5239" w:val="left"/>
        </w:tabs>
        <w:numPr>
          <w:ilvl w:val="0"/>
          <w:numId w:val="300"/>
        </w:numPr>
        <w:rPr>
          <w:rFonts w:ascii="Arial" w:cs="Arial" w:eastAsia="Arial" w:hAnsi="Arial"/>
          <w:sz w:val="16"/>
          <w:szCs w:val="16"/>
          <w:color w:val="auto"/>
        </w:rPr>
      </w:pPr>
      <w:r>
        <w:rPr>
          <w:rFonts w:ascii="Arial" w:cs="Arial" w:eastAsia="Arial" w:hAnsi="Arial"/>
          <w:sz w:val="16"/>
          <w:szCs w:val="16"/>
          <w:color w:val="auto"/>
        </w:rPr>
        <w:t>certain equity proceeds in a percentage to be determined from an issuance of equity by the Credit Parties, subject to certain customary exceptions to be agreed upon;</w:t>
      </w:r>
    </w:p>
    <w:p>
      <w:pPr>
        <w:spacing w:after="0" w:line="139" w:lineRule="exact"/>
        <w:rPr>
          <w:rFonts w:ascii="Arial" w:cs="Arial" w:eastAsia="Arial" w:hAnsi="Arial"/>
          <w:sz w:val="16"/>
          <w:szCs w:val="16"/>
          <w:color w:val="auto"/>
        </w:rPr>
      </w:pPr>
    </w:p>
    <w:p>
      <w:pPr>
        <w:ind w:left="4800" w:right="340" w:firstLine="2"/>
        <w:spacing w:after="0" w:line="259" w:lineRule="auto"/>
        <w:tabs>
          <w:tab w:leader="none" w:pos="522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100% of insurance recovery or condemnation proceeds, net of expenses incurred to obtain such recovery or proceeds, subject to reinvestment rights and certain customary exceptions to be agreed upon; and</w:t>
      </w:r>
    </w:p>
    <w:p>
      <w:pPr>
        <w:spacing w:after="0" w:line="194" w:lineRule="exact"/>
        <w:rPr>
          <w:rFonts w:ascii="Arial" w:cs="Arial" w:eastAsia="Arial" w:hAnsi="Arial"/>
          <w:sz w:val="18"/>
          <w:szCs w:val="18"/>
          <w:color w:val="auto"/>
        </w:rPr>
      </w:pPr>
    </w:p>
    <w:p>
      <w:pPr>
        <w:ind w:left="4800" w:firstLine="2"/>
        <w:spacing w:after="0" w:line="291" w:lineRule="auto"/>
        <w:tabs>
          <w:tab w:leader="none" w:pos="51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75% of excess cash flow (to be defined in a mutually satisfactory manner) for each fiscal year of the Company (commencing with the fiscal year in which the Completion Date occurs), which percentage shall be reduced to 50% for each fiscal year during which the Company achieves a total debt to EBITDA Ratio of 3.5 to 1.0 or lower. Such prepayment shall be eliminated from and after such time as the Company achieves a total debt to EBITDA ratio of 2.5 to 1.00 for a given fiscal year.</w:t>
      </w:r>
    </w:p>
    <w:p>
      <w:pPr>
        <w:spacing w:after="0" w:line="174" w:lineRule="exact"/>
        <w:rPr>
          <w:sz w:val="20"/>
          <w:szCs w:val="20"/>
          <w:color w:val="auto"/>
        </w:rPr>
      </w:pPr>
    </w:p>
    <w:p>
      <w:pPr>
        <w:ind w:left="4800" w:right="80"/>
        <w:spacing w:after="0" w:line="256" w:lineRule="auto"/>
        <w:rPr>
          <w:sz w:val="20"/>
          <w:szCs w:val="20"/>
          <w:color w:val="auto"/>
        </w:rPr>
      </w:pPr>
      <w:r>
        <w:rPr>
          <w:rFonts w:ascii="Arial" w:cs="Arial" w:eastAsia="Arial" w:hAnsi="Arial"/>
          <w:sz w:val="18"/>
          <w:szCs w:val="18"/>
          <w:color w:val="auto"/>
        </w:rPr>
        <w:t xml:space="preserve">All such amounts shall be applied,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prepayment of the Term Loans and, </w:t>
      </w:r>
      <w:r>
        <w:rPr>
          <w:rFonts w:ascii="Arial" w:cs="Arial" w:eastAsia="Arial" w:hAnsi="Arial"/>
          <w:sz w:val="18"/>
          <w:szCs w:val="18"/>
          <w:i w:val="1"/>
          <w:iCs w:val="1"/>
          <w:color w:val="auto"/>
        </w:rPr>
        <w:t>second</w:t>
      </w:r>
      <w:r>
        <w:rPr>
          <w:rFonts w:ascii="Arial" w:cs="Arial" w:eastAsia="Arial" w:hAnsi="Arial"/>
          <w:sz w:val="18"/>
          <w:szCs w:val="18"/>
          <w:color w:val="auto"/>
        </w:rPr>
        <w:t>, to the permanent reduction of the Revolving Credit Facility. Each such prepayment of the Term Loans shall be applied ratably in accordance with the then outstanding amounts thereof and may not be reborrowed.</w:t>
      </w:r>
    </w:p>
    <w:p>
      <w:pPr>
        <w:spacing w:after="0" w:line="197" w:lineRule="exact"/>
        <w:rPr>
          <w:sz w:val="20"/>
          <w:szCs w:val="20"/>
          <w:color w:val="auto"/>
        </w:rPr>
      </w:pPr>
    </w:p>
    <w:p>
      <w:pPr>
        <w:spacing w:after="0"/>
        <w:tabs>
          <w:tab w:leader="none" w:pos="560" w:val="left"/>
          <w:tab w:leader="none" w:pos="478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8"/>
          <w:szCs w:val="18"/>
          <w:b w:val="1"/>
          <w:bCs w:val="1"/>
          <w:color w:val="auto"/>
        </w:rPr>
        <w:t>Collateral</w:t>
      </w:r>
      <w:r>
        <w:rPr>
          <w:sz w:val="20"/>
          <w:szCs w:val="20"/>
          <w:color w:val="auto"/>
        </w:rPr>
        <w:tab/>
      </w:r>
      <w:r>
        <w:rPr>
          <w:rFonts w:ascii="Arial" w:cs="Arial" w:eastAsia="Arial" w:hAnsi="Arial"/>
          <w:sz w:val="15"/>
          <w:szCs w:val="15"/>
          <w:color w:val="auto"/>
        </w:rPr>
        <w:t>The obligations of the Credit Parties in respect of the Credit Facilities shall be secured by:</w:t>
      </w:r>
    </w:p>
    <w:p>
      <w:pPr>
        <w:spacing w:after="0" w:line="252" w:lineRule="exact"/>
        <w:rPr>
          <w:sz w:val="20"/>
          <w:szCs w:val="20"/>
          <w:color w:val="auto"/>
        </w:rPr>
      </w:pPr>
    </w:p>
    <w:p>
      <w:pPr>
        <w:ind w:left="4800" w:firstLine="2"/>
        <w:spacing w:after="0" w:line="290" w:lineRule="auto"/>
        <w:tabs>
          <w:tab w:leader="none" w:pos="518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subject to compliance with applicable gaming laws, a first priority pledge of (i) all of the capital stock of the Company and Wynn, LLC, (ii) all of the capital stock owned by the Company and Wynn, LLC and (iii) subject to obtaining any necessary governmental approvals, all of the capital stock in Desert Inn Water Company and Desert Inn Improvement Company (collectively, the </w:t>
      </w:r>
      <w:r>
        <w:rPr>
          <w:rFonts w:ascii="Arial" w:cs="Arial" w:eastAsia="Arial" w:hAnsi="Arial"/>
          <w:sz w:val="16"/>
          <w:szCs w:val="16"/>
          <w:b w:val="1"/>
          <w:bCs w:val="1"/>
          <w:i w:val="1"/>
          <w:iCs w:val="1"/>
          <w:color w:val="auto"/>
        </w:rPr>
        <w:t>"Water Companies"</w:t>
      </w:r>
      <w:r>
        <w:rPr>
          <w:rFonts w:ascii="Arial" w:cs="Arial" w:eastAsia="Arial" w:hAnsi="Arial"/>
          <w:sz w:val="16"/>
          <w:szCs w:val="16"/>
          <w:color w:val="auto"/>
        </w:rPr>
        <w:t>) (it being understood that to the extent any of the foregoing pledges are prohibited by applicable laws, the relevant interests shall be subject to a negative pledge 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800" w:firstLine="2"/>
        <w:spacing w:after="0" w:line="283" w:lineRule="auto"/>
        <w:tabs>
          <w:tab w:leader="none" w:pos="518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mortgages or deeds of trust on all real property constituting the Project (including the adjacent parcel of land owned by Valvino (</w:t>
      </w:r>
      <w:r>
        <w:rPr>
          <w:rFonts w:ascii="Arial" w:cs="Arial" w:eastAsia="Arial" w:hAnsi="Arial"/>
          <w:sz w:val="16"/>
          <w:szCs w:val="16"/>
          <w:b w:val="1"/>
          <w:bCs w:val="1"/>
          <w:i w:val="1"/>
          <w:iCs w:val="1"/>
          <w:color w:val="auto"/>
        </w:rPr>
        <w:t>"Phase II Land"</w:t>
      </w:r>
      <w:r>
        <w:rPr>
          <w:rFonts w:ascii="Arial" w:cs="Arial" w:eastAsia="Arial" w:hAnsi="Arial"/>
          <w:sz w:val="16"/>
          <w:szCs w:val="16"/>
          <w:color w:val="auto"/>
        </w:rPr>
        <w:t>) and the land underlying the golf course) and the appurtenant rights necessary for the development, construction and operation of the Project including, without limitation, the water rights associated therewith and all the real property owned by the Water Companies (subject to regulatory approvals). The Credit Documents will permit release of (i) the golf course parcels from the collateral from and after the third anniversary of the Completion Date of the Project so long as at the time of such release (a) the Company has (both in actuality and on a pro forma basis without the golf course) a total debt to EBITDA ratio of 3.0 to 1.0 or less and (b) the Credit Facilities are and will continue to be (immediately after giving effect to the release) rated BB+ or higher by S&amp;P and Ba1 or higher by Moody's, (ii) portions of the golf course parcels in order to build residential or other non-gaming related developments thereon so long as (a) the Company shall have met the EBITDA targets set forth in the Closing Date projections for a full year after the Completion Date of the Project and (b) such development will not interfere with the use of the golf course or otherwise reasonably could be expected to impair the overall value of the Project, (iii) approximately 2 acres from the golf course to permit the construction of a home for Stephen A. Wynn so long as (a) Wynn, LLC receives (and contributes such funds to the Company) fair market value for such property and (b) such construction will not interfere with the use of the golf course or otherwise reasonably could be expected to impair the overall value of the Project and (iv) the Phase II Land from the collateral at such time as either (A) the Company shall have met the EBITDA targets set forth in the Closing Date projections for two consecutive calendar quarters after the Completion Date of the Project and a majority of the Senior Lenders agree to the release or (B) the Company shall have met the EBITDA targets set forth in the Closing Date projections for four consecutive calendar quarters after the Completion Date of the Project;</w:t>
      </w:r>
    </w:p>
    <w:p>
      <w:pPr>
        <w:spacing w:after="0" w:line="194" w:lineRule="exact"/>
        <w:rPr>
          <w:rFonts w:ascii="Arial" w:cs="Arial" w:eastAsia="Arial" w:hAnsi="Arial"/>
          <w:sz w:val="16"/>
          <w:szCs w:val="16"/>
          <w:color w:val="auto"/>
        </w:rPr>
      </w:pPr>
    </w:p>
    <w:p>
      <w:pPr>
        <w:ind w:left="5180" w:hanging="378"/>
        <w:spacing w:after="0"/>
        <w:tabs>
          <w:tab w:leader="none" w:pos="518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 perfected first priority security interest in substantially all tangible and intangible</w:t>
      </w:r>
    </w:p>
    <w:p>
      <w:pPr>
        <w:spacing w:after="0" w:line="38" w:lineRule="exact"/>
        <w:rPr>
          <w:rFonts w:ascii="Arial" w:cs="Arial" w:eastAsia="Arial" w:hAnsi="Arial"/>
          <w:sz w:val="16"/>
          <w:szCs w:val="16"/>
          <w:color w:val="auto"/>
        </w:rPr>
      </w:pPr>
    </w:p>
    <w:p>
      <w:pPr>
        <w:jc w:val="both"/>
        <w:ind w:left="4800" w:right="20"/>
        <w:spacing w:after="0" w:line="281" w:lineRule="auto"/>
        <w:rPr>
          <w:rFonts w:ascii="Arial" w:cs="Arial" w:eastAsia="Arial" w:hAnsi="Arial"/>
          <w:sz w:val="16"/>
          <w:szCs w:val="16"/>
          <w:color w:val="auto"/>
        </w:rPr>
      </w:pPr>
      <w:r>
        <w:rPr>
          <w:rFonts w:ascii="Arial" w:cs="Arial" w:eastAsia="Arial" w:hAnsi="Arial"/>
          <w:sz w:val="16"/>
          <w:szCs w:val="16"/>
          <w:color w:val="auto"/>
        </w:rPr>
        <w:t>assets of the Credit Parties, including, without limitation, all rights of the Credit Parties under all of the construction documents, but excluding (i) capital stock, except as provided in clause</w:t>
      </w:r>
    </w:p>
    <w:p>
      <w:pPr>
        <w:spacing w:after="0" w:line="1" w:lineRule="exact"/>
        <w:rPr>
          <w:rFonts w:ascii="Arial" w:cs="Arial" w:eastAsia="Arial" w:hAnsi="Arial"/>
          <w:sz w:val="16"/>
          <w:szCs w:val="16"/>
          <w:color w:val="auto"/>
        </w:rPr>
      </w:pPr>
    </w:p>
    <w:p>
      <w:pPr>
        <w:ind w:left="4800" w:right="80" w:firstLine="2"/>
        <w:spacing w:after="0" w:line="290" w:lineRule="auto"/>
        <w:tabs>
          <w:tab w:leader="none" w:pos="5049"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above, (ii) the furniture, fixtures and equipment financed with the FF&amp;E Facility, (iii) certain licenses to the extent security interests therein are not permitted by applicable law from time to time (which licenses shall be subject to a negative pledge agreement), and (iv) those assets as to which the Administrative Agent and the Syndication Agent shall determine in their sole discretion that the costs of obtaining such a security interest are excessive in relation to the value of the security to be afforded thereby; and</w:t>
      </w:r>
    </w:p>
    <w:p>
      <w:pPr>
        <w:sectPr>
          <w:pgSz w:w="11900" w:h="16838" w:orient="portrait"/>
          <w:cols w:equalWidth="0" w:num="1">
            <w:col w:w="11420"/>
          </w:cols>
          <w:pgMar w:left="240" w:top="131" w:right="239" w:bottom="351"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6"/>
              </w:rPr>
              <w:t>(4)  a perfected second priority security interest on all furniture, fixtures and equipment</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89"/>
              </w:rPr>
              <w:t>financed with the FF&amp;E Facility, other than those assets as to which the Administrative Agent</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0"/>
              </w:rPr>
              <w:t>and the Syndication Agent shall determine in their sole discretion that the costs of obtaining</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2"/>
              </w:rPr>
              <w:t>such a security interest are excessive in relation to the value of the security to be afforded</w:t>
            </w:r>
          </w:p>
        </w:tc>
      </w:tr>
      <w:tr>
        <w:trPr>
          <w:trHeight w:val="222"/>
        </w:trPr>
        <w:tc>
          <w:tcPr>
            <w:tcW w:w="4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rPr>
              <w:t>thereby.</w:t>
            </w:r>
          </w:p>
        </w:tc>
      </w:tr>
      <w:tr>
        <w:trPr>
          <w:trHeight w:val="459"/>
        </w:trPr>
        <w:tc>
          <w:tcPr>
            <w:tcW w:w="460" w:type="dxa"/>
            <w:vAlign w:val="bottom"/>
          </w:tcPr>
          <w:p>
            <w:pPr>
              <w:spacing w:after="0"/>
              <w:rPr>
                <w:sz w:val="20"/>
                <w:szCs w:val="20"/>
                <w:color w:val="auto"/>
              </w:rPr>
            </w:pPr>
            <w:r>
              <w:rPr>
                <w:rFonts w:ascii="Arial" w:cs="Arial" w:eastAsia="Arial" w:hAnsi="Arial"/>
                <w:sz w:val="18"/>
                <w:szCs w:val="18"/>
                <w:b w:val="1"/>
                <w:bCs w:val="1"/>
                <w:color w:val="auto"/>
              </w:rPr>
              <w:t>VI.</w:t>
            </w:r>
          </w:p>
        </w:tc>
        <w:tc>
          <w:tcPr>
            <w:tcW w:w="366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Certain Conditions</w:t>
            </w:r>
          </w:p>
        </w:tc>
        <w:tc>
          <w:tcPr>
            <w:tcW w:w="7300" w:type="dxa"/>
            <w:vAlign w:val="bottom"/>
          </w:tcPr>
          <w:p>
            <w:pPr>
              <w:spacing w:after="0"/>
              <w:rPr>
                <w:sz w:val="24"/>
                <w:szCs w:val="24"/>
                <w:color w:val="auto"/>
              </w:rPr>
            </w:pPr>
          </w:p>
        </w:tc>
      </w:tr>
      <w:tr>
        <w:trPr>
          <w:trHeight w:val="453"/>
        </w:trPr>
        <w:tc>
          <w:tcPr>
            <w:tcW w:w="4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Conditions to Closing</w:t>
            </w:r>
          </w:p>
        </w:tc>
        <w:tc>
          <w:tcPr>
            <w:tcW w:w="7300" w:type="dxa"/>
            <w:vAlign w:val="bottom"/>
          </w:tcPr>
          <w:p>
            <w:pPr>
              <w:ind w:left="680"/>
              <w:spacing w:after="0"/>
              <w:rPr>
                <w:sz w:val="20"/>
                <w:szCs w:val="20"/>
                <w:color w:val="auto"/>
              </w:rPr>
            </w:pPr>
            <w:r>
              <w:rPr>
                <w:rFonts w:ascii="Arial" w:cs="Arial" w:eastAsia="Arial" w:hAnsi="Arial"/>
                <w:sz w:val="18"/>
                <w:szCs w:val="18"/>
                <w:color w:val="auto"/>
                <w:w w:val="91"/>
              </w:rPr>
              <w:t>The closing of the Credit Facilities is subject to the conditions set forth on Exhibit B-I to the</w:t>
            </w:r>
          </w:p>
        </w:tc>
      </w:tr>
      <w:tr>
        <w:trPr>
          <w:trHeight w:val="222"/>
        </w:trPr>
        <w:tc>
          <w:tcPr>
            <w:tcW w:w="4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rPr>
              <w:t>Commitment Letter.</w:t>
            </w:r>
          </w:p>
        </w:tc>
      </w:tr>
      <w:tr>
        <w:trPr>
          <w:trHeight w:val="453"/>
        </w:trPr>
        <w:tc>
          <w:tcPr>
            <w:tcW w:w="4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Conditions to All Extensions of Credit</w:t>
            </w:r>
          </w:p>
        </w:tc>
        <w:tc>
          <w:tcPr>
            <w:tcW w:w="7300" w:type="dxa"/>
            <w:vAlign w:val="bottom"/>
          </w:tcPr>
          <w:p>
            <w:pPr>
              <w:ind w:left="680"/>
              <w:spacing w:after="0"/>
              <w:rPr>
                <w:sz w:val="20"/>
                <w:szCs w:val="20"/>
                <w:color w:val="auto"/>
              </w:rPr>
            </w:pPr>
            <w:r>
              <w:rPr>
                <w:rFonts w:ascii="Arial" w:cs="Arial" w:eastAsia="Arial" w:hAnsi="Arial"/>
                <w:sz w:val="18"/>
                <w:szCs w:val="18"/>
                <w:color w:val="auto"/>
                <w:w w:val="90"/>
              </w:rPr>
              <w:t>The making of each extension of credit shall be subject to the conditions set forth on Exhibit</w:t>
            </w:r>
          </w:p>
        </w:tc>
      </w:tr>
      <w:tr>
        <w:trPr>
          <w:trHeight w:val="222"/>
        </w:trPr>
        <w:tc>
          <w:tcPr>
            <w:tcW w:w="4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rPr>
              <w:t>B-II to the Commitment Letter.</w:t>
            </w:r>
          </w:p>
        </w:tc>
      </w:tr>
      <w:tr>
        <w:trPr>
          <w:trHeight w:val="459"/>
        </w:trPr>
        <w:tc>
          <w:tcPr>
            <w:tcW w:w="460" w:type="dxa"/>
            <w:vAlign w:val="bottom"/>
          </w:tcPr>
          <w:p>
            <w:pPr>
              <w:spacing w:after="0"/>
              <w:rPr>
                <w:sz w:val="20"/>
                <w:szCs w:val="20"/>
                <w:color w:val="auto"/>
              </w:rPr>
            </w:pPr>
            <w:r>
              <w:rPr>
                <w:rFonts w:ascii="Arial" w:cs="Arial" w:eastAsia="Arial" w:hAnsi="Arial"/>
                <w:sz w:val="18"/>
                <w:szCs w:val="18"/>
                <w:b w:val="1"/>
                <w:bCs w:val="1"/>
                <w:color w:val="auto"/>
              </w:rPr>
              <w:t>VII.</w:t>
            </w:r>
          </w:p>
        </w:tc>
        <w:tc>
          <w:tcPr>
            <w:tcW w:w="366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Certain Documentation</w:t>
            </w:r>
          </w:p>
        </w:tc>
        <w:tc>
          <w:tcPr>
            <w:tcW w:w="7300" w:type="dxa"/>
            <w:vAlign w:val="bottom"/>
          </w:tcPr>
          <w:p>
            <w:pPr>
              <w:spacing w:after="0"/>
              <w:rPr>
                <w:sz w:val="24"/>
                <w:szCs w:val="24"/>
                <w:color w:val="auto"/>
              </w:rPr>
            </w:pPr>
          </w:p>
        </w:tc>
      </w:tr>
      <w:tr>
        <w:trPr>
          <w:trHeight w:val="453"/>
        </w:trPr>
        <w:tc>
          <w:tcPr>
            <w:tcW w:w="4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Matters</w:t>
            </w:r>
          </w:p>
        </w:tc>
        <w:tc>
          <w:tcPr>
            <w:tcW w:w="7300" w:type="dxa"/>
            <w:vAlign w:val="bottom"/>
          </w:tcPr>
          <w:p>
            <w:pPr>
              <w:ind w:left="680"/>
              <w:spacing w:after="0"/>
              <w:rPr>
                <w:sz w:val="20"/>
                <w:szCs w:val="20"/>
                <w:color w:val="auto"/>
              </w:rPr>
            </w:pPr>
            <w:r>
              <w:rPr>
                <w:rFonts w:ascii="Arial" w:cs="Arial" w:eastAsia="Arial" w:hAnsi="Arial"/>
                <w:sz w:val="18"/>
                <w:szCs w:val="18"/>
                <w:color w:val="auto"/>
                <w:w w:val="89"/>
              </w:rPr>
              <w:t>The definitive financing documentation (including any Project Credit Support documentation)</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rPr>
              <w:t xml:space="preserve">with respect to the Credit Facilities (the </w:t>
            </w:r>
            <w:r>
              <w:rPr>
                <w:rFonts w:ascii="Arial" w:cs="Arial" w:eastAsia="Arial" w:hAnsi="Arial"/>
                <w:sz w:val="18"/>
                <w:szCs w:val="18"/>
                <w:b w:val="1"/>
                <w:bCs w:val="1"/>
                <w:i w:val="1"/>
                <w:iCs w:val="1"/>
                <w:color w:val="auto"/>
              </w:rPr>
              <w:t>"Credit Documentation"</w:t>
            </w:r>
            <w:r>
              <w:rPr>
                <w:rFonts w:ascii="Arial" w:cs="Arial" w:eastAsia="Arial" w:hAnsi="Arial"/>
                <w:sz w:val="18"/>
                <w:szCs w:val="18"/>
                <w:color w:val="auto"/>
              </w:rPr>
              <w:t>) shall contain</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89"/>
              </w:rPr>
              <w:t>representations, warranties, covenants and events of default customary for financings of this</w:t>
            </w:r>
          </w:p>
        </w:tc>
      </w:tr>
      <w:tr>
        <w:trPr>
          <w:trHeight w:val="222"/>
        </w:trPr>
        <w:tc>
          <w:tcPr>
            <w:tcW w:w="4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89"/>
              </w:rPr>
              <w:t>type and other terms deemed appropriate by the Senior Lenders, including, without limitation:</w:t>
            </w:r>
          </w:p>
        </w:tc>
      </w:tr>
      <w:tr>
        <w:trPr>
          <w:trHeight w:val="453"/>
        </w:trPr>
        <w:tc>
          <w:tcPr>
            <w:tcW w:w="4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Representations and Warranties</w:t>
            </w:r>
          </w:p>
        </w:tc>
        <w:tc>
          <w:tcPr>
            <w:tcW w:w="7300" w:type="dxa"/>
            <w:vAlign w:val="bottom"/>
          </w:tcPr>
          <w:p>
            <w:pPr>
              <w:ind w:left="680"/>
              <w:spacing w:after="0"/>
              <w:rPr>
                <w:sz w:val="20"/>
                <w:szCs w:val="20"/>
                <w:color w:val="auto"/>
              </w:rPr>
            </w:pPr>
            <w:r>
              <w:rPr>
                <w:rFonts w:ascii="Arial" w:cs="Arial" w:eastAsia="Arial" w:hAnsi="Arial"/>
                <w:sz w:val="18"/>
                <w:szCs w:val="18"/>
                <w:color w:val="auto"/>
                <w:w w:val="94"/>
              </w:rPr>
              <w:t>Financial statements (including pro forma financial statements); absence of undisclosed</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88"/>
              </w:rPr>
              <w:t>liabilities; no material adverse change; corporate existence; compliance with law; corporate or</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1"/>
              </w:rPr>
              <w:t>organizational power and authority; enforceability of Credit Documentation; no conflict with</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7"/>
              </w:rPr>
              <w:t>law or contractual obligations; no material litigation; no default; ownership of property;</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7"/>
              </w:rPr>
              <w:t>indebtedness; liens; intellectual property; taxes; Federal Reserve regulations; ERISA;</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rPr>
              <w:t>Investment Company Act; licenses; permits; franchises and regulatory approvals;</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88"/>
              </w:rPr>
              <w:t>subsidiaries; environmental matters; solvency; labor matters; accuracy of disclosure; creation,</w:t>
            </w:r>
          </w:p>
        </w:tc>
      </w:tr>
      <w:tr>
        <w:trPr>
          <w:trHeight w:val="222"/>
        </w:trPr>
        <w:tc>
          <w:tcPr>
            <w:tcW w:w="4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0"/>
              </w:rPr>
              <w:t>perfection and priority of security interests; and status of the Credit Facilities as senior debt.</w:t>
            </w:r>
          </w:p>
        </w:tc>
      </w:tr>
      <w:tr>
        <w:trPr>
          <w:trHeight w:val="453"/>
        </w:trPr>
        <w:tc>
          <w:tcPr>
            <w:tcW w:w="4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Affirmative Covenants</w:t>
            </w:r>
          </w:p>
        </w:tc>
        <w:tc>
          <w:tcPr>
            <w:tcW w:w="7300" w:type="dxa"/>
            <w:vAlign w:val="bottom"/>
          </w:tcPr>
          <w:p>
            <w:pPr>
              <w:ind w:left="680"/>
              <w:spacing w:after="0"/>
              <w:rPr>
                <w:sz w:val="20"/>
                <w:szCs w:val="20"/>
                <w:color w:val="auto"/>
              </w:rPr>
            </w:pPr>
            <w:r>
              <w:rPr>
                <w:rFonts w:ascii="Arial" w:cs="Arial" w:eastAsia="Arial" w:hAnsi="Arial"/>
                <w:sz w:val="18"/>
                <w:szCs w:val="18"/>
                <w:color w:val="auto"/>
                <w:w w:val="89"/>
              </w:rPr>
              <w:t>Delivery of financial statements, reports, accountants' letters, projections, officers' certificates</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7"/>
              </w:rPr>
              <w:t>and other information reasonably requested by the Senior Lenders; payment of other</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1"/>
              </w:rPr>
              <w:t>obligations; continuation of business and maintenance of existence and material rights and</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7"/>
              </w:rPr>
              <w:t>privileges; compliance with laws and material contractual obligations; maintenance of</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2"/>
              </w:rPr>
              <w:t>property and insurance; maintenance of books and records; right of the Senior Lenders to</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4"/>
              </w:rPr>
              <w:t>inspect property and books and records; notices of defaults, litigation and other material</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rPr>
              <w:t>events; compliance with environmental laws; further assurances (including, without</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2"/>
              </w:rPr>
              <w:t>limitation, with respect to security interests in after-acquired property); and maintenance of</w:t>
            </w:r>
          </w:p>
        </w:tc>
      </w:tr>
      <w:tr>
        <w:trPr>
          <w:trHeight w:val="222"/>
        </w:trPr>
        <w:tc>
          <w:tcPr>
            <w:tcW w:w="4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rPr>
              <w:t>interest rate and currency hedging agreements.</w:t>
            </w:r>
          </w:p>
        </w:tc>
      </w:tr>
      <w:tr>
        <w:trPr>
          <w:trHeight w:val="891"/>
        </w:trPr>
        <w:tc>
          <w:tcPr>
            <w:tcW w:w="4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300" w:type="dxa"/>
            <w:vAlign w:val="bottom"/>
          </w:tcPr>
          <w:p>
            <w:pPr>
              <w:ind w:left="1500"/>
              <w:spacing w:after="0"/>
              <w:rPr>
                <w:sz w:val="20"/>
                <w:szCs w:val="20"/>
                <w:color w:val="auto"/>
              </w:rPr>
            </w:pPr>
            <w:r>
              <w:rPr>
                <w:rFonts w:ascii="Arial" w:cs="Arial" w:eastAsia="Arial" w:hAnsi="Arial"/>
                <w:sz w:val="18"/>
                <w:szCs w:val="18"/>
                <w:color w:val="auto"/>
              </w:rPr>
              <w:t>18</w:t>
            </w:r>
          </w:p>
        </w:tc>
      </w:tr>
      <w:tr>
        <w:trPr>
          <w:trHeight w:val="228"/>
        </w:trPr>
        <w:tc>
          <w:tcPr>
            <w:tcW w:w="4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7300" w:type="dxa"/>
            <w:vAlign w:val="bottom"/>
            <w:tcBorders>
              <w:bottom w:val="single" w:sz="8" w:color="808080"/>
            </w:tcBorders>
          </w:tcPr>
          <w:p>
            <w:pPr>
              <w:spacing w:after="0"/>
              <w:rPr>
                <w:sz w:val="19"/>
                <w:szCs w:val="19"/>
                <w:color w:val="auto"/>
              </w:rPr>
            </w:pPr>
          </w:p>
        </w:tc>
      </w:tr>
      <w:tr>
        <w:trPr>
          <w:trHeight w:val="556"/>
        </w:trPr>
        <w:tc>
          <w:tcPr>
            <w:tcW w:w="4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Post-Opening Financial Covenants</w:t>
            </w:r>
          </w:p>
        </w:tc>
        <w:tc>
          <w:tcPr>
            <w:tcW w:w="7300" w:type="dxa"/>
            <w:vAlign w:val="bottom"/>
          </w:tcPr>
          <w:p>
            <w:pPr>
              <w:ind w:left="680"/>
              <w:spacing w:after="0"/>
              <w:rPr>
                <w:sz w:val="20"/>
                <w:szCs w:val="20"/>
                <w:color w:val="auto"/>
              </w:rPr>
            </w:pPr>
            <w:r>
              <w:rPr>
                <w:rFonts w:ascii="Arial" w:cs="Arial" w:eastAsia="Arial" w:hAnsi="Arial"/>
                <w:sz w:val="18"/>
                <w:szCs w:val="18"/>
                <w:color w:val="auto"/>
              </w:rPr>
              <w:t>Financial covenants typical of these types of facilities (including, without limitation,</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1"/>
              </w:rPr>
              <w:t>maximum total leverage, minimum fixed charge coverage, minimum EBITDA and minimum</w:t>
            </w:r>
          </w:p>
        </w:tc>
      </w:tr>
      <w:tr>
        <w:trPr>
          <w:trHeight w:val="222"/>
        </w:trPr>
        <w:tc>
          <w:tcPr>
            <w:tcW w:w="4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rPr>
              <w:t>net worth).</w:t>
            </w:r>
          </w:p>
        </w:tc>
      </w:tr>
      <w:tr>
        <w:trPr>
          <w:trHeight w:val="453"/>
        </w:trPr>
        <w:tc>
          <w:tcPr>
            <w:tcW w:w="4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Negative Covenants</w:t>
            </w:r>
          </w:p>
        </w:tc>
        <w:tc>
          <w:tcPr>
            <w:tcW w:w="7300" w:type="dxa"/>
            <w:vAlign w:val="bottom"/>
          </w:tcPr>
          <w:p>
            <w:pPr>
              <w:ind w:left="680"/>
              <w:spacing w:after="0"/>
              <w:rPr>
                <w:sz w:val="20"/>
                <w:szCs w:val="20"/>
                <w:color w:val="auto"/>
              </w:rPr>
            </w:pPr>
            <w:r>
              <w:rPr>
                <w:rFonts w:ascii="Arial" w:cs="Arial" w:eastAsia="Arial" w:hAnsi="Arial"/>
                <w:sz w:val="18"/>
                <w:szCs w:val="18"/>
                <w:color w:val="auto"/>
                <w:w w:val="97"/>
              </w:rPr>
              <w:t>Limitations on: indebtedness (including preferred stock); liens; guarantee obligations;</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88"/>
              </w:rPr>
              <w:t>mergers, consolidations, liquidations and dissolutions; purchases and sales of assets; leases;</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0"/>
              </w:rPr>
              <w:t>dividends and other payments in respect of capital stock; capital expenditures; investments,</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3"/>
              </w:rPr>
              <w:t>joint ventures, partnerships, loans and advances; optional payments and modifications of</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2"/>
              </w:rPr>
              <w:t>subordinated and other debt instruments; transactions with affiliates; sale and leasebacks;</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6"/>
              </w:rPr>
              <w:t>changes in fiscal year; negative pledge clauses; and changes in lines of business; and</w:t>
            </w:r>
          </w:p>
        </w:tc>
      </w:tr>
      <w:tr>
        <w:trPr>
          <w:trHeight w:val="222"/>
        </w:trPr>
        <w:tc>
          <w:tcPr>
            <w:tcW w:w="4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rPr>
              <w:t>restrictions on development of phase II of the Project on the Phase II Land.</w:t>
            </w:r>
          </w:p>
        </w:tc>
      </w:tr>
      <w:tr>
        <w:trPr>
          <w:trHeight w:val="453"/>
        </w:trPr>
        <w:tc>
          <w:tcPr>
            <w:tcW w:w="4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Events of Default</w:t>
            </w:r>
          </w:p>
        </w:tc>
        <w:tc>
          <w:tcPr>
            <w:tcW w:w="7300" w:type="dxa"/>
            <w:vAlign w:val="bottom"/>
          </w:tcPr>
          <w:p>
            <w:pPr>
              <w:ind w:left="680"/>
              <w:spacing w:after="0"/>
              <w:rPr>
                <w:sz w:val="20"/>
                <w:szCs w:val="20"/>
                <w:color w:val="auto"/>
              </w:rPr>
            </w:pPr>
            <w:r>
              <w:rPr>
                <w:rFonts w:ascii="Arial" w:cs="Arial" w:eastAsia="Arial" w:hAnsi="Arial"/>
                <w:sz w:val="18"/>
                <w:szCs w:val="18"/>
                <w:color w:val="auto"/>
                <w:w w:val="92"/>
              </w:rPr>
              <w:t>Nonpayment of principal, interest, fees or other amounts when due; material inaccuracy of</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7"/>
              </w:rPr>
              <w:t>representations and warranties; violation of covenants (subject, in the case of certain</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88"/>
              </w:rPr>
              <w:t>affirmative covenants, to a grace period to be agreed upon); cross-default; bankruptcy events;</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1"/>
              </w:rPr>
              <w:t>certain ERISA events; material judgments; actual or asserted invalidity of any guarantee or</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4"/>
              </w:rPr>
              <w:t>Project Credit Support or security document or security interest; a change of control (the</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2"/>
              </w:rPr>
              <w:t>definition of which is to be agreed); failure to hold required gaming licenses; and failure to</w:t>
            </w:r>
          </w:p>
        </w:tc>
      </w:tr>
      <w:tr>
        <w:trPr>
          <w:trHeight w:val="222"/>
        </w:trPr>
        <w:tc>
          <w:tcPr>
            <w:tcW w:w="4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rPr>
              <w:t xml:space="preserve">complete the Project by August 31, 2005 (the </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w:t>
            </w:r>
          </w:p>
        </w:tc>
      </w:tr>
      <w:tr>
        <w:trPr>
          <w:trHeight w:val="453"/>
        </w:trPr>
        <w:tc>
          <w:tcPr>
            <w:tcW w:w="460" w:type="dxa"/>
            <w:vAlign w:val="bottom"/>
          </w:tcPr>
          <w:p>
            <w:pPr>
              <w:spacing w:after="0"/>
              <w:rPr>
                <w:sz w:val="24"/>
                <w:szCs w:val="24"/>
                <w:color w:val="auto"/>
              </w:rPr>
            </w:pPr>
          </w:p>
        </w:tc>
        <w:tc>
          <w:tcPr>
            <w:tcW w:w="3660" w:type="dxa"/>
            <w:vAlign w:val="bottom"/>
          </w:tcPr>
          <w:p>
            <w:pPr>
              <w:ind w:left="120"/>
              <w:spacing w:after="0"/>
              <w:rPr>
                <w:sz w:val="20"/>
                <w:szCs w:val="20"/>
                <w:color w:val="auto"/>
              </w:rPr>
            </w:pPr>
            <w:r>
              <w:rPr>
                <w:rFonts w:ascii="Arial" w:cs="Arial" w:eastAsia="Arial" w:hAnsi="Arial"/>
                <w:sz w:val="18"/>
                <w:szCs w:val="18"/>
                <w:b w:val="1"/>
                <w:bCs w:val="1"/>
                <w:color w:val="auto"/>
              </w:rPr>
              <w:t>Voting</w:t>
            </w:r>
          </w:p>
        </w:tc>
        <w:tc>
          <w:tcPr>
            <w:tcW w:w="7300" w:type="dxa"/>
            <w:vAlign w:val="bottom"/>
          </w:tcPr>
          <w:p>
            <w:pPr>
              <w:ind w:left="680"/>
              <w:spacing w:after="0"/>
              <w:rPr>
                <w:sz w:val="20"/>
                <w:szCs w:val="20"/>
                <w:color w:val="auto"/>
              </w:rPr>
            </w:pPr>
            <w:r>
              <w:rPr>
                <w:rFonts w:ascii="Arial" w:cs="Arial" w:eastAsia="Arial" w:hAnsi="Arial"/>
                <w:sz w:val="18"/>
                <w:szCs w:val="18"/>
                <w:color w:val="auto"/>
                <w:w w:val="88"/>
              </w:rPr>
              <w:t>Amendments and waivers with respect to the Credit Documentation shall require the approval</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1"/>
              </w:rPr>
              <w:t>of Senior Lenders holding not less than a majority of the aggregate amount of Term Loans</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5"/>
              </w:rPr>
              <w:t>and Revolving Credit Loans including participations in Letters of Credit and Swing Line</w:t>
            </w:r>
          </w:p>
        </w:tc>
      </w:tr>
      <w:tr>
        <w:trPr>
          <w:trHeight w:val="216"/>
        </w:trPr>
        <w:tc>
          <w:tcPr>
            <w:tcW w:w="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89"/>
              </w:rPr>
              <w:t>Loans and unused commitments under the Credit Facilities, except that (i) with respect to the</w:t>
            </w:r>
          </w:p>
        </w:tc>
      </w:tr>
      <w:tr>
        <w:trPr>
          <w:trHeight w:val="222"/>
        </w:trPr>
        <w:tc>
          <w:tcPr>
            <w:tcW w:w="4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300" w:type="dxa"/>
            <w:vAlign w:val="bottom"/>
          </w:tcPr>
          <w:p>
            <w:pPr>
              <w:ind w:left="680"/>
              <w:spacing w:after="0"/>
              <w:rPr>
                <w:sz w:val="20"/>
                <w:szCs w:val="20"/>
                <w:color w:val="auto"/>
              </w:rPr>
            </w:pPr>
            <w:r>
              <w:rPr>
                <w:rFonts w:ascii="Arial" w:cs="Arial" w:eastAsia="Arial" w:hAnsi="Arial"/>
                <w:sz w:val="18"/>
                <w:szCs w:val="18"/>
                <w:color w:val="auto"/>
                <w:w w:val="90"/>
              </w:rPr>
              <w:t>following items (and with respect to any consents affecting only the Term Loan Lenders, 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-3715385</wp:posOffset>
            </wp:positionV>
            <wp:extent cx="1270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-3715385</wp:posOffset>
            </wp:positionV>
            <wp:extent cx="1270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1"/>
              </w:rPr>
              <w:t>as the case may be, Revolving Loan Lenders), such majority approval shall not be required</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5"/>
              </w:rPr>
              <w:t>and instead the consent of each Term Loan Lender or Revolving Credit Lender directly</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7"/>
              </w:rPr>
              <w:t>affected thereby shall be required: (a) extensions of the final maturity of any Loan, (b)</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87"/>
              </w:rPr>
              <w:t>reductions in the rate of interest or any fee or extensions of any due date thereof, (c) increases</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2"/>
              </w:rPr>
              <w:t>in the amount or extensions of the expiry date of any Senior Lender's commitment and (d)</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2"/>
              </w:rPr>
              <w:t>modifications to the pro rata provisions of the Credit Documentation and (ii) the consent of</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1"/>
              </w:rPr>
              <w:t>100% of the Senior Lenders shall be required with respect to (a) modifications to any of the</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4"/>
              </w:rPr>
              <w:t>voting percentages, (b) releases of significant Guarantors or all or substantially all of the</w:t>
            </w:r>
          </w:p>
        </w:tc>
      </w:tr>
      <w:tr>
        <w:trPr>
          <w:trHeight w:val="222"/>
        </w:trPr>
        <w:tc>
          <w:tcPr>
            <w:tcW w:w="3880" w:type="dxa"/>
            <w:vAlign w:val="bottom"/>
          </w:tcPr>
          <w:p>
            <w:pPr>
              <w:spacing w:after="0"/>
              <w:rPr>
                <w:sz w:val="19"/>
                <w:szCs w:val="19"/>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rPr>
              <w:t>collateral, and (c) other fundamental matters to be agreed upon.</w:t>
            </w:r>
          </w:p>
        </w:tc>
      </w:tr>
      <w:tr>
        <w:trPr>
          <w:trHeight w:val="891"/>
        </w:trPr>
        <w:tc>
          <w:tcPr>
            <w:tcW w:w="3880" w:type="dxa"/>
            <w:vAlign w:val="bottom"/>
          </w:tcPr>
          <w:p>
            <w:pPr>
              <w:spacing w:after="0"/>
              <w:rPr>
                <w:sz w:val="24"/>
                <w:szCs w:val="24"/>
                <w:color w:val="auto"/>
              </w:rPr>
            </w:pPr>
          </w:p>
        </w:tc>
        <w:tc>
          <w:tcPr>
            <w:tcW w:w="7540" w:type="dxa"/>
            <w:vAlign w:val="bottom"/>
          </w:tcPr>
          <w:p>
            <w:pPr>
              <w:ind w:left="1740"/>
              <w:spacing w:after="0"/>
              <w:rPr>
                <w:sz w:val="20"/>
                <w:szCs w:val="20"/>
                <w:color w:val="auto"/>
              </w:rPr>
            </w:pPr>
            <w:r>
              <w:rPr>
                <w:rFonts w:ascii="Arial" w:cs="Arial" w:eastAsia="Arial" w:hAnsi="Arial"/>
                <w:sz w:val="18"/>
                <w:szCs w:val="18"/>
                <w:color w:val="auto"/>
              </w:rPr>
              <w:t>19</w:t>
            </w:r>
          </w:p>
        </w:tc>
      </w:tr>
      <w:tr>
        <w:trPr>
          <w:trHeight w:val="228"/>
        </w:trPr>
        <w:tc>
          <w:tcPr>
            <w:tcW w:w="3880" w:type="dxa"/>
            <w:vAlign w:val="bottom"/>
            <w:tcBorders>
              <w:bottom w:val="single" w:sz="8" w:color="808080"/>
            </w:tcBorders>
          </w:tcPr>
          <w:p>
            <w:pPr>
              <w:spacing w:after="0"/>
              <w:rPr>
                <w:sz w:val="19"/>
                <w:szCs w:val="19"/>
                <w:color w:val="auto"/>
              </w:rPr>
            </w:pPr>
          </w:p>
        </w:tc>
        <w:tc>
          <w:tcPr>
            <w:tcW w:w="7540" w:type="dxa"/>
            <w:vAlign w:val="bottom"/>
            <w:tcBorders>
              <w:bottom w:val="single" w:sz="8" w:color="808080"/>
            </w:tcBorders>
          </w:tcPr>
          <w:p>
            <w:pPr>
              <w:spacing w:after="0"/>
              <w:rPr>
                <w:sz w:val="19"/>
                <w:szCs w:val="19"/>
                <w:color w:val="auto"/>
              </w:rPr>
            </w:pPr>
          </w:p>
        </w:tc>
      </w:tr>
      <w:tr>
        <w:trPr>
          <w:trHeight w:val="556"/>
        </w:trPr>
        <w:tc>
          <w:tcPr>
            <w:tcW w:w="3880" w:type="dxa"/>
            <w:vAlign w:val="bottom"/>
          </w:tcPr>
          <w:p>
            <w:pPr>
              <w:ind w:left="580"/>
              <w:spacing w:after="0"/>
              <w:rPr>
                <w:sz w:val="20"/>
                <w:szCs w:val="20"/>
                <w:color w:val="auto"/>
              </w:rPr>
            </w:pPr>
            <w:r>
              <w:rPr>
                <w:rFonts w:ascii="Arial" w:cs="Arial" w:eastAsia="Arial" w:hAnsi="Arial"/>
                <w:sz w:val="18"/>
                <w:szCs w:val="18"/>
                <w:b w:val="1"/>
                <w:bCs w:val="1"/>
                <w:color w:val="auto"/>
              </w:rPr>
              <w:t>Assignments and Participations</w:t>
            </w:r>
          </w:p>
        </w:tc>
        <w:tc>
          <w:tcPr>
            <w:tcW w:w="7540" w:type="dxa"/>
            <w:vAlign w:val="bottom"/>
          </w:tcPr>
          <w:p>
            <w:pPr>
              <w:ind w:left="920"/>
              <w:spacing w:after="0"/>
              <w:rPr>
                <w:sz w:val="20"/>
                <w:szCs w:val="20"/>
                <w:color w:val="auto"/>
              </w:rPr>
            </w:pPr>
            <w:r>
              <w:rPr>
                <w:rFonts w:ascii="Arial" w:cs="Arial" w:eastAsia="Arial" w:hAnsi="Arial"/>
                <w:sz w:val="18"/>
                <w:szCs w:val="18"/>
                <w:color w:val="auto"/>
                <w:w w:val="93"/>
              </w:rPr>
              <w:t>The Senior Lenders shall be permitted to assign and sell participations in their Loans and</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87"/>
              </w:rPr>
              <w:t>commitments, subject, in the case of assignments (other than assignments by a Senior Lender</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0"/>
              </w:rPr>
              <w:t>to another Senior Lender or to an affiliate of any Senior Lender (provided that if any funding</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2"/>
              </w:rPr>
              <w:t>obligations are assigned to an affiliate, such affiliate shall have demonstrable resources to</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2"/>
              </w:rPr>
              <w:t>comply with such obligations), of funded Term Loans, to the consent of the Administrative</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4"/>
              </w:rPr>
              <w:t>Agent, the Issuing Lender, the Swing Line Lender and so long as no Default or Event of</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87"/>
              </w:rPr>
              <w:t>Default has occurred and is continuing, the Company (which consent in each case shall not be</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1"/>
              </w:rPr>
              <w:t>unreasonably withheld). Non-pro rata assignments shall be permitted. In the case of partial</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1"/>
              </w:rPr>
              <w:t>assignments (other than to another Senior Lender or to an affiliate of a Senior Lender), the</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6"/>
              </w:rPr>
              <w:t>minimum assignment amount shall be $5.0 million (in the case of the Revolving Credit</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2"/>
              </w:rPr>
              <w:t>Facility) or $1.0 million (in the case of the Term Loan Facility) unless otherwise agreed by</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89"/>
              </w:rPr>
              <w:t>the Company and the Administrative Agent. Participants shall have the same benefits as the</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89"/>
              </w:rPr>
              <w:t>Senior Lenders with respect to yield protection and increased cost provisions. Voting rights of</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0"/>
              </w:rPr>
              <w:t>participants shall be limited to those matters with respect to which the affirmative vote of the</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89"/>
              </w:rPr>
              <w:t>Senior Lender from which it purchased its participation would be required as described under</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5"/>
              </w:rPr>
              <w:t>"Voting" above. Pledges of Loans to federal governmental agencies in accordance with</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0"/>
              </w:rPr>
              <w:t>applicable law shall be permitted without restriction. Promissory notes shall be issued under</w:t>
            </w:r>
          </w:p>
        </w:tc>
      </w:tr>
      <w:tr>
        <w:trPr>
          <w:trHeight w:val="222"/>
        </w:trPr>
        <w:tc>
          <w:tcPr>
            <w:tcW w:w="3880" w:type="dxa"/>
            <w:vAlign w:val="bottom"/>
          </w:tcPr>
          <w:p>
            <w:pPr>
              <w:spacing w:after="0"/>
              <w:rPr>
                <w:sz w:val="19"/>
                <w:szCs w:val="19"/>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rPr>
              <w:t>the Credit Facilities only upon request.</w:t>
            </w:r>
          </w:p>
        </w:tc>
      </w:tr>
      <w:tr>
        <w:trPr>
          <w:trHeight w:val="426"/>
        </w:trPr>
        <w:tc>
          <w:tcPr>
            <w:tcW w:w="3880" w:type="dxa"/>
            <w:vAlign w:val="bottom"/>
          </w:tcPr>
          <w:p>
            <w:pPr>
              <w:spacing w:after="0"/>
              <w:rPr>
                <w:sz w:val="24"/>
                <w:szCs w:val="24"/>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0"/>
              </w:rPr>
              <w:t>The Credit Facilities will provide for a mechanism which will allow each assignee to become</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2"/>
              </w:rPr>
              <w:t>a direct signatory to the Credit Facilities and will relieve the assigning Senior Lender of its</w:t>
            </w:r>
          </w:p>
        </w:tc>
      </w:tr>
      <w:tr>
        <w:trPr>
          <w:trHeight w:val="222"/>
        </w:trPr>
        <w:tc>
          <w:tcPr>
            <w:tcW w:w="3880" w:type="dxa"/>
            <w:vAlign w:val="bottom"/>
          </w:tcPr>
          <w:p>
            <w:pPr>
              <w:spacing w:after="0"/>
              <w:rPr>
                <w:sz w:val="19"/>
                <w:szCs w:val="19"/>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rPr>
              <w:t>obligations with respect to the assigned portion of its Loans and/or commitments.</w:t>
            </w:r>
          </w:p>
        </w:tc>
      </w:tr>
      <w:tr>
        <w:trPr>
          <w:trHeight w:val="453"/>
        </w:trPr>
        <w:tc>
          <w:tcPr>
            <w:tcW w:w="3880" w:type="dxa"/>
            <w:vAlign w:val="bottom"/>
          </w:tcPr>
          <w:p>
            <w:pPr>
              <w:ind w:left="580"/>
              <w:spacing w:after="0"/>
              <w:rPr>
                <w:sz w:val="20"/>
                <w:szCs w:val="20"/>
                <w:color w:val="auto"/>
              </w:rPr>
            </w:pPr>
            <w:r>
              <w:rPr>
                <w:rFonts w:ascii="Arial" w:cs="Arial" w:eastAsia="Arial" w:hAnsi="Arial"/>
                <w:sz w:val="18"/>
                <w:szCs w:val="18"/>
                <w:b w:val="1"/>
                <w:bCs w:val="1"/>
                <w:color w:val="auto"/>
              </w:rPr>
              <w:t>Yield Protection</w:t>
            </w:r>
          </w:p>
        </w:tc>
        <w:tc>
          <w:tcPr>
            <w:tcW w:w="7540" w:type="dxa"/>
            <w:vAlign w:val="bottom"/>
          </w:tcPr>
          <w:p>
            <w:pPr>
              <w:ind w:left="920"/>
              <w:spacing w:after="0"/>
              <w:rPr>
                <w:sz w:val="20"/>
                <w:szCs w:val="20"/>
                <w:color w:val="auto"/>
              </w:rPr>
            </w:pPr>
            <w:r>
              <w:rPr>
                <w:rFonts w:ascii="Arial" w:cs="Arial" w:eastAsia="Arial" w:hAnsi="Arial"/>
                <w:sz w:val="18"/>
                <w:szCs w:val="18"/>
                <w:color w:val="auto"/>
                <w:w w:val="96"/>
              </w:rPr>
              <w:t>The Credit Documentation shall contain customary provisions (i) protecting the Senior</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88"/>
              </w:rPr>
              <w:t>Lenders against increased costs or loss of yield resulting from changes after the effective date</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89"/>
              </w:rPr>
              <w:t>in reserve, tax, capital adequacy and other requirements of law and from the imposition of or</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0"/>
              </w:rPr>
              <w:t>changes in withholding or other taxes and (ii) indemnifying the Senior Lenders for "breakage</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7"/>
              </w:rPr>
              <w:t>costs" incurred in connection with, among other things, any prepayment of a Reserve</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3"/>
              </w:rPr>
              <w:t>Adjusted Eurodollar Loan (as defined in Annex A-I) on a day other than the last day of an</w:t>
            </w:r>
          </w:p>
        </w:tc>
      </w:tr>
      <w:tr>
        <w:trPr>
          <w:trHeight w:val="222"/>
        </w:trPr>
        <w:tc>
          <w:tcPr>
            <w:tcW w:w="3880" w:type="dxa"/>
            <w:vAlign w:val="bottom"/>
          </w:tcPr>
          <w:p>
            <w:pPr>
              <w:spacing w:after="0"/>
              <w:rPr>
                <w:sz w:val="19"/>
                <w:szCs w:val="19"/>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rPr>
              <w:t>interest period with respect thereto.</w:t>
            </w:r>
          </w:p>
        </w:tc>
      </w:tr>
      <w:tr>
        <w:trPr>
          <w:trHeight w:val="891"/>
        </w:trPr>
        <w:tc>
          <w:tcPr>
            <w:tcW w:w="3880" w:type="dxa"/>
            <w:vAlign w:val="bottom"/>
          </w:tcPr>
          <w:p>
            <w:pPr>
              <w:spacing w:after="0"/>
              <w:rPr>
                <w:sz w:val="24"/>
                <w:szCs w:val="24"/>
                <w:color w:val="auto"/>
              </w:rPr>
            </w:pPr>
          </w:p>
        </w:tc>
        <w:tc>
          <w:tcPr>
            <w:tcW w:w="7540" w:type="dxa"/>
            <w:vAlign w:val="bottom"/>
          </w:tcPr>
          <w:p>
            <w:pPr>
              <w:ind w:left="1740"/>
              <w:spacing w:after="0"/>
              <w:rPr>
                <w:sz w:val="20"/>
                <w:szCs w:val="20"/>
                <w:color w:val="auto"/>
              </w:rPr>
            </w:pPr>
            <w:r>
              <w:rPr>
                <w:rFonts w:ascii="Arial" w:cs="Arial" w:eastAsia="Arial" w:hAnsi="Arial"/>
                <w:sz w:val="18"/>
                <w:szCs w:val="18"/>
                <w:color w:val="auto"/>
              </w:rPr>
              <w:t>20</w:t>
            </w:r>
          </w:p>
        </w:tc>
      </w:tr>
      <w:tr>
        <w:trPr>
          <w:trHeight w:val="228"/>
        </w:trPr>
        <w:tc>
          <w:tcPr>
            <w:tcW w:w="3880" w:type="dxa"/>
            <w:vAlign w:val="bottom"/>
            <w:tcBorders>
              <w:bottom w:val="single" w:sz="8" w:color="808080"/>
            </w:tcBorders>
          </w:tcPr>
          <w:p>
            <w:pPr>
              <w:spacing w:after="0"/>
              <w:rPr>
                <w:sz w:val="19"/>
                <w:szCs w:val="19"/>
                <w:color w:val="auto"/>
              </w:rPr>
            </w:pPr>
          </w:p>
        </w:tc>
        <w:tc>
          <w:tcPr>
            <w:tcW w:w="7540" w:type="dxa"/>
            <w:vAlign w:val="bottom"/>
            <w:tcBorders>
              <w:bottom w:val="single" w:sz="8" w:color="808080"/>
            </w:tcBorders>
          </w:tcPr>
          <w:p>
            <w:pPr>
              <w:spacing w:after="0"/>
              <w:rPr>
                <w:sz w:val="19"/>
                <w:szCs w:val="19"/>
                <w:color w:val="auto"/>
              </w:rPr>
            </w:pPr>
          </w:p>
        </w:tc>
      </w:tr>
      <w:tr>
        <w:trPr>
          <w:trHeight w:val="556"/>
        </w:trPr>
        <w:tc>
          <w:tcPr>
            <w:tcW w:w="3880" w:type="dxa"/>
            <w:vAlign w:val="bottom"/>
          </w:tcPr>
          <w:p>
            <w:pPr>
              <w:ind w:left="580"/>
              <w:spacing w:after="0"/>
              <w:rPr>
                <w:sz w:val="20"/>
                <w:szCs w:val="20"/>
                <w:color w:val="auto"/>
              </w:rPr>
            </w:pPr>
            <w:r>
              <w:rPr>
                <w:rFonts w:ascii="Arial" w:cs="Arial" w:eastAsia="Arial" w:hAnsi="Arial"/>
                <w:sz w:val="18"/>
                <w:szCs w:val="18"/>
                <w:b w:val="1"/>
                <w:bCs w:val="1"/>
                <w:color w:val="auto"/>
              </w:rPr>
              <w:t>Expenses and Indemnification</w:t>
            </w:r>
          </w:p>
        </w:tc>
        <w:tc>
          <w:tcPr>
            <w:tcW w:w="7540" w:type="dxa"/>
            <w:vAlign w:val="bottom"/>
          </w:tcPr>
          <w:p>
            <w:pPr>
              <w:ind w:left="920"/>
              <w:spacing w:after="0"/>
              <w:rPr>
                <w:sz w:val="20"/>
                <w:szCs w:val="20"/>
                <w:color w:val="auto"/>
              </w:rPr>
            </w:pPr>
            <w:r>
              <w:rPr>
                <w:rFonts w:ascii="Arial" w:cs="Arial" w:eastAsia="Arial" w:hAnsi="Arial"/>
                <w:sz w:val="18"/>
                <w:szCs w:val="18"/>
                <w:color w:val="auto"/>
                <w:w w:val="97"/>
              </w:rPr>
              <w:t>The Company shall pay (i) all reasonable and itemized out-of-pocket expenses of the</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2"/>
              </w:rPr>
              <w:t>Administrative Agent, the Syndication Agent, the Arrangers, the Book Running Managers,</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4"/>
              </w:rPr>
              <w:t>the Documentation Agent and the Advisors associated with the syndication of the Credit</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5"/>
              </w:rPr>
              <w:t>Facilities and the preparation, negotiation, execution, delivery and administration of the</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88"/>
              </w:rPr>
              <w:t>Credit Documentation, including the payment of any fees and expenses to the Senior Lenders'</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4"/>
              </w:rPr>
              <w:t>Consultant (as defined in Exhibit B-1), and any amendment or waiver with respect to the</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2"/>
              </w:rPr>
              <w:t>Credit Documentation (including the reasonable fees, disbursements and other charges of</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4"/>
              </w:rPr>
              <w:t>counsel) and (ii) all out-of-pocket expenses of the Administrative Agent, the Syndication</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0"/>
              </w:rPr>
              <w:t>Agent, the Arrangers, the Advisors, the Book Running Managers, the Documentation Agent</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0"/>
              </w:rPr>
              <w:t>and the Senior Lenders (including the fees, disbursements and other charges of counsel) in</w:t>
            </w:r>
          </w:p>
        </w:tc>
      </w:tr>
      <w:tr>
        <w:trPr>
          <w:trHeight w:val="222"/>
        </w:trPr>
        <w:tc>
          <w:tcPr>
            <w:tcW w:w="3880" w:type="dxa"/>
            <w:vAlign w:val="bottom"/>
          </w:tcPr>
          <w:p>
            <w:pPr>
              <w:spacing w:after="0"/>
              <w:rPr>
                <w:sz w:val="19"/>
                <w:szCs w:val="19"/>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89"/>
              </w:rPr>
              <w:t>connection with the enforcement of the Credit Documentation following a default thereunder.</w:t>
            </w:r>
          </w:p>
        </w:tc>
      </w:tr>
      <w:tr>
        <w:trPr>
          <w:trHeight w:val="426"/>
        </w:trPr>
        <w:tc>
          <w:tcPr>
            <w:tcW w:w="3880" w:type="dxa"/>
            <w:vAlign w:val="bottom"/>
          </w:tcPr>
          <w:p>
            <w:pPr>
              <w:spacing w:after="0"/>
              <w:rPr>
                <w:sz w:val="24"/>
                <w:szCs w:val="24"/>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4"/>
              </w:rPr>
              <w:t>The Administrative Agent, the Syndication Agent, the Arrangers, the Advisors, the Book</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88"/>
              </w:rPr>
              <w:t>Running Managers, the Documentation Agent and the Senior Lenders (and their affiliates and</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0"/>
              </w:rPr>
              <w:t>their respective officers, directors, employees, advisors and agents) will have no liability for,</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88"/>
              </w:rPr>
              <w:t>and will be indemnified and held harmless against, any loss, liability, cost or expense incurred</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0"/>
              </w:rPr>
              <w:t>in respect of the financing contemplated hereby or the use or the proposed use of proceeds</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9"/>
              </w:rPr>
              <w:t>thereof (except to the extent found by a final, non-appealable judgment of a court of</w:t>
            </w:r>
          </w:p>
        </w:tc>
      </w:tr>
      <w:tr>
        <w:trPr>
          <w:trHeight w:val="216"/>
        </w:trPr>
        <w:tc>
          <w:tcPr>
            <w:tcW w:w="3880" w:type="dxa"/>
            <w:vAlign w:val="bottom"/>
          </w:tcPr>
          <w:p>
            <w:pPr>
              <w:spacing w:after="0"/>
              <w:rPr>
                <w:sz w:val="18"/>
                <w:szCs w:val="18"/>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89"/>
              </w:rPr>
              <w:t>competent jurisdiction to have resulted solely from the gross negligence or willful misconduct</w:t>
            </w:r>
          </w:p>
        </w:tc>
      </w:tr>
      <w:tr>
        <w:trPr>
          <w:trHeight w:val="222"/>
        </w:trPr>
        <w:tc>
          <w:tcPr>
            <w:tcW w:w="3880" w:type="dxa"/>
            <w:vAlign w:val="bottom"/>
          </w:tcPr>
          <w:p>
            <w:pPr>
              <w:spacing w:after="0"/>
              <w:rPr>
                <w:sz w:val="19"/>
                <w:szCs w:val="19"/>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rPr>
              <w:t>of the indemnified party).</w:t>
            </w:r>
          </w:p>
        </w:tc>
      </w:tr>
      <w:tr>
        <w:trPr>
          <w:trHeight w:val="453"/>
        </w:trPr>
        <w:tc>
          <w:tcPr>
            <w:tcW w:w="3880" w:type="dxa"/>
            <w:vAlign w:val="bottom"/>
          </w:tcPr>
          <w:p>
            <w:pPr>
              <w:ind w:left="580"/>
              <w:spacing w:after="0"/>
              <w:rPr>
                <w:sz w:val="20"/>
                <w:szCs w:val="20"/>
                <w:color w:val="auto"/>
              </w:rPr>
            </w:pPr>
            <w:r>
              <w:rPr>
                <w:rFonts w:ascii="Arial" w:cs="Arial" w:eastAsia="Arial" w:hAnsi="Arial"/>
                <w:sz w:val="18"/>
                <w:szCs w:val="18"/>
                <w:b w:val="1"/>
                <w:bCs w:val="1"/>
                <w:color w:val="auto"/>
              </w:rPr>
              <w:t>Governing Law and Forum</w:t>
            </w:r>
          </w:p>
        </w:tc>
        <w:tc>
          <w:tcPr>
            <w:tcW w:w="7540" w:type="dxa"/>
            <w:vAlign w:val="bottom"/>
          </w:tcPr>
          <w:p>
            <w:pPr>
              <w:ind w:left="920"/>
              <w:spacing w:after="0"/>
              <w:rPr>
                <w:sz w:val="20"/>
                <w:szCs w:val="20"/>
                <w:color w:val="auto"/>
              </w:rPr>
            </w:pPr>
            <w:r>
              <w:rPr>
                <w:rFonts w:ascii="Arial" w:cs="Arial" w:eastAsia="Arial" w:hAnsi="Arial"/>
                <w:sz w:val="18"/>
                <w:szCs w:val="18"/>
                <w:color w:val="auto"/>
                <w:w w:val="89"/>
              </w:rPr>
              <w:t>State of New York, or such other laws as shall be mandatorily required in connection with the</w:t>
            </w:r>
          </w:p>
        </w:tc>
      </w:tr>
      <w:tr>
        <w:trPr>
          <w:trHeight w:val="222"/>
        </w:trPr>
        <w:tc>
          <w:tcPr>
            <w:tcW w:w="3880" w:type="dxa"/>
            <w:vAlign w:val="bottom"/>
          </w:tcPr>
          <w:p>
            <w:pPr>
              <w:spacing w:after="0"/>
              <w:rPr>
                <w:sz w:val="19"/>
                <w:szCs w:val="19"/>
                <w:color w:val="auto"/>
              </w:rPr>
            </w:pPr>
          </w:p>
        </w:tc>
        <w:tc>
          <w:tcPr>
            <w:tcW w:w="7540" w:type="dxa"/>
            <w:vAlign w:val="bottom"/>
          </w:tcPr>
          <w:p>
            <w:pPr>
              <w:ind w:left="920"/>
              <w:spacing w:after="0"/>
              <w:rPr>
                <w:sz w:val="20"/>
                <w:szCs w:val="20"/>
                <w:color w:val="auto"/>
              </w:rPr>
            </w:pPr>
            <w:r>
              <w:rPr>
                <w:rFonts w:ascii="Arial" w:cs="Arial" w:eastAsia="Arial" w:hAnsi="Arial"/>
                <w:sz w:val="18"/>
                <w:szCs w:val="18"/>
                <w:color w:val="auto"/>
                <w:w w:val="96"/>
              </w:rPr>
              <w:t>creation, perfection or enforcement of any security interests granted or purported to be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-8483600</wp:posOffset>
            </wp:positionV>
            <wp:extent cx="1270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-8483600</wp:posOffset>
            </wp:positionV>
            <wp:extent cx="1270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-3406775</wp:posOffset>
            </wp:positionV>
            <wp:extent cx="1270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-3406775</wp:posOffset>
            </wp:positionV>
            <wp:extent cx="1270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80"/>
        <w:spacing w:after="0" w:line="258" w:lineRule="auto"/>
        <w:rPr>
          <w:sz w:val="20"/>
          <w:szCs w:val="20"/>
          <w:color w:val="auto"/>
        </w:rPr>
      </w:pPr>
      <w:r>
        <w:rPr>
          <w:rFonts w:ascii="Arial" w:cs="Arial" w:eastAsia="Arial" w:hAnsi="Arial"/>
          <w:sz w:val="18"/>
          <w:szCs w:val="18"/>
          <w:b w:val="1"/>
          <w:bCs w:val="1"/>
          <w:color w:val="auto"/>
        </w:rPr>
        <w:t>Counsel to the Administrative Agent, the Syndication Agent, the Arrangers, the Book Running Managers, the Documentation Agent and the Advisors</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granted in respect of the Credit Facilities or in connection with gaming and regulatory matters germane to the Project.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146050</wp:posOffset>
            </wp:positionV>
            <wp:extent cx="7250430" cy="215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420"/>
            <w:col w:w="6620"/>
          </w:cols>
          <w:pgMar w:left="240" w:top="131" w:right="239" w:bottom="0" w:gutter="0" w:footer="0" w:header="0"/>
        </w:sect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9380" w:type="dxa"/>
            <w:vAlign w:val="bottom"/>
          </w:tcPr>
          <w:p>
            <w:pPr>
              <w:ind w:left="3260"/>
              <w:spacing w:after="0"/>
              <w:rPr>
                <w:sz w:val="20"/>
                <w:szCs w:val="20"/>
                <w:color w:val="auto"/>
              </w:rPr>
            </w:pPr>
            <w:r>
              <w:rPr>
                <w:rFonts w:ascii="Arial" w:cs="Arial" w:eastAsia="Arial" w:hAnsi="Arial"/>
                <w:sz w:val="18"/>
                <w:szCs w:val="18"/>
                <w:b w:val="1"/>
                <w:bCs w:val="1"/>
                <w:color w:val="auto"/>
              </w:rPr>
              <w:t>Annex A-I</w:t>
            </w:r>
          </w:p>
        </w:tc>
      </w:tr>
      <w:tr>
        <w:trPr>
          <w:trHeight w:val="228"/>
        </w:trPr>
        <w:tc>
          <w:tcPr>
            <w:tcW w:w="2040" w:type="dxa"/>
            <w:vAlign w:val="bottom"/>
          </w:tcPr>
          <w:p>
            <w:pPr>
              <w:spacing w:after="0"/>
              <w:rPr>
                <w:sz w:val="19"/>
                <w:szCs w:val="19"/>
                <w:color w:val="auto"/>
              </w:rPr>
            </w:pPr>
          </w:p>
        </w:tc>
        <w:tc>
          <w:tcPr>
            <w:tcW w:w="9380" w:type="dxa"/>
            <w:vAlign w:val="bottom"/>
          </w:tcPr>
          <w:p>
            <w:pPr>
              <w:jc w:val="center"/>
              <w:ind w:right="1952"/>
              <w:spacing w:after="0"/>
              <w:rPr>
                <w:sz w:val="20"/>
                <w:szCs w:val="20"/>
                <w:color w:val="auto"/>
              </w:rPr>
            </w:pPr>
            <w:r>
              <w:rPr>
                <w:rFonts w:ascii="Arial" w:cs="Arial" w:eastAsia="Arial" w:hAnsi="Arial"/>
                <w:sz w:val="18"/>
                <w:szCs w:val="18"/>
                <w:b w:val="1"/>
                <w:bCs w:val="1"/>
                <w:color w:val="auto"/>
                <w:w w:val="88"/>
              </w:rPr>
              <w:t>Interest and Certain Fees</w:t>
            </w:r>
          </w:p>
        </w:tc>
      </w:tr>
      <w:tr>
        <w:trPr>
          <w:trHeight w:val="420"/>
        </w:trPr>
        <w:tc>
          <w:tcPr>
            <w:tcW w:w="2040" w:type="dxa"/>
            <w:vAlign w:val="bottom"/>
          </w:tcPr>
          <w:p>
            <w:pPr>
              <w:spacing w:after="0"/>
              <w:rPr>
                <w:sz w:val="20"/>
                <w:szCs w:val="20"/>
                <w:color w:val="auto"/>
              </w:rPr>
            </w:pPr>
            <w:r>
              <w:rPr>
                <w:rFonts w:ascii="Arial" w:cs="Arial" w:eastAsia="Arial" w:hAnsi="Arial"/>
                <w:sz w:val="18"/>
                <w:szCs w:val="18"/>
                <w:b w:val="1"/>
                <w:bCs w:val="1"/>
                <w:color w:val="auto"/>
              </w:rPr>
              <w:t>Criteria for Interest</w:t>
            </w:r>
          </w:p>
        </w:tc>
        <w:tc>
          <w:tcPr>
            <w:tcW w:w="9380" w:type="dxa"/>
            <w:vAlign w:val="bottom"/>
          </w:tcPr>
          <w:p>
            <w:pPr>
              <w:ind w:left="260"/>
              <w:spacing w:after="0"/>
              <w:rPr>
                <w:sz w:val="20"/>
                <w:szCs w:val="20"/>
                <w:color w:val="auto"/>
              </w:rPr>
            </w:pPr>
            <w:r>
              <w:rPr>
                <w:rFonts w:ascii="Arial" w:cs="Arial" w:eastAsia="Arial" w:hAnsi="Arial"/>
                <w:sz w:val="18"/>
                <w:szCs w:val="18"/>
                <w:color w:val="auto"/>
                <w:w w:val="92"/>
              </w:rPr>
              <w:t>The interest rates and unused fees described below may be subject to increase if the credit ratings for the Company's senior</w:t>
            </w:r>
          </w:p>
        </w:tc>
      </w:tr>
      <w:tr>
        <w:trPr>
          <w:trHeight w:val="222"/>
        </w:trPr>
        <w:tc>
          <w:tcPr>
            <w:tcW w:w="2040" w:type="dxa"/>
            <w:vAlign w:val="bottom"/>
          </w:tcPr>
          <w:p>
            <w:pPr>
              <w:spacing w:after="0"/>
              <w:rPr>
                <w:sz w:val="20"/>
                <w:szCs w:val="20"/>
                <w:color w:val="auto"/>
              </w:rPr>
            </w:pPr>
            <w:r>
              <w:rPr>
                <w:rFonts w:ascii="Arial" w:cs="Arial" w:eastAsia="Arial" w:hAnsi="Arial"/>
                <w:sz w:val="18"/>
                <w:szCs w:val="18"/>
                <w:b w:val="1"/>
                <w:bCs w:val="1"/>
                <w:color w:val="auto"/>
                <w:w w:val="96"/>
              </w:rPr>
              <w:t>Rates and Unused Fees:</w:t>
            </w:r>
          </w:p>
        </w:tc>
        <w:tc>
          <w:tcPr>
            <w:tcW w:w="9380" w:type="dxa"/>
            <w:vAlign w:val="bottom"/>
          </w:tcPr>
          <w:p>
            <w:pPr>
              <w:ind w:left="260"/>
              <w:spacing w:after="0"/>
              <w:rPr>
                <w:sz w:val="20"/>
                <w:szCs w:val="20"/>
                <w:color w:val="auto"/>
              </w:rPr>
            </w:pPr>
            <w:r>
              <w:rPr>
                <w:rFonts w:ascii="Arial" w:cs="Arial" w:eastAsia="Arial" w:hAnsi="Arial"/>
                <w:sz w:val="18"/>
                <w:szCs w:val="18"/>
                <w:color w:val="auto"/>
                <w:w w:val="88"/>
              </w:rPr>
              <w:t>secured long term indebtedness (the "</w:t>
            </w:r>
            <w:r>
              <w:rPr>
                <w:rFonts w:ascii="Arial" w:cs="Arial" w:eastAsia="Arial" w:hAnsi="Arial"/>
                <w:sz w:val="18"/>
                <w:szCs w:val="18"/>
                <w:b w:val="1"/>
                <w:bCs w:val="1"/>
                <w:i w:val="1"/>
                <w:iCs w:val="1"/>
                <w:color w:val="auto"/>
                <w:w w:val="88"/>
              </w:rPr>
              <w:t>Indebtedness</w:t>
            </w:r>
            <w:r>
              <w:rPr>
                <w:rFonts w:ascii="Arial" w:cs="Arial" w:eastAsia="Arial" w:hAnsi="Arial"/>
                <w:sz w:val="18"/>
                <w:szCs w:val="18"/>
                <w:color w:val="auto"/>
                <w:w w:val="88"/>
              </w:rPr>
              <w:t>") issued by Standard &amp; Poor's Ratings Group or Moody's Investors Service,</w:t>
            </w:r>
          </w:p>
        </w:tc>
      </w:tr>
      <w:tr>
        <w:trPr>
          <w:trHeight w:val="222"/>
        </w:trPr>
        <w:tc>
          <w:tcPr>
            <w:tcW w:w="2040" w:type="dxa"/>
            <w:vAlign w:val="bottom"/>
          </w:tcPr>
          <w:p>
            <w:pPr>
              <w:spacing w:after="0"/>
              <w:rPr>
                <w:sz w:val="19"/>
                <w:szCs w:val="19"/>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rPr>
              <w:t>Inc. are below B+ or B1, respectively.</w:t>
            </w:r>
          </w:p>
        </w:tc>
      </w:tr>
      <w:tr>
        <w:trPr>
          <w:trHeight w:val="453"/>
        </w:trPr>
        <w:tc>
          <w:tcPr>
            <w:tcW w:w="2040" w:type="dxa"/>
            <w:vAlign w:val="bottom"/>
          </w:tcPr>
          <w:p>
            <w:pPr>
              <w:spacing w:after="0"/>
              <w:rPr>
                <w:sz w:val="20"/>
                <w:szCs w:val="20"/>
                <w:color w:val="auto"/>
              </w:rPr>
            </w:pPr>
            <w:r>
              <w:rPr>
                <w:rFonts w:ascii="Arial" w:cs="Arial" w:eastAsia="Arial" w:hAnsi="Arial"/>
                <w:sz w:val="18"/>
                <w:szCs w:val="18"/>
                <w:b w:val="1"/>
                <w:bCs w:val="1"/>
                <w:color w:val="auto"/>
              </w:rPr>
              <w:t>Interest Rates:</w:t>
            </w:r>
          </w:p>
        </w:tc>
        <w:tc>
          <w:tcPr>
            <w:tcW w:w="9380" w:type="dxa"/>
            <w:vAlign w:val="bottom"/>
          </w:tcPr>
          <w:p>
            <w:pPr>
              <w:ind w:left="260"/>
              <w:spacing w:after="0"/>
              <w:rPr>
                <w:sz w:val="20"/>
                <w:szCs w:val="20"/>
                <w:color w:val="auto"/>
              </w:rPr>
            </w:pPr>
            <w:r>
              <w:rPr>
                <w:rFonts w:ascii="Arial" w:cs="Arial" w:eastAsia="Arial" w:hAnsi="Arial"/>
                <w:sz w:val="18"/>
                <w:szCs w:val="18"/>
                <w:color w:val="auto"/>
                <w:w w:val="91"/>
              </w:rPr>
              <w:t>At the Company's option, Loans may be maintained from time to time as (x) Base Rate Loans, which shall bear interest at the</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Base Rate (as defined below) in effect from time to time plus the Applicable Margin (as defined below) or (y) Reserve Adjusted</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Eurodollar Loans, which shall bear interest at the Eurodollar Rate (as determined by the Administrative Agent, and adjusted for</w:t>
            </w:r>
          </w:p>
        </w:tc>
      </w:tr>
      <w:tr>
        <w:trPr>
          <w:trHeight w:val="222"/>
        </w:trPr>
        <w:tc>
          <w:tcPr>
            <w:tcW w:w="2040" w:type="dxa"/>
            <w:vAlign w:val="bottom"/>
          </w:tcPr>
          <w:p>
            <w:pPr>
              <w:spacing w:after="0"/>
              <w:rPr>
                <w:sz w:val="19"/>
                <w:szCs w:val="19"/>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rPr>
              <w:t>maximum reserves) for the respective interest period plus the Applicable Margin.</w:t>
            </w:r>
          </w:p>
        </w:tc>
      </w:tr>
      <w:tr>
        <w:trPr>
          <w:trHeight w:val="427"/>
        </w:trPr>
        <w:tc>
          <w:tcPr>
            <w:tcW w:w="2040" w:type="dxa"/>
            <w:vAlign w:val="bottom"/>
          </w:tcPr>
          <w:p>
            <w:pPr>
              <w:spacing w:after="0"/>
              <w:rPr>
                <w:sz w:val="24"/>
                <w:szCs w:val="24"/>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b w:val="1"/>
                <w:bCs w:val="1"/>
                <w:i w:val="1"/>
                <w:iCs w:val="1"/>
                <w:color w:val="auto"/>
                <w:w w:val="88"/>
              </w:rPr>
              <w:t>Base Rate</w:t>
            </w:r>
            <w:r>
              <w:rPr>
                <w:rFonts w:ascii="Arial" w:cs="Arial" w:eastAsia="Arial" w:hAnsi="Arial"/>
                <w:sz w:val="18"/>
                <w:szCs w:val="18"/>
                <w:color w:val="auto"/>
                <w:w w:val="88"/>
              </w:rPr>
              <w:t>" shall mean a rate per annum equal to the higher of (x) the rate that the Administrative Agent announces from time to</w:t>
            </w:r>
          </w:p>
        </w:tc>
      </w:tr>
      <w:tr>
        <w:trPr>
          <w:trHeight w:val="382"/>
        </w:trPr>
        <w:tc>
          <w:tcPr>
            <w:tcW w:w="2040" w:type="dxa"/>
            <w:vAlign w:val="bottom"/>
          </w:tcPr>
          <w:p>
            <w:pPr>
              <w:spacing w:after="0"/>
              <w:rPr>
                <w:sz w:val="24"/>
                <w:szCs w:val="24"/>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rPr>
              <w:t xml:space="preserve">time as its prime lending rate and (y)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xml:space="preserve"> of 1% in excess of the overnight federal funds rate.</w:t>
            </w:r>
          </w:p>
        </w:tc>
      </w:tr>
      <w:tr>
        <w:trPr>
          <w:trHeight w:val="306"/>
        </w:trPr>
        <w:tc>
          <w:tcPr>
            <w:tcW w:w="2040" w:type="dxa"/>
            <w:vAlign w:val="bottom"/>
          </w:tcPr>
          <w:p>
            <w:pPr>
              <w:spacing w:after="0"/>
              <w:rPr>
                <w:sz w:val="24"/>
                <w:szCs w:val="24"/>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i w:val="1"/>
                <w:iCs w:val="1"/>
                <w:color w:val="auto"/>
                <w:w w:val="90"/>
              </w:rPr>
              <w:t>Applicable Margin</w:t>
            </w:r>
            <w:r>
              <w:rPr>
                <w:rFonts w:ascii="Arial" w:cs="Arial" w:eastAsia="Arial" w:hAnsi="Arial"/>
                <w:sz w:val="18"/>
                <w:szCs w:val="18"/>
                <w:color w:val="auto"/>
                <w:w w:val="90"/>
              </w:rPr>
              <w:t>" shall mean, (1) in the case of Reserve Adjusted Eurodollar Loans, (i) with respect to the Revolving Credit</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1"/>
              </w:rPr>
              <w:t>Facility, initially 400 bps or, if the Indebtedness is initially rated BB- and Ba3 by S&amp;P and Moody's, respectively, 350 bps, and</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2"/>
              </w:rPr>
              <w:t>following the Completion Date an amount based on a leverage grid to be determined, and (ii) with respect to the Term Loan</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3"/>
              </w:rPr>
              <w:t>Facility, 400 bps or, if the Indebtedness is initially rated BB- and Ba3 by S&amp;P and Moody's, respectively, 350 bps with step-</w:t>
            </w:r>
          </w:p>
        </w:tc>
      </w:tr>
      <w:tr>
        <w:trPr>
          <w:trHeight w:val="222"/>
        </w:trPr>
        <w:tc>
          <w:tcPr>
            <w:tcW w:w="2040" w:type="dxa"/>
            <w:vAlign w:val="bottom"/>
          </w:tcPr>
          <w:p>
            <w:pPr>
              <w:spacing w:after="0"/>
              <w:rPr>
                <w:sz w:val="19"/>
                <w:szCs w:val="19"/>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2"/>
              </w:rPr>
              <w:t>downs following the Completion Date to be determined; and (2) in the case of Base Rate Loans, amounts to be determined.</w:t>
            </w:r>
          </w:p>
        </w:tc>
      </w:tr>
      <w:tr>
        <w:trPr>
          <w:trHeight w:val="432"/>
        </w:trPr>
        <w:tc>
          <w:tcPr>
            <w:tcW w:w="2040" w:type="dxa"/>
            <w:vAlign w:val="bottom"/>
          </w:tcPr>
          <w:p>
            <w:pPr>
              <w:spacing w:after="0"/>
              <w:rPr>
                <w:sz w:val="24"/>
                <w:szCs w:val="24"/>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rPr>
              <w:t>Interest periods of 1, 2, 3 and 6 months shall be available in the case of Reserve Adjusted Eurodollar Loans.</w:t>
            </w:r>
          </w:p>
        </w:tc>
      </w:tr>
      <w:tr>
        <w:trPr>
          <w:trHeight w:val="426"/>
        </w:trPr>
        <w:tc>
          <w:tcPr>
            <w:tcW w:w="2040" w:type="dxa"/>
            <w:vAlign w:val="bottom"/>
          </w:tcPr>
          <w:p>
            <w:pPr>
              <w:spacing w:after="0"/>
              <w:rPr>
                <w:sz w:val="24"/>
                <w:szCs w:val="24"/>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Interest in respect of Base Rate Loans shall be payable quarterly in arrears on the last business day of each quarter. Interest in</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respect of Reserve Adjusted Eurodollar Loans shall be payable in arrears at the end of the applicable interest period and every</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three months in the case of interest periods in excess of three months. Interest will also be payable at the time of repayment or</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prepayment of Loans and at maturity. All interest, commitment commission and other fee calculations shall be based on a 360-</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day year and actual days elapsed; provided that interest on Base Rate Loans calculated by reference to the prime lending rate</w:t>
            </w:r>
          </w:p>
        </w:tc>
      </w:tr>
      <w:tr>
        <w:trPr>
          <w:trHeight w:val="222"/>
        </w:trPr>
        <w:tc>
          <w:tcPr>
            <w:tcW w:w="2040" w:type="dxa"/>
            <w:vAlign w:val="bottom"/>
          </w:tcPr>
          <w:p>
            <w:pPr>
              <w:spacing w:after="0"/>
              <w:rPr>
                <w:sz w:val="19"/>
                <w:szCs w:val="19"/>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rPr>
              <w:t>shall be based on a 365/366-day year and actual days elapsed.</w:t>
            </w:r>
          </w:p>
        </w:tc>
      </w:tr>
      <w:tr>
        <w:trPr>
          <w:trHeight w:val="453"/>
        </w:trPr>
        <w:tc>
          <w:tcPr>
            <w:tcW w:w="2040" w:type="dxa"/>
            <w:vAlign w:val="bottom"/>
          </w:tcPr>
          <w:p>
            <w:pPr>
              <w:spacing w:after="0"/>
              <w:rPr>
                <w:sz w:val="20"/>
                <w:szCs w:val="20"/>
                <w:color w:val="auto"/>
              </w:rPr>
            </w:pPr>
            <w:r>
              <w:rPr>
                <w:rFonts w:ascii="Arial" w:cs="Arial" w:eastAsia="Arial" w:hAnsi="Arial"/>
                <w:sz w:val="18"/>
                <w:szCs w:val="18"/>
                <w:b w:val="1"/>
                <w:bCs w:val="1"/>
                <w:color w:val="auto"/>
              </w:rPr>
              <w:t>Default Interest Rates:</w:t>
            </w: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During any event of default under the Credit Facilities, the interest rate per annum otherwise payable under the Credit Facilities</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88"/>
              </w:rPr>
              <w:t>shall be increased to a rate per annum equal to the greater of (i) the rate which is 2% in excess of the rate otherwise applicable to</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the Base Rate Loans from time to time and (ii) the rate which is 2% in excess of the rate then borne by outstanding borrowings.</w:t>
            </w:r>
          </w:p>
        </w:tc>
      </w:tr>
      <w:tr>
        <w:trPr>
          <w:trHeight w:val="222"/>
        </w:trPr>
        <w:tc>
          <w:tcPr>
            <w:tcW w:w="2040" w:type="dxa"/>
            <w:vAlign w:val="bottom"/>
          </w:tcPr>
          <w:p>
            <w:pPr>
              <w:spacing w:after="0"/>
              <w:rPr>
                <w:sz w:val="19"/>
                <w:szCs w:val="19"/>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rPr>
              <w:t>Such interest shall be payable on demand.</w:t>
            </w:r>
          </w:p>
        </w:tc>
      </w:tr>
      <w:tr>
        <w:trPr>
          <w:trHeight w:val="891"/>
        </w:trPr>
        <w:tc>
          <w:tcPr>
            <w:tcW w:w="2040" w:type="dxa"/>
            <w:vAlign w:val="bottom"/>
          </w:tcPr>
          <w:p>
            <w:pPr>
              <w:spacing w:after="0"/>
              <w:rPr>
                <w:sz w:val="24"/>
                <w:szCs w:val="24"/>
                <w:color w:val="auto"/>
              </w:rPr>
            </w:pPr>
          </w:p>
        </w:tc>
        <w:tc>
          <w:tcPr>
            <w:tcW w:w="9380" w:type="dxa"/>
            <w:vAlign w:val="bottom"/>
          </w:tcPr>
          <w:p>
            <w:pPr>
              <w:jc w:val="center"/>
              <w:ind w:right="1952"/>
              <w:spacing w:after="0"/>
              <w:rPr>
                <w:sz w:val="20"/>
                <w:szCs w:val="20"/>
                <w:color w:val="auto"/>
              </w:rPr>
            </w:pPr>
            <w:r>
              <w:rPr>
                <w:rFonts w:ascii="Arial" w:cs="Arial" w:eastAsia="Arial" w:hAnsi="Arial"/>
                <w:sz w:val="18"/>
                <w:szCs w:val="18"/>
                <w:color w:val="auto"/>
                <w:w w:val="89"/>
              </w:rPr>
              <w:t>22</w:t>
            </w:r>
          </w:p>
        </w:tc>
      </w:tr>
      <w:tr>
        <w:trPr>
          <w:trHeight w:val="228"/>
        </w:trPr>
        <w:tc>
          <w:tcPr>
            <w:tcW w:w="2040" w:type="dxa"/>
            <w:vAlign w:val="bottom"/>
            <w:tcBorders>
              <w:bottom w:val="single" w:sz="8" w:color="808080"/>
            </w:tcBorders>
          </w:tcPr>
          <w:p>
            <w:pPr>
              <w:spacing w:after="0"/>
              <w:rPr>
                <w:sz w:val="19"/>
                <w:szCs w:val="19"/>
                <w:color w:val="auto"/>
              </w:rPr>
            </w:pPr>
          </w:p>
        </w:tc>
        <w:tc>
          <w:tcPr>
            <w:tcW w:w="9380" w:type="dxa"/>
            <w:vAlign w:val="bottom"/>
            <w:tcBorders>
              <w:bottom w:val="single" w:sz="8" w:color="808080"/>
            </w:tcBorders>
          </w:tcPr>
          <w:p>
            <w:pPr>
              <w:spacing w:after="0"/>
              <w:rPr>
                <w:sz w:val="19"/>
                <w:szCs w:val="19"/>
                <w:color w:val="auto"/>
              </w:rPr>
            </w:pPr>
          </w:p>
        </w:tc>
      </w:tr>
      <w:tr>
        <w:trPr>
          <w:trHeight w:val="556"/>
        </w:trPr>
        <w:tc>
          <w:tcPr>
            <w:tcW w:w="2040" w:type="dxa"/>
            <w:vAlign w:val="bottom"/>
          </w:tcPr>
          <w:p>
            <w:pPr>
              <w:spacing w:after="0"/>
              <w:rPr>
                <w:sz w:val="20"/>
                <w:szCs w:val="20"/>
                <w:color w:val="auto"/>
              </w:rPr>
            </w:pPr>
            <w:r>
              <w:rPr>
                <w:rFonts w:ascii="Arial" w:cs="Arial" w:eastAsia="Arial" w:hAnsi="Arial"/>
                <w:sz w:val="18"/>
                <w:szCs w:val="18"/>
                <w:b w:val="1"/>
                <w:bCs w:val="1"/>
                <w:color w:val="auto"/>
              </w:rPr>
              <w:t>Unused Fees:</w:t>
            </w: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2.00% per annum or, if the Indebtedness is initially rated BB- and Ba3 by S&amp;P and Moody's, respectively, 1.75% per annum of</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the unutilized commitments under the Revolving Credit Facility (for this purpose only, with Swing Line Loans being treated as if</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3"/>
              </w:rPr>
              <w:t>they did not utilize the commitments under the Revolving Credit Facility), as in effect from time to time, commencing on the</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1"/>
              </w:rPr>
              <w:t>Closing Date to and including the Revolving Credit Termination Date, payable quarterly in arrears and upon the termination of</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the Revolving Credit Facility. The unused fee will convert to grid-based pricing on a date to be determined after the Completion</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Date. The unused fee on the Term Loan Facility will start at 2.50% per annum and increase to 3.00% per annum on January 1,</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1"/>
              </w:rPr>
              <w:t>2003, and to 4.00% per annum on July 1, 2003 based on the unutilized commitments under the Term Loan Facility; provided,</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90"/>
              </w:rPr>
              <w:t>however, if the Indebtedness is initially rated BB-and Ba3 by S&amp;P and Moody's, respectively, the unused fee on the Term Loan</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89"/>
              </w:rPr>
              <w:t>Facility will start at 2.00% per annum and increase to 2.50% per annum on January 1, 2003, and to 3.50% per annum on July 1,</w:t>
            </w:r>
          </w:p>
        </w:tc>
      </w:tr>
      <w:tr>
        <w:trPr>
          <w:trHeight w:val="222"/>
        </w:trPr>
        <w:tc>
          <w:tcPr>
            <w:tcW w:w="2040" w:type="dxa"/>
            <w:vAlign w:val="bottom"/>
          </w:tcPr>
          <w:p>
            <w:pPr>
              <w:spacing w:after="0"/>
              <w:rPr>
                <w:sz w:val="19"/>
                <w:szCs w:val="19"/>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rPr>
              <w:t>2003 based on the unutilized commitments under the Term Loan Facility.</w:t>
            </w:r>
          </w:p>
        </w:tc>
      </w:tr>
      <w:tr>
        <w:trPr>
          <w:trHeight w:val="453"/>
        </w:trPr>
        <w:tc>
          <w:tcPr>
            <w:tcW w:w="2040" w:type="dxa"/>
            <w:vAlign w:val="bottom"/>
          </w:tcPr>
          <w:p>
            <w:pPr>
              <w:spacing w:after="0"/>
              <w:rPr>
                <w:sz w:val="20"/>
                <w:szCs w:val="20"/>
                <w:color w:val="auto"/>
              </w:rPr>
            </w:pPr>
            <w:r>
              <w:rPr>
                <w:rFonts w:ascii="Arial" w:cs="Arial" w:eastAsia="Arial" w:hAnsi="Arial"/>
                <w:sz w:val="18"/>
                <w:szCs w:val="18"/>
                <w:b w:val="1"/>
                <w:bCs w:val="1"/>
                <w:color w:val="auto"/>
              </w:rPr>
              <w:t>Letter of Credit Fees:</w:t>
            </w:r>
          </w:p>
        </w:tc>
        <w:tc>
          <w:tcPr>
            <w:tcW w:w="9380" w:type="dxa"/>
            <w:vAlign w:val="bottom"/>
          </w:tcPr>
          <w:p>
            <w:pPr>
              <w:ind w:left="260"/>
              <w:spacing w:after="0"/>
              <w:rPr>
                <w:sz w:val="20"/>
                <w:szCs w:val="20"/>
                <w:color w:val="auto"/>
              </w:rPr>
            </w:pPr>
            <w:r>
              <w:rPr>
                <w:rFonts w:ascii="Arial" w:cs="Arial" w:eastAsia="Arial" w:hAnsi="Arial"/>
                <w:sz w:val="18"/>
                <w:szCs w:val="18"/>
                <w:color w:val="auto"/>
                <w:w w:val="91"/>
              </w:rPr>
              <w:t>The Applicable Margin as in effect from time to time for Revolving Loans that are maintained as Reserve Adjusted Eurodollar</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89"/>
              </w:rPr>
              <w:t>Loans to be shared proportionately by the Senior Lenders in accordance with their participation in the respective Letter of Credit,</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89"/>
              </w:rPr>
              <w:t>and a facing fee of 0.25% per annum (but not less than $500 per annum per Letter of Credit) to be paid to the Issuing Lender for</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88"/>
              </w:rPr>
              <w:t>its own account, in each case calculated on the aggregate stated amount of all Letters of Credit for the stated duration thereof. In</w:t>
            </w:r>
          </w:p>
        </w:tc>
      </w:tr>
      <w:tr>
        <w:trPr>
          <w:trHeight w:val="216"/>
        </w:trPr>
        <w:tc>
          <w:tcPr>
            <w:tcW w:w="2040" w:type="dxa"/>
            <w:vAlign w:val="bottom"/>
          </w:tcPr>
          <w:p>
            <w:pPr>
              <w:spacing w:after="0"/>
              <w:rPr>
                <w:sz w:val="18"/>
                <w:szCs w:val="18"/>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w w:val="89"/>
              </w:rPr>
              <w:t>addition, the Issuing Lender will be paid its customary administrative charges and reasonable expenses in connection with each</w:t>
            </w:r>
          </w:p>
        </w:tc>
      </w:tr>
      <w:tr>
        <w:trPr>
          <w:trHeight w:val="222"/>
        </w:trPr>
        <w:tc>
          <w:tcPr>
            <w:tcW w:w="2040" w:type="dxa"/>
            <w:vAlign w:val="bottom"/>
          </w:tcPr>
          <w:p>
            <w:pPr>
              <w:spacing w:after="0"/>
              <w:rPr>
                <w:sz w:val="19"/>
                <w:szCs w:val="19"/>
                <w:color w:val="auto"/>
              </w:rPr>
            </w:pPr>
          </w:p>
        </w:tc>
        <w:tc>
          <w:tcPr>
            <w:tcW w:w="9380" w:type="dxa"/>
            <w:vAlign w:val="bottom"/>
          </w:tcPr>
          <w:p>
            <w:pPr>
              <w:ind w:left="260"/>
              <w:spacing w:after="0"/>
              <w:rPr>
                <w:sz w:val="20"/>
                <w:szCs w:val="20"/>
                <w:color w:val="auto"/>
              </w:rPr>
            </w:pPr>
            <w:r>
              <w:rPr>
                <w:rFonts w:ascii="Arial" w:cs="Arial" w:eastAsia="Arial" w:hAnsi="Arial"/>
                <w:sz w:val="18"/>
                <w:szCs w:val="18"/>
                <w:color w:val="auto"/>
              </w:rPr>
              <w:t>Letter of Credit issued by it.</w:t>
            </w:r>
          </w:p>
        </w:tc>
      </w:tr>
      <w:tr>
        <w:trPr>
          <w:trHeight w:val="432"/>
        </w:trPr>
        <w:tc>
          <w:tcPr>
            <w:tcW w:w="2040" w:type="dxa"/>
            <w:vAlign w:val="bottom"/>
          </w:tcPr>
          <w:p>
            <w:pPr>
              <w:spacing w:after="0"/>
              <w:rPr>
                <w:sz w:val="24"/>
                <w:szCs w:val="24"/>
                <w:color w:val="auto"/>
              </w:rPr>
            </w:pPr>
          </w:p>
        </w:tc>
        <w:tc>
          <w:tcPr>
            <w:tcW w:w="9380" w:type="dxa"/>
            <w:vAlign w:val="bottom"/>
          </w:tcPr>
          <w:p>
            <w:pPr>
              <w:jc w:val="center"/>
              <w:ind w:right="1952"/>
              <w:spacing w:after="0"/>
              <w:rPr>
                <w:sz w:val="20"/>
                <w:szCs w:val="20"/>
                <w:color w:val="auto"/>
              </w:rPr>
            </w:pPr>
            <w:r>
              <w:rPr>
                <w:rFonts w:ascii="Arial" w:cs="Arial" w:eastAsia="Arial" w:hAnsi="Arial"/>
                <w:sz w:val="18"/>
                <w:szCs w:val="18"/>
                <w:color w:val="auto"/>
                <w:w w:val="89"/>
              </w:rPr>
              <w:t>23</w:t>
            </w:r>
          </w:p>
        </w:tc>
      </w:tr>
      <w:tr>
        <w:trPr>
          <w:trHeight w:val="228"/>
        </w:trPr>
        <w:tc>
          <w:tcPr>
            <w:tcW w:w="2040" w:type="dxa"/>
            <w:vAlign w:val="bottom"/>
            <w:tcBorders>
              <w:bottom w:val="single" w:sz="8" w:color="808080"/>
            </w:tcBorders>
          </w:tcPr>
          <w:p>
            <w:pPr>
              <w:spacing w:after="0"/>
              <w:rPr>
                <w:sz w:val="19"/>
                <w:szCs w:val="19"/>
                <w:color w:val="auto"/>
              </w:rPr>
            </w:pPr>
          </w:p>
        </w:tc>
        <w:tc>
          <w:tcPr>
            <w:tcW w:w="9380" w:type="dxa"/>
            <w:vAlign w:val="bottom"/>
            <w:tcBorders>
              <w:bottom w:val="single" w:sz="8" w:color="808080"/>
            </w:tcBorders>
          </w:tcPr>
          <w:p>
            <w:pPr>
              <w:spacing w:after="0"/>
              <w:rPr>
                <w:sz w:val="19"/>
                <w:szCs w:val="19"/>
                <w:color w:val="auto"/>
              </w:rPr>
            </w:pPr>
          </w:p>
        </w:tc>
      </w:tr>
      <w:tr>
        <w:trPr>
          <w:trHeight w:val="415"/>
        </w:trPr>
        <w:tc>
          <w:tcPr>
            <w:tcW w:w="2040" w:type="dxa"/>
            <w:vAlign w:val="bottom"/>
          </w:tcPr>
          <w:p>
            <w:pPr>
              <w:spacing w:after="0"/>
              <w:rPr>
                <w:sz w:val="24"/>
                <w:szCs w:val="24"/>
                <w:color w:val="auto"/>
              </w:rPr>
            </w:pPr>
          </w:p>
        </w:tc>
        <w:tc>
          <w:tcPr>
            <w:tcW w:w="9380" w:type="dxa"/>
            <w:vAlign w:val="bottom"/>
          </w:tcPr>
          <w:p>
            <w:pPr>
              <w:jc w:val="center"/>
              <w:ind w:right="1932"/>
              <w:spacing w:after="0"/>
              <w:rPr>
                <w:sz w:val="20"/>
                <w:szCs w:val="20"/>
                <w:color w:val="auto"/>
              </w:rPr>
            </w:pPr>
            <w:r>
              <w:rPr>
                <w:rFonts w:ascii="Arial" w:cs="Arial" w:eastAsia="Arial" w:hAnsi="Arial"/>
                <w:sz w:val="18"/>
                <w:szCs w:val="18"/>
                <w:b w:val="1"/>
                <w:bCs w:val="1"/>
                <w:color w:val="auto"/>
              </w:rPr>
              <w:t>EXHIBIT B-I TO COMMITMENT LETTER</w:t>
            </w:r>
          </w:p>
        </w:tc>
      </w:tr>
      <w:tr>
        <w:trPr>
          <w:trHeight w:val="228"/>
        </w:trPr>
        <w:tc>
          <w:tcPr>
            <w:tcW w:w="2040" w:type="dxa"/>
            <w:vAlign w:val="bottom"/>
          </w:tcPr>
          <w:p>
            <w:pPr>
              <w:spacing w:after="0"/>
              <w:rPr>
                <w:sz w:val="19"/>
                <w:szCs w:val="19"/>
                <w:color w:val="auto"/>
              </w:rPr>
            </w:pPr>
          </w:p>
        </w:tc>
        <w:tc>
          <w:tcPr>
            <w:tcW w:w="9380" w:type="dxa"/>
            <w:vAlign w:val="bottom"/>
          </w:tcPr>
          <w:p>
            <w:pPr>
              <w:jc w:val="center"/>
              <w:ind w:right="1932"/>
              <w:spacing w:after="0"/>
              <w:rPr>
                <w:sz w:val="20"/>
                <w:szCs w:val="20"/>
                <w:color w:val="auto"/>
              </w:rPr>
            </w:pPr>
            <w:r>
              <w:rPr>
                <w:rFonts w:ascii="Arial" w:cs="Arial" w:eastAsia="Arial" w:hAnsi="Arial"/>
                <w:sz w:val="18"/>
                <w:szCs w:val="18"/>
                <w:b w:val="1"/>
                <w:bCs w:val="1"/>
                <w:color w:val="auto"/>
                <w:w w:val="99"/>
              </w:rPr>
              <w:t>CONDITIONS TO CLOSING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-3423920</wp:posOffset>
            </wp:positionV>
            <wp:extent cx="1270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-3423920</wp:posOffset>
            </wp:positionV>
            <wp:extent cx="1270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-422275</wp:posOffset>
            </wp:positionV>
            <wp:extent cx="1270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-422275</wp:posOffset>
            </wp:positionV>
            <wp:extent cx="1270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200" w:name="page201"/>
    <w:bookmarkEnd w:id="200"/>
    <w:p>
      <w:pPr>
        <w:spacing w:after="0" w:line="54"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i w:val="1"/>
          <w:iCs w:val="1"/>
          <w:color w:val="auto"/>
        </w:rPr>
        <w:t>Capitalized terms used but not defined herein have the meanings assigned to them in the Commitment Letter to which this Exhibit B is attached and of which it forms a part. The closing of the Credit Facilities is conditioned upon satisfaction of, among other things, the conditions precedent summarized below.</w:t>
      </w:r>
    </w:p>
    <w:p>
      <w:pPr>
        <w:spacing w:after="0" w:line="153" w:lineRule="exact"/>
        <w:rPr>
          <w:sz w:val="20"/>
          <w:szCs w:val="20"/>
          <w:color w:val="auto"/>
        </w:rPr>
      </w:pPr>
    </w:p>
    <w:p>
      <w:pPr>
        <w:ind w:left="540" w:right="60" w:hanging="532"/>
        <w:spacing w:after="0" w:line="253"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 Each party shall have executed and delivered satisfactory Credit Documentation, including intercreditor and disbursement agreements and interest rate and currency hedging agreements with respect to the sum of (A) 50% of the Term Loan Commitment plus (B) 50% of the portion of the Revolving Loan Commitment that may be converted into Term Loans; (ii) the Completion Guarantor shall have executed and delivered a satisfactory Completion Guarantee, (iii) the guarantor under the Construction Contract Guarantee shall have executed and delivered a satisfactory Construction Contract Guarantee, and (iv) the General Contractor shall have caused to be delivered a satisfactory (including with respect to size and credit rating of the issuer) Payment and Performance Bond with respect to its obligations under the Construction Contract, in each case in form and substance acceptable to the Senior Lenders.</w:t>
      </w:r>
    </w:p>
    <w:p>
      <w:pPr>
        <w:spacing w:after="0" w:line="228"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There shall not exist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for the financing contemplated hereby) any default or event of default under the Credit Facilities, or under any other material indebtedness or agreement of any Credit Party.</w:t>
      </w:r>
    </w:p>
    <w:p>
      <w:pPr>
        <w:spacing w:after="0" w:line="199"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Company shall have received (i) the net proceeds from the issuance of its Second Mortgage Notes in principal amount of $350 million, or other financing acceptable to the Senior Lenders of the same face amount in principal, each on terms satisfactory to the Senior Lenders, and (ii) the net proceeds from the $355 million initial public offering of the common stock of its indirect parent company, Wynn Resorts. The capital structure of each Credit Party and provider of Project Credit Support shall be satisfactory to the Senior Lenders.</w:t>
      </w:r>
    </w:p>
    <w:p>
      <w:pPr>
        <w:spacing w:after="0" w:line="180" w:lineRule="exact"/>
        <w:rPr>
          <w:rFonts w:ascii="Arial" w:cs="Arial" w:eastAsia="Arial" w:hAnsi="Arial"/>
          <w:sz w:val="16"/>
          <w:szCs w:val="16"/>
          <w:color w:val="auto"/>
        </w:rPr>
      </w:pPr>
    </w:p>
    <w:p>
      <w:pPr>
        <w:ind w:left="540" w:right="380" w:hanging="532"/>
        <w:spacing w:after="0" w:line="268"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Senior Lenders shall have received a binding commitment with respect to the FF&amp;E Facility on terms and conditions and in an amount and from lenders reasonably acceptable to the Senior Lenders.</w:t>
      </w:r>
    </w:p>
    <w:p>
      <w:pPr>
        <w:spacing w:after="0" w:line="212"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Company shall have complied with all of its obligations under and agreements in the Commitment Letter, the Fee Letter and the Engagement Letter (to the extent then due, payable and/or required to be complied with).</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Company shall have obtained all payment and performance bonds from subcontractors as required by the Term Sheet.</w:t>
      </w:r>
    </w:p>
    <w:p>
      <w:pPr>
        <w:spacing w:after="0" w:line="238" w:lineRule="exact"/>
        <w:rPr>
          <w:rFonts w:ascii="Arial" w:cs="Arial" w:eastAsia="Arial" w:hAnsi="Arial"/>
          <w:sz w:val="18"/>
          <w:szCs w:val="18"/>
          <w:color w:val="auto"/>
        </w:rPr>
      </w:pPr>
    </w:p>
    <w:p>
      <w:pPr>
        <w:ind w:left="540" w:right="20" w:hanging="532"/>
        <w:spacing w:after="0" w:line="289" w:lineRule="auto"/>
        <w:tabs>
          <w:tab w:leader="none" w:pos="54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There shall not have occurred or become known to the Senior Lenders any event, development or circumstance since the date of the Commitment Letter that has caused or could reasonably be expected to cause or result in a material adverse condition or material adverse change in or affecting (i) the Project, (ii) the condition (financial or otherwise), business results of operations, assets, liabilities, property, management, prospects or value of Wynn Resorts, Valvino, the Company and its subsidiaries, taken as a whole, or the Credit Parties, taken as a whole, or of any person or entity providing Project Credit Support, or that calls into question in any material respect the Projections previously supplied to the Senior Lenders or any of the material assumptions on which the Projections were prepared or (iii) the validity or enforceability of any of the Credit Documentation (including any Project Credit Support documentation), the security interests in the collateral encumbered by the Credit Documentation, or the rights and remedies of the Administrative Agent and the Senior Lenders thereunder (a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w:t>
      </w:r>
    </w:p>
    <w:p>
      <w:pPr>
        <w:spacing w:after="0" w:line="199"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Each of the Senior Lenders shall have completed its due diligence review of Wynn Resorts, the Company and each provider of Project Credit Support and their respective affiliates and their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operations, and shall be satisfied with the results thereof. Such review will include, without limitation, an examination of (i) accounting, legal, regulatory, tax, labor, insurance, pension and environmental liabilities, actual or contingent, (ii) material contracts, leases and debt agreements and (iii) the general business, operations, financial condition, results of operations, assets, liabilities, management, prospects and value of Wynn Resorts, the Company and the Project.</w:t>
      </w:r>
    </w:p>
    <w:p>
      <w:pPr>
        <w:spacing w:after="0" w:line="211" w:lineRule="exact"/>
        <w:rPr>
          <w:sz w:val="20"/>
          <w:szCs w:val="20"/>
          <w:color w:val="auto"/>
        </w:rPr>
      </w:pPr>
    </w:p>
    <w:p>
      <w:pPr>
        <w:ind w:left="540" w:right="20" w:hanging="532"/>
        <w:spacing w:after="0" w:line="259" w:lineRule="auto"/>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Senior Lenders shall not have become aware after the date hereof of any information or other matter affecting Wynn Resorts, the Company, any provider of Project Credit Support, the Project or the transactions contemplated hereby that is inconsistent in a material and adverse manner with any such information or other matter disclosed to the Senior Lenders prior to the date hereof.</w:t>
      </w:r>
    </w:p>
    <w:p>
      <w:pPr>
        <w:spacing w:after="0" w:line="207" w:lineRule="exact"/>
        <w:rPr>
          <w:rFonts w:ascii="Arial" w:cs="Arial" w:eastAsia="Arial" w:hAnsi="Arial"/>
          <w:sz w:val="18"/>
          <w:szCs w:val="18"/>
          <w:color w:val="auto"/>
        </w:rPr>
      </w:pPr>
    </w:p>
    <w:p>
      <w:pPr>
        <w:ind w:left="540" w:right="60" w:hanging="532"/>
        <w:spacing w:after="0" w:line="259" w:lineRule="auto"/>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There shall not have occurred any disruption or adverse change, as determined by each of the Arrangers in its sole discretion, in the financial or capital markets generally, or in the markets for bank loan syndication in particular or affecting the syndication or funding of bank loans that may have an adverse impact on the ability to syndicate the Credit Facilities.</w:t>
      </w:r>
    </w:p>
    <w:p>
      <w:pPr>
        <w:spacing w:after="0" w:line="221" w:lineRule="exact"/>
        <w:rPr>
          <w:rFonts w:ascii="Arial" w:cs="Arial" w:eastAsia="Arial" w:hAnsi="Arial"/>
          <w:sz w:val="18"/>
          <w:szCs w:val="18"/>
          <w:color w:val="auto"/>
        </w:rPr>
      </w:pPr>
    </w:p>
    <w:p>
      <w:pPr>
        <w:ind w:left="540" w:right="80" w:hanging="532"/>
        <w:spacing w:after="0" w:line="256" w:lineRule="auto"/>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Wynn Resorts, the Company and its subsidiaries shall have obtained insurance in amounts and coverages on terms and conditions (including any reinsurance requirements) and from insurance companies, in each case reasonably acceptable to the Senior Lenders, including delay in opening insurance and 120 days (commencing once the delay liquidated damages payable by the General Contractor have reached the cap under the Construction Contract) of delay liquidated damages insurance.</w:t>
      </w:r>
    </w:p>
    <w:p>
      <w:pPr>
        <w:spacing w:after="0" w:line="210" w:lineRule="exact"/>
        <w:rPr>
          <w:rFonts w:ascii="Arial" w:cs="Arial" w:eastAsia="Arial" w:hAnsi="Arial"/>
          <w:sz w:val="18"/>
          <w:szCs w:val="18"/>
          <w:color w:val="auto"/>
        </w:rPr>
      </w:pPr>
    </w:p>
    <w:p>
      <w:pPr>
        <w:ind w:left="540" w:hanging="532"/>
        <w:spacing w:after="0"/>
        <w:tabs>
          <w:tab w:leader="none" w:pos="5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Credit Parties shall have obtained title insurance (including, without limitation, mechanics' liens endorsements) satisfactory to the Senior Lenders.</w:t>
      </w:r>
    </w:p>
    <w:p>
      <w:pPr>
        <w:spacing w:after="0" w:line="261" w:lineRule="exact"/>
        <w:rPr>
          <w:rFonts w:ascii="Arial" w:cs="Arial" w:eastAsia="Arial" w:hAnsi="Arial"/>
          <w:sz w:val="16"/>
          <w:szCs w:val="16"/>
          <w:color w:val="auto"/>
        </w:rPr>
      </w:pPr>
    </w:p>
    <w:p>
      <w:pPr>
        <w:jc w:val="both"/>
        <w:ind w:left="540" w:right="80" w:hanging="532"/>
        <w:spacing w:after="0" w:line="259" w:lineRule="auto"/>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Arrangers shall have received a survey of the hotel casino and the site dated no earlier than 30 days prior to the Closing Date, and such other surveys of the hotel casino and the site as are required or reasonably requested by the title insurance company on specifications to be agreed upon with the Senior Lenders.</w:t>
      </w:r>
    </w:p>
    <w:p>
      <w:pPr>
        <w:spacing w:after="0" w:line="221"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Arrangers shall have received all plans and specifications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 xml:space="preserve">") for the Project which have been prepared through such time, in each case, reasonably satisfactory to the Senior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following the approval of the Plans by the Senior Lenders, material modifications to the Plans can be made only on terms set forth in the Credit Documentation.</w:t>
      </w:r>
    </w:p>
    <w:p>
      <w:pPr>
        <w:spacing w:after="0" w:line="207" w:lineRule="exact"/>
        <w:rPr>
          <w:rFonts w:ascii="Arial" w:cs="Arial" w:eastAsia="Arial" w:hAnsi="Arial"/>
          <w:sz w:val="18"/>
          <w:szCs w:val="18"/>
          <w:color w:val="auto"/>
        </w:rPr>
      </w:pPr>
    </w:p>
    <w:p>
      <w:pPr>
        <w:ind w:left="540" w:right="160" w:hanging="532"/>
        <w:spacing w:after="0" w:line="332" w:lineRule="auto"/>
        <w:tabs>
          <w:tab w:leader="none" w:pos="5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Arrangers shall have received from the Company a schedule (the "</w:t>
      </w:r>
      <w:r>
        <w:rPr>
          <w:rFonts w:ascii="Arial" w:cs="Arial" w:eastAsia="Arial" w:hAnsi="Arial"/>
          <w:sz w:val="16"/>
          <w:szCs w:val="16"/>
          <w:b w:val="1"/>
          <w:bCs w:val="1"/>
          <w:i w:val="1"/>
          <w:iCs w:val="1"/>
          <w:color w:val="auto"/>
        </w:rPr>
        <w:t>Construction Schedule</w:t>
      </w:r>
      <w:r>
        <w:rPr>
          <w:rFonts w:ascii="Arial" w:cs="Arial" w:eastAsia="Arial" w:hAnsi="Arial"/>
          <w:sz w:val="16"/>
          <w:szCs w:val="16"/>
          <w:color w:val="auto"/>
        </w:rPr>
        <w:t>") establishing a timetable for completion of the hotel and casino and all other work on the Project with projected monthly progress and other terms acceptable to the Senior Lenders.</w:t>
      </w:r>
    </w:p>
    <w:p>
      <w:pPr>
        <w:spacing w:after="0" w:line="166"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Arrangers shall have received from an appraising firm reasonably satisfactory to the Senior Lenders a FIRREA appraisal of the Project demonstrating a value of the Project of not less than $2.45 billion upon completion.</w:t>
      </w:r>
    </w:p>
    <w:p>
      <w:pPr>
        <w:sectPr>
          <w:pgSz w:w="11900" w:h="16892" w:orient="portrait"/>
          <w:cols w:equalWidth="0" w:num="1">
            <w:col w:w="11400"/>
          </w:cols>
          <w:pgMar w:left="240" w:top="131" w:right="259" w:bottom="0" w:gutter="0" w:footer="0" w:header="0"/>
        </w:sectPr>
      </w:pPr>
    </w:p>
    <w:bookmarkStart w:id="201" w:name="page202"/>
    <w:bookmarkEnd w:id="201"/>
    <w:p>
      <w:pPr>
        <w:spacing w:after="0" w:line="15" w:lineRule="exact"/>
        <w:rPr>
          <w:sz w:val="20"/>
          <w:szCs w:val="20"/>
          <w:color w:val="auto"/>
        </w:rPr>
      </w:pPr>
    </w:p>
    <w:p>
      <w:pPr>
        <w:ind w:left="540" w:hanging="532"/>
        <w:spacing w:after="0" w:line="298" w:lineRule="auto"/>
        <w:tabs>
          <w:tab w:leader="none" w:pos="54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There shall be sufficient liquid funds (including lending commitments but excluding cash collateralized or letter of credit backed funding commitments under the Completion Guarantee and the Project Liquidity Reserve) available to the Company to pay all costs (including interest carry through the Outside Date) to complete the Project plus an agreed upon contingency amount, as set forth in the Budget approved by the Senior Lenders and updated from time to time in accordance with the Credit Documentation (the "</w:t>
      </w:r>
      <w:r>
        <w:rPr>
          <w:rFonts w:ascii="Arial" w:cs="Arial" w:eastAsia="Arial" w:hAnsi="Arial"/>
          <w:sz w:val="16"/>
          <w:szCs w:val="16"/>
          <w:b w:val="1"/>
          <w:bCs w:val="1"/>
          <w:i w:val="1"/>
          <w:iCs w:val="1"/>
          <w:color w:val="auto"/>
        </w:rPr>
        <w:t>In Balance Requirement</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540" w:hanging="532"/>
        <w:spacing w:after="0"/>
        <w:tabs>
          <w:tab w:leader="none" w:pos="54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Arrangers shall have received a reasonably detailed (such detail to depend on the then state of completion of the Plans for the Project) budget (the</w:t>
      </w:r>
    </w:p>
    <w:p>
      <w:pPr>
        <w:spacing w:after="0" w:line="38" w:lineRule="exact"/>
        <w:rPr>
          <w:rFonts w:ascii="Arial" w:cs="Arial" w:eastAsia="Arial" w:hAnsi="Arial"/>
          <w:sz w:val="16"/>
          <w:szCs w:val="16"/>
          <w:color w:val="auto"/>
        </w:rPr>
      </w:pPr>
    </w:p>
    <w:p>
      <w:pPr>
        <w:ind w:left="540" w:right="140"/>
        <w:spacing w:after="0" w:line="261"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Budget</w:t>
      </w:r>
      <w:r>
        <w:rPr>
          <w:rFonts w:ascii="Arial" w:cs="Arial" w:eastAsia="Arial" w:hAnsi="Arial"/>
          <w:sz w:val="18"/>
          <w:szCs w:val="18"/>
          <w:color w:val="auto"/>
        </w:rPr>
        <w:t>") for the Project that is satisfactory to the Senior Lenders, together with all supporting data reasonably requested by the Senior Lenders, it being acknowledged that upon completion of Plans, the part of the Budget referable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thereto will be updated to the level of detail required for the parts of the Project with completed Plans and approved by Senior Lenders.</w:t>
      </w:r>
    </w:p>
    <w:p>
      <w:pPr>
        <w:spacing w:after="0" w:line="239" w:lineRule="exact"/>
        <w:rPr>
          <w:sz w:val="20"/>
          <w:szCs w:val="20"/>
          <w:color w:val="auto"/>
        </w:rPr>
      </w:pPr>
    </w:p>
    <w:p>
      <w:pPr>
        <w:ind w:left="540" w:right="100" w:hanging="532"/>
        <w:spacing w:after="0" w:line="298" w:lineRule="auto"/>
        <w:tabs>
          <w:tab w:leader="none" w:pos="5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Arrangers shall have received a report satisfactory to the Senior Lenders prepared by a consulting engineer selected by the Administrative Agent and acceptable to the Senior Lenders (the "</w:t>
      </w:r>
      <w:r>
        <w:rPr>
          <w:rFonts w:ascii="Arial" w:cs="Arial" w:eastAsia="Arial" w:hAnsi="Arial"/>
          <w:sz w:val="16"/>
          <w:szCs w:val="16"/>
          <w:b w:val="1"/>
          <w:bCs w:val="1"/>
          <w:i w:val="1"/>
          <w:iCs w:val="1"/>
          <w:color w:val="auto"/>
        </w:rPr>
        <w:t>Senior Lenders' Consultant</w:t>
      </w:r>
      <w:r>
        <w:rPr>
          <w:rFonts w:ascii="Arial" w:cs="Arial" w:eastAsia="Arial" w:hAnsi="Arial"/>
          <w:sz w:val="16"/>
          <w:szCs w:val="16"/>
          <w:color w:val="auto"/>
        </w:rPr>
        <w:t>") which, among other things, shall contain an analysis of the Plans, the Budget, the Construction Schedule, the construction contracts and all other reports submitted to the Senior Lenders. Following the closing, the Senior Lenders' Consultant shall serve as the construction monitor during the construction of the Project.</w:t>
      </w:r>
    </w:p>
    <w:p>
      <w:pPr>
        <w:spacing w:after="0" w:line="180" w:lineRule="exact"/>
        <w:rPr>
          <w:rFonts w:ascii="Arial" w:cs="Arial" w:eastAsia="Arial" w:hAnsi="Arial"/>
          <w:sz w:val="16"/>
          <w:szCs w:val="16"/>
          <w:color w:val="auto"/>
        </w:rPr>
      </w:pPr>
    </w:p>
    <w:p>
      <w:pPr>
        <w:ind w:left="540" w:right="260" w:hanging="532"/>
        <w:spacing w:after="0" w:line="268"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Company shall have certified and the Senior Lenders' Consultant shall have confirmed in writing that the Project will be completed by the Outside Date.</w:t>
      </w:r>
    </w:p>
    <w:p>
      <w:pPr>
        <w:spacing w:after="0" w:line="212" w:lineRule="exact"/>
        <w:rPr>
          <w:rFonts w:ascii="Arial" w:cs="Arial" w:eastAsia="Arial" w:hAnsi="Arial"/>
          <w:sz w:val="18"/>
          <w:szCs w:val="18"/>
          <w:color w:val="auto"/>
        </w:rPr>
      </w:pPr>
    </w:p>
    <w:p>
      <w:pPr>
        <w:ind w:left="540" w:right="600" w:hanging="532"/>
        <w:spacing w:after="0" w:line="268"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Arrangers shall have received copies, certified as to their accuracy and completeness by an executive officer of the Company, of the architects contracts and contracts made with the Project engineers relating to the Project.</w:t>
      </w:r>
    </w:p>
    <w:p>
      <w:pPr>
        <w:spacing w:after="0" w:line="199" w:lineRule="exact"/>
        <w:rPr>
          <w:rFonts w:ascii="Arial" w:cs="Arial" w:eastAsia="Arial" w:hAnsi="Arial"/>
          <w:sz w:val="18"/>
          <w:szCs w:val="18"/>
          <w:color w:val="auto"/>
        </w:rPr>
      </w:pPr>
    </w:p>
    <w:p>
      <w:pPr>
        <w:ind w:left="540" w:right="100" w:hanging="532"/>
        <w:spacing w:after="0" w:line="256"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Arrangers shall have received copies, certified as to their accuracy and completeness by an executive officer of the Company, of the construction and procurement contracts, with contingency amounts, and otherwise in form and substance acceptable to the Senior Lenders that have theretofore been executed pertaining to the construction of the Project, and appropriate arrangements by which the Senior Lenders' Consultant can monitor such contracts and obtain comfort as to the likelihood of coordinated performance thereunder.</w:t>
      </w:r>
    </w:p>
    <w:p>
      <w:pPr>
        <w:spacing w:after="0" w:line="210" w:lineRule="exact"/>
        <w:rPr>
          <w:rFonts w:ascii="Arial" w:cs="Arial" w:eastAsia="Arial" w:hAnsi="Arial"/>
          <w:sz w:val="18"/>
          <w:szCs w:val="18"/>
          <w:color w:val="auto"/>
        </w:rPr>
      </w:pPr>
    </w:p>
    <w:p>
      <w:pPr>
        <w:ind w:left="540" w:right="20" w:hanging="532"/>
        <w:spacing w:after="0" w:line="306" w:lineRule="auto"/>
        <w:tabs>
          <w:tab w:leader="none" w:pos="5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Arrangers shall have received (i) a satisfactory operational and management plan for the hotel casino, (ii) copies of the site plans, all building permits, other permits, licenses and approvals (then issued) for the parts of the Project for which the plans and specifications have been completed, and (iii) base case projections in form and substance reasonably satisfactory to the Senior Lenders with respect to the Project.</w:t>
      </w:r>
    </w:p>
    <w:p>
      <w:pPr>
        <w:spacing w:after="0" w:line="187" w:lineRule="exact"/>
        <w:rPr>
          <w:rFonts w:ascii="Arial" w:cs="Arial" w:eastAsia="Arial" w:hAnsi="Arial"/>
          <w:sz w:val="16"/>
          <w:szCs w:val="16"/>
          <w:color w:val="auto"/>
        </w:rPr>
      </w:pPr>
    </w:p>
    <w:p>
      <w:pPr>
        <w:ind w:left="540" w:right="200" w:hanging="532"/>
        <w:spacing w:after="0" w:line="290" w:lineRule="auto"/>
        <w:tabs>
          <w:tab w:leader="none" w:pos="5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All governmental and third party approvals (including landlords' and other consents) and consents including regulatory approvals (i) then required or, in the discretion of the Arrangers, then advisable or (ii) of a type that is not routinely granted by the applicable authority or is subject to material discretion by the applicable authority (other than the gaming license) and that will be necessary or, in the discretion of the Arrangers advisable in connection with the Project (including, without limitation, water rights and entitlements satisfactory to the Senior Lenders), the financing contemplated hereby and the continuing operations of Wynn Resorts, the Company and their respective subsidiaries shall have been obtained and be in full force and effect, and all applicable waiting periods shall have expired without any action being taken or threatened by any competent authority that would restrain, prevent or otherwise impose adverse conditions on the Project or the financing contemplated hereby.</w:t>
      </w:r>
    </w:p>
    <w:p>
      <w:pPr>
        <w:spacing w:after="0" w:line="185" w:lineRule="exact"/>
        <w:rPr>
          <w:rFonts w:ascii="Arial" w:cs="Arial" w:eastAsia="Arial" w:hAnsi="Arial"/>
          <w:sz w:val="16"/>
          <w:szCs w:val="16"/>
          <w:color w:val="auto"/>
        </w:rPr>
      </w:pPr>
    </w:p>
    <w:p>
      <w:pPr>
        <w:ind w:left="540" w:hanging="532"/>
        <w:spacing w:after="0" w:line="298" w:lineRule="auto"/>
        <w:tabs>
          <w:tab w:leader="none" w:pos="5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Senior Lenders shall have received satisfactory audited and unaudited (which have been reviewed by the independent accountants for the Company as provided in Statement on Auditing Standards No. 71) financial statements of the Credit Parties and other applicable entities and all other completed or probable acquisitions (including pro forma financial statements) meeting the requirements of Regulation S-X for a Form S-1 registration statement under the Securities Act of 1933, as amended, and all such financial statements shall be satisfactory in form to the Senior Lenders in their sole discretion.</w:t>
      </w:r>
    </w:p>
    <w:p>
      <w:pPr>
        <w:spacing w:after="0" w:line="180" w:lineRule="exact"/>
        <w:rPr>
          <w:rFonts w:ascii="Arial" w:cs="Arial" w:eastAsia="Arial" w:hAnsi="Arial"/>
          <w:sz w:val="16"/>
          <w:szCs w:val="16"/>
          <w:color w:val="auto"/>
        </w:rPr>
      </w:pPr>
    </w:p>
    <w:p>
      <w:pPr>
        <w:ind w:left="540" w:right="100" w:hanging="532"/>
        <w:spacing w:after="0" w:line="306" w:lineRule="auto"/>
        <w:tabs>
          <w:tab w:leader="none" w:pos="5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Senior Lenders shall have received a business plan for the five fiscal years of the Company following the Completion Date and a satisfactory written analysis of the business and prospects of Wynn Resorts, the Company and their respective subsidiaries for the period from the Closing Date through the final maturity of the Credit Facilities, all in form and substance satisfactory to the Senior Lenders.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60" w:hanging="532"/>
        <w:spacing w:after="0" w:line="255" w:lineRule="auto"/>
        <w:tabs>
          <w:tab w:leader="none" w:pos="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Senior Lenders shall have received the results of a recent lien, tax lien, judgment and litigation search in each relevant jurisdiction with respect to Wynn Resorts, Valvino, Wynn, LLC, the Company and their respective subsidiaries, any other Credit Parties, and the Project, and such search shall reveal no liens on any of the assets of Wynn Resorts, Valvino, Wynn, LLC, the Company or their respective subsidiaries, any other Credit Party or the Project except for liens permitted by the Credit Documentation or liens to be discharged on or prior to the Closing Date pursuant to documentation satisfactory to the Administrative Agent.</w:t>
      </w:r>
    </w:p>
    <w:p>
      <w:pPr>
        <w:spacing w:after="0" w:line="210"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Senior Lenders shall have obtained a perfected, first priority security interest in the collateral, subject only to certain customary permitted liens to be agreed upon.</w:t>
      </w:r>
    </w:p>
    <w:p>
      <w:pPr>
        <w:spacing w:after="0" w:line="199" w:lineRule="exact"/>
        <w:rPr>
          <w:rFonts w:ascii="Arial" w:cs="Arial" w:eastAsia="Arial" w:hAnsi="Arial"/>
          <w:sz w:val="18"/>
          <w:szCs w:val="18"/>
          <w:color w:val="auto"/>
        </w:rPr>
      </w:pPr>
    </w:p>
    <w:p>
      <w:pPr>
        <w:jc w:val="both"/>
        <w:ind w:left="540" w:right="60" w:hanging="532"/>
        <w:spacing w:after="0" w:line="259" w:lineRule="auto"/>
        <w:tabs>
          <w:tab w:leader="none" w:pos="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Senior Lenders shall have received a solvency certificate from the chief financial officer of the Company which shall document the solvency of each of the Company and each of its subsidiaries after giving pro forma effect to the transactions contemplated hereby, all in form and substance satisfactory to the Senior Lenders.</w:t>
      </w:r>
    </w:p>
    <w:p>
      <w:pPr>
        <w:spacing w:after="0" w:line="221" w:lineRule="exact"/>
        <w:rPr>
          <w:rFonts w:ascii="Arial" w:cs="Arial" w:eastAsia="Arial" w:hAnsi="Arial"/>
          <w:sz w:val="18"/>
          <w:szCs w:val="18"/>
          <w:color w:val="auto"/>
        </w:rPr>
      </w:pPr>
    </w:p>
    <w:p>
      <w:pPr>
        <w:ind w:left="540" w:right="60" w:hanging="532"/>
        <w:spacing w:after="0" w:line="332" w:lineRule="auto"/>
        <w:tabs>
          <w:tab w:leader="none" w:pos="54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Senior Lenders shall have received a Phase I environmental report and surveys with respect to the real property owned or leased by the Company and its subsidiaries from a firm satisfactory to the Arrangers, all in form and substance satisfactory to the Senior Lenders.</w:t>
      </w:r>
    </w:p>
    <w:p>
      <w:pPr>
        <w:spacing w:after="0" w:line="152" w:lineRule="exact"/>
        <w:rPr>
          <w:rFonts w:ascii="Arial" w:cs="Arial" w:eastAsia="Arial" w:hAnsi="Arial"/>
          <w:sz w:val="16"/>
          <w:szCs w:val="16"/>
          <w:color w:val="auto"/>
        </w:rPr>
      </w:pPr>
    </w:p>
    <w:p>
      <w:pPr>
        <w:ind w:left="540" w:right="420" w:hanging="532"/>
        <w:spacing w:after="0" w:line="332" w:lineRule="auto"/>
        <w:tabs>
          <w:tab w:leader="none" w:pos="54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Senior Lenders shall be satisfied that senior managers acceptable to them shall be available to manage the Company and its subsidiaries, and the Company shall have obtained key man life insurance on Stephen A. Wynn in an amount and on terms satisfactory to the Senior Lenders.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(ff)</w:t>
      </w:r>
    </w:p>
    <w:p>
      <w:pPr>
        <w:sectPr>
          <w:pgSz w:w="11900" w:h="16853" w:orient="portrait"/>
          <w:cols w:equalWidth="0" w:num="1">
            <w:col w:w="11420"/>
          </w:cols>
          <w:pgMar w:left="240" w:top="361" w:right="239" w:bottom="0" w:gutter="0" w:footer="0" w:header="0"/>
        </w:sectPr>
      </w:pPr>
    </w:p>
    <w:bookmarkStart w:id="202" w:name="page203"/>
    <w:bookmarkEnd w:id="202"/>
    <w:p>
      <w:pPr>
        <w:spacing w:after="0" w:line="55"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The Senior Lenders shall be satisfied (in their sole discretion) with the sufficiency of amounts available under tile Revolving Credit Facility to meet the ongoing working capital needs of the Company and its subsidiaries following the Completion Date.</w:t>
      </w:r>
    </w:p>
    <w:p>
      <w:pPr>
        <w:spacing w:after="0" w:line="199" w:lineRule="exact"/>
        <w:rPr>
          <w:sz w:val="20"/>
          <w:szCs w:val="20"/>
          <w:color w:val="auto"/>
        </w:rPr>
      </w:pPr>
    </w:p>
    <w:p>
      <w:pPr>
        <w:ind w:left="540" w:right="560" w:hanging="532"/>
        <w:spacing w:after="0" w:line="306" w:lineRule="auto"/>
        <w:tabs>
          <w:tab w:leader="none" w:pos="54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Senior Lenders shall have received legal opinions (i) from counsel to Wynn Resorts, the Company, its subsidiaries and the other major project participants, (ii) from such special and local counsel as may be required by the Administrative Agent, and (iii) delivered in respect of the Second Mortgage Notes, the IPO and the FF&amp;E Facility, accompanied by reliance letters in favor of the Senior Lenders.</w:t>
      </w:r>
    </w:p>
    <w:p>
      <w:pPr>
        <w:spacing w:after="0" w:line="187" w:lineRule="exact"/>
        <w:rPr>
          <w:rFonts w:ascii="Arial" w:cs="Arial" w:eastAsia="Arial" w:hAnsi="Arial"/>
          <w:sz w:val="16"/>
          <w:szCs w:val="16"/>
          <w:color w:val="auto"/>
        </w:rPr>
      </w:pPr>
    </w:p>
    <w:p>
      <w:pPr>
        <w:ind w:left="540" w:right="280" w:hanging="532"/>
        <w:spacing w:after="0" w:line="268"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Senior Lenders shall have received such documents and other instruments as are customary for transactions of this type or as they may reasonably request.</w:t>
      </w:r>
    </w:p>
    <w:p>
      <w:pPr>
        <w:spacing w:after="0" w:line="199" w:lineRule="exact"/>
        <w:rPr>
          <w:rFonts w:ascii="Arial" w:cs="Arial" w:eastAsia="Arial" w:hAnsi="Arial"/>
          <w:sz w:val="18"/>
          <w:szCs w:val="18"/>
          <w:color w:val="auto"/>
        </w:rPr>
      </w:pPr>
    </w:p>
    <w:p>
      <w:pPr>
        <w:ind w:left="540" w:right="140" w:hanging="532"/>
        <w:spacing w:after="0" w:line="259"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On or before the Closing Date, the Company shall have obtained and maintained a rating accorded the Company's debt securities by any "nationally recognized statistical rating organization" (as such term is defined by the Securities and Exchange Commission for purposes of Rule 436(g)(2) under the Securities Act) that is satisfactory to the Senior Lenders.</w:t>
      </w:r>
    </w:p>
    <w:p>
      <w:pPr>
        <w:spacing w:after="0" w:line="207" w:lineRule="exact"/>
        <w:rPr>
          <w:rFonts w:ascii="Arial" w:cs="Arial" w:eastAsia="Arial" w:hAnsi="Arial"/>
          <w:sz w:val="18"/>
          <w:szCs w:val="18"/>
          <w:color w:val="auto"/>
        </w:rPr>
      </w:pPr>
    </w:p>
    <w:p>
      <w:pPr>
        <w:ind w:left="540" w:right="540" w:hanging="532"/>
        <w:spacing w:after="0" w:line="332" w:lineRule="auto"/>
        <w:tabs>
          <w:tab w:leader="none" w:pos="54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Senior Lenders shall have received consents to assignments, in form and substance acceptable to the Senior Lenders, from each of the General Contractor, the guarantor under the Construction Contract Guarantee, and each other party to a material project agreement.</w:t>
      </w:r>
    </w:p>
    <w:p>
      <w:pPr>
        <w:spacing w:after="0" w:line="166" w:lineRule="exact"/>
        <w:rPr>
          <w:rFonts w:ascii="Arial" w:cs="Arial" w:eastAsia="Arial" w:hAnsi="Arial"/>
          <w:sz w:val="16"/>
          <w:szCs w:val="16"/>
          <w:color w:val="auto"/>
        </w:rPr>
      </w:pPr>
    </w:p>
    <w:p>
      <w:pPr>
        <w:ind w:left="540" w:right="80" w:hanging="532"/>
        <w:spacing w:after="0" w:line="256"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Arrangements reasonably satisfactory to the Senior Lenders have been entered into and are in full force and effect to ensure that a gaming license for the Project will be obtainable in the event that one of the major (direct or indirect) shareholders in the Company is unable to qualify for such license (it being understood that such arrangements may not involve any cash payments (other than pursuant to a subordinated promissory note approved by the Senior Lenders) to any such shareholder).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B-II TO COMMITMENT LETTER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ALL EXTENSIONS OF CREDIT</w:t>
      </w:r>
    </w:p>
    <w:p>
      <w:pPr>
        <w:spacing w:after="0" w:line="219"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i w:val="1"/>
          <w:iCs w:val="1"/>
          <w:color w:val="auto"/>
        </w:rPr>
        <w:t>Capitalized terms used but not defined herein have the meanings assigned to them in the Commitment Letter to which this Exhibit B is attached and of which it forms a part. The availability of the Credit Facilities is conditioned upon satisfaction of, among other things, the conditions precedent summarized below.</w:t>
      </w:r>
    </w:p>
    <w:p>
      <w:pPr>
        <w:spacing w:after="0" w:line="153" w:lineRule="exact"/>
        <w:rPr>
          <w:sz w:val="20"/>
          <w:szCs w:val="20"/>
          <w:color w:val="auto"/>
        </w:rPr>
      </w:pPr>
    </w:p>
    <w:p>
      <w:pPr>
        <w:ind w:left="540" w:right="100" w:hanging="532"/>
        <w:spacing w:after="0" w:line="332" w:lineRule="auto"/>
        <w:tabs>
          <w:tab w:leader="none" w:pos="54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representations and warranties in the Credit Documentation (including, without limitation, the material adverse change and litigation representations and the representations relating to the other material agreements relating to the Project) shall be true and correct.</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 default or event of default shall be in existence at the time of, or after giving effect to the making of, any extension of credit.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In Balance Requirement shall be satisfied, as confirmed by the Senior Lenders' Consultant.</w:t>
      </w:r>
    </w:p>
    <w:p>
      <w:pPr>
        <w:spacing w:after="0" w:line="238" w:lineRule="exact"/>
        <w:rPr>
          <w:rFonts w:ascii="Arial" w:cs="Arial" w:eastAsia="Arial" w:hAnsi="Arial"/>
          <w:sz w:val="18"/>
          <w:szCs w:val="18"/>
          <w:color w:val="auto"/>
        </w:rPr>
      </w:pPr>
    </w:p>
    <w:p>
      <w:pPr>
        <w:ind w:left="540" w:right="260" w:hanging="532"/>
        <w:spacing w:after="0" w:line="259"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Company shall have delivered to the Disbursement Agent a disbursement request, confirmed by the Senior Lenders' Consultant, certifying as to various matters including, without limitation, (i) funding sequence, (ii) accuracy of the Budget, (iii) budget line item allocations and (iv) application of proceeds.</w:t>
      </w:r>
    </w:p>
    <w:p>
      <w:pPr>
        <w:spacing w:after="0" w:line="207"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Disbursement Agent shall have received approvals from, among others, the Company, the Senior Lenders' Consultant and the architect and engineers, as applicable, as to the substantial conformity of construction undertaken to date with the Plans for the Project.</w:t>
      </w:r>
    </w:p>
    <w:p>
      <w:pPr>
        <w:spacing w:after="0" w:line="212" w:lineRule="exact"/>
        <w:rPr>
          <w:rFonts w:ascii="Arial" w:cs="Arial" w:eastAsia="Arial" w:hAnsi="Arial"/>
          <w:sz w:val="18"/>
          <w:szCs w:val="18"/>
          <w:color w:val="auto"/>
        </w:rPr>
      </w:pPr>
    </w:p>
    <w:p>
      <w:pPr>
        <w:ind w:left="540" w:right="80" w:hanging="532"/>
        <w:spacing w:after="0" w:line="332" w:lineRule="auto"/>
        <w:tabs>
          <w:tab w:leader="none" w:pos="54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All of the Credit Documentation and each other material agreement applicable to the Project shall be in full force and effect, and the Senior Lenders shall continue to have a perfected, first-priority security interest, subject only to certain customary permitted liens to be agreed upon, in the collateral.</w:t>
      </w:r>
    </w:p>
    <w:p>
      <w:pPr>
        <w:spacing w:after="0" w:line="152" w:lineRule="exact"/>
        <w:rPr>
          <w:rFonts w:ascii="Arial" w:cs="Arial" w:eastAsia="Arial" w:hAnsi="Arial"/>
          <w:sz w:val="16"/>
          <w:szCs w:val="16"/>
          <w:color w:val="auto"/>
        </w:rPr>
      </w:pPr>
    </w:p>
    <w:p>
      <w:pPr>
        <w:ind w:left="540" w:right="240" w:hanging="532"/>
        <w:spacing w:after="0" w:line="268"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Company shall have certified and the Senior Lenders' Consultant shall have confirmed in writing that the Project will be completed by the Outside Date.</w:t>
      </w:r>
    </w:p>
    <w:p>
      <w:pPr>
        <w:spacing w:after="0" w:line="199" w:lineRule="exact"/>
        <w:rPr>
          <w:rFonts w:ascii="Arial" w:cs="Arial" w:eastAsia="Arial" w:hAnsi="Arial"/>
          <w:sz w:val="18"/>
          <w:szCs w:val="18"/>
          <w:color w:val="auto"/>
        </w:rPr>
      </w:pPr>
    </w:p>
    <w:p>
      <w:pPr>
        <w:ind w:left="540" w:hanging="532"/>
        <w:spacing w:after="0" w:line="253"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All governmental and third party approvals (including landlords' and other consents) and consents including regulatory approvals (i) then required or, in the discretion of the Administrative Agent and the Syndication Agent, then advisable or (ii) of a type that is not routinely granted by the applicable authority or is subject to material discretion by the applicable authority (other than the gaming license) and that will be necessary or, in the discretion of the Administrative Agent and the Syndication Agent, advisable in connection with the Project (including, without limitation, water rights and entitlements satisfactory to the Senior Lenders), the financing contemplated hereby and the continuing operations of the Company, its subsidiaries and each of the Credit Parties shall have been obtained and be in full force and effect, and all applicable waiting periods shall have expired without any action being taken or threatened by any competent authority that would restrain, prevent or otherwise impose adverse conditions on the Project or the financing contemplated hereby.</w:t>
      </w:r>
    </w:p>
    <w:p>
      <w:pPr>
        <w:spacing w:after="0" w:line="226" w:lineRule="exact"/>
        <w:rPr>
          <w:rFonts w:ascii="Arial" w:cs="Arial" w:eastAsia="Arial" w:hAnsi="Arial"/>
          <w:sz w:val="18"/>
          <w:szCs w:val="18"/>
          <w:color w:val="auto"/>
        </w:rPr>
      </w:pPr>
    </w:p>
    <w:p>
      <w:pPr>
        <w:ind w:left="540" w:right="340" w:hanging="532"/>
        <w:spacing w:after="0" w:line="268"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There shall not have occurred or become known to the Senior Lenders any event, development or circumstance that has caused or resulted in or could reasonably be expected to cause or result in a Material Adverse Effect.</w:t>
      </w:r>
    </w:p>
    <w:p>
      <w:pPr>
        <w:spacing w:after="0" w:line="199"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Company shall have delivered to the Disbursement Agent, in the forms required under the Disbursement Agreement, acknowledgments of payment, lien releases, and title insurance endorsements.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All conditions set forth in the Disbursement Agreement for the disbursement of funds shall have been satisfied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380" w:hanging="532"/>
        <w:spacing w:after="0" w:line="268" w:lineRule="auto"/>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Senior Lenders shall have received a binding commitment with respect to the FF&amp;E Facility on terms and conditions and in an amount and from lenders acceptable to the Senior Lenders, and such binding commitment shall remain in full force and effect.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w:t>
      </w:r>
    </w:p>
    <w:p>
      <w:pPr>
        <w:sectPr>
          <w:pgSz w:w="11900" w:h="16894" w:orient="portrait"/>
          <w:cols w:equalWidth="0" w:num="1">
            <w:col w:w="11400"/>
          </w:cols>
          <w:pgMar w:left="240" w:top="132" w:right="259" w:bottom="0" w:gutter="0" w:footer="0" w:header="0"/>
        </w:sectPr>
      </w:pPr>
    </w:p>
    <w:bookmarkStart w:id="203" w:name="page204"/>
    <w:bookmarkEnd w:id="203"/>
    <w:p>
      <w:pPr>
        <w:ind w:left="540" w:right="40"/>
        <w:spacing w:after="0" w:line="268" w:lineRule="auto"/>
        <w:rPr>
          <w:sz w:val="20"/>
          <w:szCs w:val="20"/>
          <w:color w:val="auto"/>
        </w:rPr>
      </w:pPr>
      <w:r>
        <w:rPr>
          <w:rFonts w:ascii="Arial" w:cs="Arial" w:eastAsia="Arial" w:hAnsi="Arial"/>
          <w:sz w:val="18"/>
          <w:szCs w:val="18"/>
          <w:color w:val="auto"/>
        </w:rPr>
        <w:t>The Company shall have complied with all of its obligations under and agreements in the Credit Documentation (to the extent then due and required to be complied with).</w:t>
      </w:r>
    </w:p>
    <w:p>
      <w:pPr>
        <w:spacing w:after="0" w:line="199" w:lineRule="exact"/>
        <w:rPr>
          <w:sz w:val="20"/>
          <w:szCs w:val="20"/>
          <w:color w:val="auto"/>
        </w:rPr>
      </w:pPr>
    </w:p>
    <w:p>
      <w:pPr>
        <w:ind w:left="540" w:right="280" w:hanging="532"/>
        <w:spacing w:after="0" w:line="268"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Senior Lenders shall have received such documents and other instruments as are customary for transactions of this type or as they may reasonably request.</w:t>
      </w:r>
    </w:p>
    <w:p>
      <w:pPr>
        <w:spacing w:after="0" w:line="212" w:lineRule="exact"/>
        <w:rPr>
          <w:rFonts w:ascii="Arial" w:cs="Arial" w:eastAsia="Arial" w:hAnsi="Arial"/>
          <w:sz w:val="18"/>
          <w:szCs w:val="18"/>
          <w:color w:val="auto"/>
        </w:rPr>
      </w:pPr>
    </w:p>
    <w:p>
      <w:pPr>
        <w:ind w:left="540" w:right="80" w:hanging="532"/>
        <w:spacing w:after="0" w:line="256"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Arrangements reasonably satisfactory to the Senior Lenders have been entered into and are in full force and effect to ensure that a gaming license for the Project will be obtainable in the event that one of the major (direct or indirect) shareholders in the Company is unable to qualify for such license (it being understood that such arrangements may not involve any cash payments (other than pursuant to a subordinated promissory note approved by the Senior Lenders) to any such shareholder).</w:t>
      </w:r>
    </w:p>
    <w:p>
      <w:pPr>
        <w:spacing w:after="0" w:line="210"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Company shall have procured, if available on commercially reasonable terms in the reasonable determination of the Senior Lenders' insurance consultant (taking into account the state of the insurance market at such time and the then current practices of comparable projects), terrorism insurance in size and substance satisfactory to the Senior Lenders.</w:t>
      </w:r>
    </w:p>
    <w:p>
      <w:pPr>
        <w:spacing w:after="0" w:line="207" w:lineRule="exact"/>
        <w:rPr>
          <w:rFonts w:ascii="Arial" w:cs="Arial" w:eastAsia="Arial" w:hAnsi="Arial"/>
          <w:sz w:val="18"/>
          <w:szCs w:val="18"/>
          <w:color w:val="auto"/>
        </w:rPr>
      </w:pPr>
    </w:p>
    <w:p>
      <w:pPr>
        <w:ind w:left="540" w:right="280" w:hanging="532"/>
        <w:spacing w:after="0" w:line="259"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General Contractor shall have received subcontractor bids reasonably satisfactory to the Senior Lenders in respect of a specified percentage of the guaranteed maximum price under the Construction Contract, which percentage shall be mutually agreed upon between the Company and the Senior Lenders.</w:t>
      </w:r>
    </w:p>
    <w:p>
      <w:pPr>
        <w:spacing w:after="0" w:line="221"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There shall be in place arrangements reasonably satisfactory to the Senior Lenders ensuring that the Company will have the benefit of the necessary water rights to develop and operate the Project as contemplated in the Credit Documentation.</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order to allow the lenders and the Senior Lenders' Consultant to remain engaged and up to date on the progress of construction, and in order to confirm that the required amount of equity is funded by the Company into the Project and to ensure a seamless transition from equity funding to funding under the Credit Facilities, a subset of the foregoing conditions shall be used to monitor the funding of equity into the Project prior to disbursement of Credit Facilities proceeds, it being understood that failure to meet any such subset of conditions shall not preclude or delay the funding of any such equity into the Project, but shall permit the Senior Lenders to withhold advances under the Credit Facilities.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 TO THE COMMITMENT LETTER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RESTRICTIONS</w:t>
      </w:r>
    </w:p>
    <w:p>
      <w:pPr>
        <w:spacing w:after="0" w:line="21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Capitalized terms used but not defined herein have the meanings assigned to them in the Commitment Letter to which this Exhibit C is attached and of which it forms apart.</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Commitment Letter and the Fee Letter and the terms and conditions therein (the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shall be kept strictly confidential and shall not, without the Participating Institutions prior written consent, be disclosed by you or your agents, representatives (including attorneys, accountants and financial consultants), affiliates, officers, directors or employees (collectively, the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in any manner whatsoever, in whole or in part except as provided in this Exhibit C. The Confidential Information shall be used by you and your Representatives solely for the purpose of evaluating, negotiating or effecting the Credit Facilities. Moreover, you agree to transmit the Confidential Information (including any information about the Commitment Letter and the Fee Letter, or its terms or conditions or any other facts relating thereto, including, without limitation, the fact that any Confidential Information has been made available to you) only to Representatives who need to know the Confidential Information for the purpose of evaluating or negotiating or effecting the Credit Facilities and who are informed by you of the confidential nature of the Confidential Information and who have agreed to act in accordance with your obligations contained in this Agreement. In any event, you shall be liable for any use of the Confidential Information by its affiliated Representative in breach of this Exhibit C.</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the event that you or any of your Representatives to whom you transmit any Confidential Information pursuant to the Commitment Letter or the Fee Letter is required by applicable law or regulation, by any stock exchange rule or regulation, or in response to any request or directive (whether or not having the force of law) from any central bank or other governmental or bank regulatory authority (collectively, the "</w:t>
      </w:r>
      <w:r>
        <w:rPr>
          <w:rFonts w:ascii="Arial" w:cs="Arial" w:eastAsia="Arial" w:hAnsi="Arial"/>
          <w:sz w:val="16"/>
          <w:szCs w:val="16"/>
          <w:b w:val="1"/>
          <w:bCs w:val="1"/>
          <w:i w:val="1"/>
          <w:iCs w:val="1"/>
          <w:color w:val="auto"/>
        </w:rPr>
        <w:t>Legal Requirements</w:t>
      </w:r>
      <w:r>
        <w:rPr>
          <w:rFonts w:ascii="Arial" w:cs="Arial" w:eastAsia="Arial" w:hAnsi="Arial"/>
          <w:sz w:val="16"/>
          <w:szCs w:val="16"/>
          <w:color w:val="auto"/>
        </w:rPr>
        <w:t>") to disclose any Confidential Information, you will provide the Participating Institutions with prompt written notice thereof so the Participating Institutions may (i) seek a protective order or other appropriate remedy, or (ii) consult with you with respect to efforts to resist or narrow the scope of such required disclosure. In the event that such protective order or other remedy is not obtained, you shall disclose only that portion of the Confidential Information that you are required under Legal Requirements to disclose, and, to the extent permitted by Legal Requirements, you shall exercise commercially reasonable efforts to obtain reliable assurance that confidential treatment will be accorded all Confidential Information disclosed under this paragraph. Notwithstanding anything to the contrary herein, neither you nor any of your Representatives shall have liability to the Participating Institutions or any other person as a result of the disclosure of Confidential Information in accordance with this paragraph.</w:t>
      </w:r>
    </w:p>
    <w:p>
      <w:pPr>
        <w:spacing w:after="0" w:line="177" w:lineRule="exact"/>
        <w:rPr>
          <w:sz w:val="20"/>
          <w:szCs w:val="20"/>
          <w:color w:val="auto"/>
        </w:rPr>
      </w:pPr>
    </w:p>
    <w:p>
      <w:pPr>
        <w:ind w:right="40" w:firstLine="345"/>
        <w:spacing w:after="0" w:line="255" w:lineRule="auto"/>
        <w:rPr>
          <w:sz w:val="20"/>
          <w:szCs w:val="20"/>
          <w:color w:val="auto"/>
        </w:rPr>
      </w:pPr>
      <w:r>
        <w:rPr>
          <w:rFonts w:ascii="Arial" w:cs="Arial" w:eastAsia="Arial" w:hAnsi="Arial"/>
          <w:sz w:val="18"/>
          <w:szCs w:val="18"/>
          <w:color w:val="auto"/>
        </w:rPr>
        <w:t>You acknowledge that, if you or any of your Representatives breach any of the limitations on disclosure or use or retention of Confidential Information set forth herein, each of the Participating Institutions is likely to suffer irreparable harm and, accordingly, in addition to any other remedies available to the Participating Institutions for such breach or a threatened breach, including the recovery of damages, the Participating Institutions shall be entitled to an injunction restraining you and your Representatives from any unauthorized disclosure or use, in whole or in part, of such Confidential Information in breach of this Exhibit C.</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the event that the Participating Institutions or any of their Representatives to whom they transmit any Confidential Information pursuant to the Commitment Letter or the Fee Letter is required by any Legal Requirements to disclose any Confidential Information, the Participating Institutions will provide you with prompt written notice thereof so you may (i) seek a protective order or other appropriate remedy, or (ii) consult with the Participating Institutions with respect to efforts to resist or narrow the scope of such required disclosure. In the event that such protective order or other remedy is not obtained, the Participating Institutions shall disclose only that portion of the Confidential</w:t>
      </w:r>
    </w:p>
    <w:p>
      <w:pPr>
        <w:sectPr>
          <w:pgSz w:w="11900" w:h="16838" w:orient="portrait"/>
          <w:cols w:equalWidth="0" w:num="1">
            <w:col w:w="11400"/>
          </w:cols>
          <w:pgMar w:left="240" w:top="131" w:right="259" w:bottom="711"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711" w:gutter="0" w:footer="0" w:header="0"/>
          <w:type w:val="continuous"/>
        </w:sectPr>
      </w:pPr>
    </w:p>
    <w:bookmarkStart w:id="204" w:name="page205"/>
    <w:bookmarkEnd w:id="204"/>
    <w:p>
      <w:pPr>
        <w:ind w:right="80"/>
        <w:spacing w:after="0" w:line="298" w:lineRule="auto"/>
        <w:rPr>
          <w:sz w:val="20"/>
          <w:szCs w:val="20"/>
          <w:color w:val="auto"/>
        </w:rPr>
      </w:pPr>
      <w:r>
        <w:rPr>
          <w:rFonts w:ascii="Arial" w:cs="Arial" w:eastAsia="Arial" w:hAnsi="Arial"/>
          <w:sz w:val="16"/>
          <w:szCs w:val="16"/>
          <w:color w:val="auto"/>
        </w:rPr>
        <w:t>Information that we are required under Legal Requirements to disclose, and, to the extent permitted by Legal Requirements, the Participating Institutions shall exercise their commercially reasonable efforts to obtain reliable assurance that confidential treatment will be accorded all Confidential Information disclosed under this paragraph. Notwithstanding anything to the contrary herein, neither the Participating Institutions nor any of their Representatives shall have liability to you or any other person as a result of the disclosure of Confidential Information in accordance with this paragraph.</w:t>
      </w:r>
    </w:p>
    <w:p>
      <w:pPr>
        <w:spacing w:after="0" w:line="16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Each party acknowledges that, if such party or any of its Representatives breaches any of the limitations on disclosure or use or retention of Confidential Information set forth herein, each of the other parties is likely to suffer irreparable harm and, accordingly, in addition to any other remedies available to such other party for such breach or a threatened breach, including the recovery of damages, such other party shall be entitled to an injunction restraining the party that is breaching or threatening to breach and its Representatives from any unauthorized disclosure or use, in whole or in part, of such Confidential Information in breach of this Exhibit C.</w:t>
      </w:r>
    </w:p>
    <w:p>
      <w:pPr>
        <w:spacing w:after="0" w:line="197"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foregoing shall not prohibit the disclosure of the terms of this Commitment Letter by Wynn Resorts and its affiliates (i) in filings with the Securities and Exchange Commission in connection with the initial public offering by Wynn Resorts and the issuance of the Second Mortgage Notes or with the Nevada Gaming Commission in connection with the licensing of the Project or Wynn Resorts and its affiliates or (ii) as required by applicable securities law.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AMENDED AND RESTATED COMMITMENT LETTER</w:t>
        </w:r>
      </w:hyperlink>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22"/>
          <w:szCs w:val="22"/>
          <w:color w:val="0000EE"/>
        </w:rPr>
      </w:pPr>
      <w:hyperlink w:anchor="page20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AGREEMENT FOR GUARANTEE MAXIMUM PRICE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CONSTRUCTION SERVICES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CHANGE ORDER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 August 2002</w:t>
      </w:r>
    </w:p>
    <w:p>
      <w:pPr>
        <w:spacing w:after="0" w:line="22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b w:val="1"/>
          <w:bCs w:val="1"/>
          <w:color w:val="auto"/>
        </w:rPr>
        <w:t>Project: Le Rêve</w:t>
      </w:r>
      <w:r>
        <w:rPr>
          <w:sz w:val="20"/>
          <w:szCs w:val="20"/>
          <w:color w:val="auto"/>
        </w:rPr>
        <w:tab/>
      </w:r>
      <w:r>
        <w:rPr>
          <w:rFonts w:ascii="Arial" w:cs="Arial" w:eastAsia="Arial" w:hAnsi="Arial"/>
          <w:sz w:val="16"/>
          <w:szCs w:val="16"/>
          <w:b w:val="1"/>
          <w:bCs w:val="1"/>
          <w:color w:val="auto"/>
        </w:rPr>
        <w:t>Change in Order No.: 1</w:t>
      </w:r>
    </w:p>
    <w:p>
      <w:pPr>
        <w:spacing w:after="0" w:line="22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Contractor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Owner</w:t>
      </w:r>
      <w:r>
        <w:rPr>
          <w:rFonts w:ascii="Arial" w:cs="Arial" w:eastAsia="Arial" w:hAnsi="Arial"/>
          <w:sz w:val="16"/>
          <w:szCs w:val="16"/>
          <w:color w:val="auto"/>
        </w:rPr>
        <w:t>":</w:t>
      </w:r>
    </w:p>
    <w:p>
      <w:pPr>
        <w:spacing w:after="0" w:line="2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MARNELL CORRAO ASSOCIATES, INC.</w:t>
      </w:r>
      <w:r>
        <w:rPr>
          <w:sz w:val="20"/>
          <w:szCs w:val="20"/>
          <w:color w:val="auto"/>
        </w:rPr>
        <w:tab/>
      </w:r>
      <w:r>
        <w:rPr>
          <w:rFonts w:ascii="Arial" w:cs="Arial" w:eastAsia="Arial" w:hAnsi="Arial"/>
          <w:sz w:val="16"/>
          <w:szCs w:val="16"/>
          <w:color w:val="auto"/>
        </w:rPr>
        <w:t>WYNN LAS VEGAS, LLC</w:t>
      </w:r>
    </w:p>
    <w:p>
      <w:pPr>
        <w:spacing w:after="0" w:line="9"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4495 South Polaris Avenue</w:t>
      </w:r>
      <w:r>
        <w:rPr>
          <w:sz w:val="20"/>
          <w:szCs w:val="20"/>
          <w:color w:val="auto"/>
        </w:rPr>
        <w:tab/>
      </w:r>
      <w:r>
        <w:rPr>
          <w:rFonts w:ascii="Arial" w:cs="Arial" w:eastAsia="Arial" w:hAnsi="Arial"/>
          <w:sz w:val="15"/>
          <w:szCs w:val="15"/>
          <w:color w:val="auto"/>
        </w:rPr>
        <w:t>3145 Las Vegas Boulevard So.</w:t>
      </w:r>
    </w:p>
    <w:p>
      <w:pPr>
        <w:spacing w:after="0" w:line="9"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Las Vegas, Nevada 89103</w:t>
      </w:r>
      <w:r>
        <w:rPr>
          <w:sz w:val="20"/>
          <w:szCs w:val="20"/>
          <w:color w:val="auto"/>
        </w:rPr>
        <w:tab/>
      </w:r>
      <w:r>
        <w:rPr>
          <w:rFonts w:ascii="Arial" w:cs="Arial" w:eastAsia="Arial" w:hAnsi="Arial"/>
          <w:sz w:val="15"/>
          <w:szCs w:val="15"/>
          <w:color w:val="auto"/>
        </w:rPr>
        <w:t>Las Vegas, Nevada 89109</w:t>
      </w:r>
    </w:p>
    <w:p>
      <w:pPr>
        <w:spacing w:after="0" w:line="213" w:lineRule="exact"/>
        <w:rPr>
          <w:sz w:val="20"/>
          <w:szCs w:val="20"/>
          <w:color w:val="auto"/>
        </w:rPr>
      </w:pPr>
    </w:p>
    <w:p>
      <w:pPr>
        <w:ind w:right="60" w:firstLine="348"/>
        <w:spacing w:after="0" w:line="275" w:lineRule="auto"/>
        <w:rPr>
          <w:sz w:val="20"/>
          <w:szCs w:val="20"/>
          <w:color w:val="auto"/>
        </w:rPr>
      </w:pPr>
      <w:r>
        <w:rPr>
          <w:rFonts w:ascii="Arial" w:cs="Arial" w:eastAsia="Arial" w:hAnsi="Arial"/>
          <w:sz w:val="18"/>
          <w:szCs w:val="18"/>
          <w:color w:val="auto"/>
        </w:rPr>
        <w:t xml:space="preserve">That certain </w:t>
      </w:r>
      <w:r>
        <w:rPr>
          <w:rFonts w:ascii="Arial" w:cs="Arial" w:eastAsia="Arial" w:hAnsi="Arial"/>
          <w:sz w:val="18"/>
          <w:szCs w:val="18"/>
          <w:b w:val="1"/>
          <w:bCs w:val="1"/>
          <w:color w:val="auto"/>
        </w:rPr>
        <w:t>Agreement for Guaranteed Maximum Price Construction Services between Owner and Contractor for Le Rêve</w:t>
      </w:r>
      <w:r>
        <w:rPr>
          <w:rFonts w:ascii="Arial" w:cs="Arial" w:eastAsia="Arial" w:hAnsi="Arial"/>
          <w:sz w:val="18"/>
          <w:szCs w:val="18"/>
          <w:color w:val="auto"/>
        </w:rPr>
        <w:t xml:space="preserve"> dated as of June 4, 2002 ("</w:t>
      </w:r>
      <w:r>
        <w:rPr>
          <w:rFonts w:ascii="Arial" w:cs="Arial" w:eastAsia="Arial" w:hAnsi="Arial"/>
          <w:sz w:val="18"/>
          <w:szCs w:val="18"/>
          <w:b w:val="1"/>
          <w:bCs w:val="1"/>
          <w:color w:val="auto"/>
        </w:rPr>
        <w:t>Contract</w:t>
      </w:r>
      <w:r>
        <w:rPr>
          <w:rFonts w:ascii="Arial" w:cs="Arial" w:eastAsia="Arial" w:hAnsi="Arial"/>
          <w:sz w:val="18"/>
          <w:szCs w:val="18"/>
          <w:color w:val="auto"/>
        </w:rPr>
        <w:t>") is hereby modified as follows:</w:t>
      </w:r>
    </w:p>
    <w:p>
      <w:pPr>
        <w:spacing w:after="0" w:line="187" w:lineRule="exact"/>
        <w:rPr>
          <w:sz w:val="20"/>
          <w:szCs w:val="20"/>
          <w:color w:val="auto"/>
        </w:rPr>
      </w:pPr>
    </w:p>
    <w:p>
      <w:pPr>
        <w:ind w:left="540" w:hanging="532"/>
        <w:spacing w:after="0"/>
        <w:tabs>
          <w:tab w:leader="none" w:pos="54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SCOPE OF WORK</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Scope of Work is changed as follows:</w:t>
      </w:r>
    </w:p>
    <w:p>
      <w:pPr>
        <w:spacing w:after="0" w:line="252" w:lineRule="exact"/>
        <w:rPr>
          <w:sz w:val="20"/>
          <w:szCs w:val="20"/>
          <w:color w:val="auto"/>
        </w:rPr>
      </w:pPr>
    </w:p>
    <w:p>
      <w:pPr>
        <w:ind w:left="1080" w:hanging="532"/>
        <w:spacing w:after="0"/>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Highrise Height Increase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300" w:hanging="532"/>
        <w:spacing w:after="0" w:line="259" w:lineRule="auto"/>
        <w:tabs>
          <w:tab w:leader="none" w:pos="1620" w:val="left"/>
        </w:tabs>
        <w:numPr>
          <w:ilvl w:val="1"/>
          <w:numId w:val="314"/>
        </w:numPr>
        <w:rPr>
          <w:rFonts w:ascii="Arial" w:cs="Arial" w:eastAsia="Arial" w:hAnsi="Arial"/>
          <w:sz w:val="18"/>
          <w:szCs w:val="18"/>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Increase typical guestroom floor height by one foot per floor. All Work shall be in accordance with revised design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published 7/18/02 by Wynn Design and Development, including the revised Architectural section published by Butler Ashworth on 7/15/02.</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314"/>
        </w:numPr>
        <w:rPr>
          <w:rFonts w:ascii="Arial" w:cs="Arial" w:eastAsia="Arial" w:hAnsi="Arial"/>
          <w:sz w:val="16"/>
          <w:szCs w:val="16"/>
          <w:color w:val="auto"/>
        </w:rPr>
      </w:pPr>
      <w:r>
        <w:rPr>
          <w:rFonts w:ascii="Arial" w:cs="Arial" w:eastAsia="Arial" w:hAnsi="Arial"/>
          <w:sz w:val="16"/>
          <w:szCs w:val="16"/>
          <w:i w:val="1"/>
          <w:iCs w:val="1"/>
          <w:color w:val="auto"/>
        </w:rPr>
        <w:t xml:space="preserve">Increase/Decrease to Guaranteed Maximum Price. </w:t>
      </w:r>
      <w:r>
        <w:rPr>
          <w:rFonts w:ascii="Arial" w:cs="Arial" w:eastAsia="Arial" w:hAnsi="Arial"/>
          <w:sz w:val="16"/>
          <w:szCs w:val="16"/>
          <w:color w:val="auto"/>
        </w:rPr>
        <w:t>Total increase per MCA Change Proposal No. 1 dated 8/9/02, $7,930,581.00.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ind w:left="1080" w:hanging="532"/>
        <w:spacing w:after="0"/>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Suite Wallcovering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314"/>
        </w:numPr>
        <w:rPr>
          <w:rFonts w:ascii="Arial" w:cs="Arial" w:eastAsia="Arial" w:hAnsi="Arial"/>
          <w:sz w:val="18"/>
          <w:szCs w:val="18"/>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Install Owner furnished wallcovering in lieu of providing finished paint surfaces at walls specified by Owner throughout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Parlor and Salon Suites.</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314"/>
        </w:numPr>
        <w:rPr>
          <w:rFonts w:ascii="Arial" w:cs="Arial" w:eastAsia="Arial" w:hAnsi="Arial"/>
          <w:sz w:val="16"/>
          <w:szCs w:val="16"/>
          <w:color w:val="auto"/>
        </w:rPr>
      </w:pPr>
      <w:r>
        <w:rPr>
          <w:rFonts w:ascii="Arial" w:cs="Arial" w:eastAsia="Arial" w:hAnsi="Arial"/>
          <w:sz w:val="16"/>
          <w:szCs w:val="16"/>
          <w:i w:val="1"/>
          <w:iCs w:val="1"/>
          <w:color w:val="auto"/>
        </w:rPr>
        <w:t xml:space="preserve">Increase/Decrease to Guaranteed Maximum Price. </w:t>
      </w:r>
      <w:r>
        <w:rPr>
          <w:rFonts w:ascii="Arial" w:cs="Arial" w:eastAsia="Arial" w:hAnsi="Arial"/>
          <w:sz w:val="16"/>
          <w:szCs w:val="16"/>
          <w:color w:val="auto"/>
        </w:rPr>
        <w:t>Total increase per MCA Change Proposal No. 2 dated 8/9/02, $87,125.00.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ind w:left="1080" w:hanging="532"/>
        <w:spacing w:after="0"/>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Project Bid Extension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60" w:hanging="532"/>
        <w:spacing w:after="0" w:line="268" w:lineRule="auto"/>
        <w:tabs>
          <w:tab w:leader="none" w:pos="1620" w:val="left"/>
        </w:tabs>
        <w:numPr>
          <w:ilvl w:val="1"/>
          <w:numId w:val="314"/>
        </w:numPr>
        <w:rPr>
          <w:rFonts w:ascii="Arial" w:cs="Arial" w:eastAsia="Arial" w:hAnsi="Arial"/>
          <w:sz w:val="18"/>
          <w:szCs w:val="18"/>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Increase costs due to extension of Highrise Subcontractor bids through September 2002, in support of the revised anticipated</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start date.</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314"/>
        </w:numPr>
        <w:rPr>
          <w:rFonts w:ascii="Arial" w:cs="Arial" w:eastAsia="Arial" w:hAnsi="Arial"/>
          <w:sz w:val="16"/>
          <w:szCs w:val="16"/>
          <w:color w:val="auto"/>
        </w:rPr>
      </w:pPr>
      <w:r>
        <w:rPr>
          <w:rFonts w:ascii="Arial" w:cs="Arial" w:eastAsia="Arial" w:hAnsi="Arial"/>
          <w:sz w:val="16"/>
          <w:szCs w:val="16"/>
          <w:i w:val="1"/>
          <w:iCs w:val="1"/>
          <w:color w:val="auto"/>
        </w:rPr>
        <w:t xml:space="preserve">Increase/Decrease to Guaranteed Maximum Price. </w:t>
      </w:r>
      <w:r>
        <w:rPr>
          <w:rFonts w:ascii="Arial" w:cs="Arial" w:eastAsia="Arial" w:hAnsi="Arial"/>
          <w:sz w:val="16"/>
          <w:szCs w:val="16"/>
          <w:color w:val="auto"/>
        </w:rPr>
        <w:t>Total increase per MCA Change Proposal No. 3 dated 8/9/02, $643,798.00.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ind w:left="1080" w:hanging="532"/>
        <w:spacing w:after="0"/>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i w:val="1"/>
          <w:iCs w:val="1"/>
          <w:color w:val="auto"/>
        </w:rPr>
        <w:t>Revised Room Mix/Salon Suite Revisions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620" w:right="80" w:hanging="532"/>
        <w:spacing w:after="0" w:line="259" w:lineRule="auto"/>
        <w:tabs>
          <w:tab w:leader="none" w:pos="1620" w:val="left"/>
        </w:tabs>
        <w:numPr>
          <w:ilvl w:val="1"/>
          <w:numId w:val="314"/>
        </w:numPr>
        <w:rPr>
          <w:rFonts w:ascii="Arial" w:cs="Arial" w:eastAsia="Arial" w:hAnsi="Arial"/>
          <w:sz w:val="18"/>
          <w:szCs w:val="18"/>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Provide all Work associated with the revised room mix and Salon suite modifications as shown in the Salon model room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Wynn Design and Development correspondence dated 7/3/02 &amp; 7/10/02 and revised Highrise drawings dated 6/24/02 as issued by Butler Ashworth.</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314"/>
        </w:numPr>
        <w:rPr>
          <w:rFonts w:ascii="Arial" w:cs="Arial" w:eastAsia="Arial" w:hAnsi="Arial"/>
          <w:sz w:val="16"/>
          <w:szCs w:val="16"/>
          <w:color w:val="auto"/>
        </w:rPr>
      </w:pPr>
      <w:r>
        <w:rPr>
          <w:rFonts w:ascii="Arial" w:cs="Arial" w:eastAsia="Arial" w:hAnsi="Arial"/>
          <w:sz w:val="16"/>
          <w:szCs w:val="16"/>
          <w:i w:val="1"/>
          <w:iCs w:val="1"/>
          <w:color w:val="auto"/>
        </w:rPr>
        <w:t xml:space="preserve">Increase/Decrease to Guaranteed Maximum Price. </w:t>
      </w:r>
      <w:r>
        <w:rPr>
          <w:rFonts w:ascii="Arial" w:cs="Arial" w:eastAsia="Arial" w:hAnsi="Arial"/>
          <w:sz w:val="16"/>
          <w:szCs w:val="16"/>
          <w:color w:val="auto"/>
        </w:rPr>
        <w:t>Total increase per MCA Change Proposal No. 4 dated 8/9/02, $1,592,895.00.</w:t>
      </w:r>
    </w:p>
    <w:p>
      <w:pPr>
        <w:sectPr>
          <w:pgSz w:w="11900" w:h="16838" w:orient="portrait"/>
          <w:cols w:equalWidth="0" w:num="1">
            <w:col w:w="11380"/>
          </w:cols>
          <w:pgMar w:left="240" w:top="36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80" w:hanging="532"/>
        <w:spacing w:after="0"/>
        <w:tabs>
          <w:tab w:leader="none" w:pos="1080" w:val="left"/>
        </w:tabs>
        <w:numPr>
          <w:ilvl w:val="0"/>
          <w:numId w:val="315"/>
        </w:numPr>
        <w:rPr>
          <w:rFonts w:ascii="Arial" w:cs="Arial" w:eastAsia="Arial" w:hAnsi="Arial"/>
          <w:sz w:val="16"/>
          <w:szCs w:val="16"/>
          <w:color w:val="auto"/>
        </w:rPr>
      </w:pPr>
      <w:r>
        <w:rPr>
          <w:rFonts w:ascii="Arial" w:cs="Arial" w:eastAsia="Arial" w:hAnsi="Arial"/>
          <w:sz w:val="16"/>
          <w:szCs w:val="16"/>
          <w:i w:val="1"/>
          <w:iCs w:val="1"/>
          <w:color w:val="auto"/>
        </w:rPr>
        <w:t>Highrise Media Revisions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0" w:gutter="0" w:footer="0" w:header="0"/>
          <w:type w:val="continuous"/>
        </w:sectPr>
      </w:pPr>
    </w:p>
    <w:bookmarkStart w:id="206" w:name="page207"/>
    <w:bookmarkEnd w:id="206"/>
    <w:p>
      <w:pPr>
        <w:ind w:left="1072" w:right="40" w:hanging="532"/>
        <w:spacing w:after="0" w:line="268" w:lineRule="auto"/>
        <w:tabs>
          <w:tab w:leader="none" w:pos="1072" w:val="left"/>
        </w:tabs>
        <w:numPr>
          <w:ilvl w:val="1"/>
          <w:numId w:val="316"/>
        </w:numPr>
        <w:rPr>
          <w:rFonts w:ascii="Arial" w:cs="Arial" w:eastAsia="Arial" w:hAnsi="Arial"/>
          <w:sz w:val="18"/>
          <w:szCs w:val="18"/>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Revise guestroom audio/visual systems to incorporate the use of plasma televisions in lieu of traditional CRT/armoire units as</w:t>
      </w:r>
      <w:r>
        <w:rPr>
          <w:rFonts w:ascii="Arial" w:cs="Arial" w:eastAsia="Arial" w:hAnsi="Arial"/>
          <w:sz w:val="18"/>
          <w:szCs w:val="18"/>
          <w:i w:val="1"/>
          <w:iCs w:val="1"/>
          <w:color w:val="auto"/>
        </w:rPr>
        <w:t xml:space="preserve"> </w:t>
      </w:r>
      <w:r>
        <w:rPr>
          <w:rFonts w:ascii="Arial" w:cs="Arial" w:eastAsia="Arial" w:hAnsi="Arial"/>
          <w:sz w:val="18"/>
          <w:szCs w:val="18"/>
          <w:color w:val="auto"/>
        </w:rPr>
        <w:t>depicted by Preliminary Design Drawings issued by Butler Ashworth dated 8/8/02.</w:t>
      </w:r>
    </w:p>
    <w:p>
      <w:pPr>
        <w:spacing w:after="0" w:line="212" w:lineRule="exact"/>
        <w:rPr>
          <w:rFonts w:ascii="Arial" w:cs="Arial" w:eastAsia="Arial" w:hAnsi="Arial"/>
          <w:sz w:val="18"/>
          <w:szCs w:val="18"/>
          <w:color w:val="auto"/>
        </w:rPr>
      </w:pPr>
    </w:p>
    <w:p>
      <w:pPr>
        <w:ind w:left="1072" w:hanging="532"/>
        <w:spacing w:after="0"/>
        <w:tabs>
          <w:tab w:leader="none" w:pos="1072" w:val="left"/>
        </w:tabs>
        <w:numPr>
          <w:ilvl w:val="1"/>
          <w:numId w:val="316"/>
        </w:numPr>
        <w:rPr>
          <w:rFonts w:ascii="Arial" w:cs="Arial" w:eastAsia="Arial" w:hAnsi="Arial"/>
          <w:sz w:val="16"/>
          <w:szCs w:val="16"/>
          <w:color w:val="auto"/>
        </w:rPr>
      </w:pPr>
      <w:r>
        <w:rPr>
          <w:rFonts w:ascii="Arial" w:cs="Arial" w:eastAsia="Arial" w:hAnsi="Arial"/>
          <w:sz w:val="16"/>
          <w:szCs w:val="16"/>
          <w:i w:val="1"/>
          <w:iCs w:val="1"/>
          <w:color w:val="auto"/>
        </w:rPr>
        <w:t xml:space="preserve">Increase/Decrease to Guaranteed Maximum Price. </w:t>
      </w:r>
      <w:r>
        <w:rPr>
          <w:rFonts w:ascii="Arial" w:cs="Arial" w:eastAsia="Arial" w:hAnsi="Arial"/>
          <w:sz w:val="16"/>
          <w:szCs w:val="16"/>
          <w:color w:val="auto"/>
        </w:rPr>
        <w:t>Total allowance per revised guestroom plans issued 8/8/02, $779,000.00.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532" w:hanging="532"/>
        <w:spacing w:after="0"/>
        <w:tabs>
          <w:tab w:leader="none" w:pos="532"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Lanai Program Revisions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right="60" w:hanging="532"/>
        <w:spacing w:after="0" w:line="268" w:lineRule="auto"/>
        <w:tabs>
          <w:tab w:leader="none" w:pos="1072" w:val="left"/>
        </w:tabs>
        <w:numPr>
          <w:ilvl w:val="1"/>
          <w:numId w:val="317"/>
        </w:numPr>
        <w:rPr>
          <w:rFonts w:ascii="Arial" w:cs="Arial" w:eastAsia="Arial" w:hAnsi="Arial"/>
          <w:sz w:val="18"/>
          <w:szCs w:val="18"/>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Reduce the Lanai Corridor width from 12' wide to 8' and modify plan to create a net footage reduction as specified by Owner.</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 a direct connection to VIP Pool Deck and add one guest elevator for a total of two (2).</w:t>
      </w:r>
    </w:p>
    <w:p>
      <w:pPr>
        <w:spacing w:after="0" w:line="212" w:lineRule="exact"/>
        <w:rPr>
          <w:rFonts w:ascii="Arial" w:cs="Arial" w:eastAsia="Arial" w:hAnsi="Arial"/>
          <w:sz w:val="18"/>
          <w:szCs w:val="18"/>
          <w:color w:val="auto"/>
        </w:rPr>
      </w:pPr>
    </w:p>
    <w:p>
      <w:pPr>
        <w:ind w:left="1072" w:right="560" w:hanging="532"/>
        <w:spacing w:after="0" w:line="268" w:lineRule="auto"/>
        <w:tabs>
          <w:tab w:leader="none" w:pos="1072" w:val="left"/>
        </w:tabs>
        <w:numPr>
          <w:ilvl w:val="1"/>
          <w:numId w:val="317"/>
        </w:numPr>
        <w:rPr>
          <w:rFonts w:ascii="Arial" w:cs="Arial" w:eastAsia="Arial" w:hAnsi="Arial"/>
          <w:sz w:val="18"/>
          <w:szCs w:val="18"/>
          <w:color w:val="auto"/>
        </w:rPr>
      </w:pPr>
      <w:r>
        <w:rPr>
          <w:rFonts w:ascii="Arial" w:cs="Arial" w:eastAsia="Arial" w:hAnsi="Arial"/>
          <w:sz w:val="18"/>
          <w:szCs w:val="18"/>
          <w:i w:val="1"/>
          <w:iCs w:val="1"/>
          <w:color w:val="auto"/>
        </w:rPr>
        <w:t xml:space="preserve">Increase/Decrease to Guaranteed Maximum Price. </w:t>
      </w:r>
      <w:r>
        <w:rPr>
          <w:rFonts w:ascii="Arial" w:cs="Arial" w:eastAsia="Arial" w:hAnsi="Arial"/>
          <w:sz w:val="18"/>
          <w:szCs w:val="18"/>
          <w:color w:val="auto"/>
        </w:rPr>
        <w:t>Total decrease per Program Area revisions and revised Master Plans, both dated</w:t>
      </w:r>
      <w:r>
        <w:rPr>
          <w:rFonts w:ascii="Arial" w:cs="Arial" w:eastAsia="Arial" w:hAnsi="Arial"/>
          <w:sz w:val="18"/>
          <w:szCs w:val="18"/>
          <w:i w:val="1"/>
          <w:iCs w:val="1"/>
          <w:color w:val="auto"/>
        </w:rPr>
        <w:t xml:space="preserve"> </w:t>
      </w:r>
      <w:r>
        <w:rPr>
          <w:rFonts w:ascii="Arial" w:cs="Arial" w:eastAsia="Arial" w:hAnsi="Arial"/>
          <w:sz w:val="18"/>
          <w:szCs w:val="18"/>
          <w:color w:val="auto"/>
        </w:rPr>
        <w:t>7/19/02 ($347,470.00).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32" w:hanging="532"/>
        <w:spacing w:after="0"/>
        <w:tabs>
          <w:tab w:leader="none" w:pos="532"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Villa Program Revisions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right="340" w:hanging="532"/>
        <w:spacing w:after="0" w:line="268" w:lineRule="auto"/>
        <w:tabs>
          <w:tab w:leader="none" w:pos="1072" w:val="left"/>
        </w:tabs>
        <w:numPr>
          <w:ilvl w:val="1"/>
          <w:numId w:val="317"/>
        </w:numPr>
        <w:rPr>
          <w:rFonts w:ascii="Arial" w:cs="Arial" w:eastAsia="Arial" w:hAnsi="Arial"/>
          <w:sz w:val="18"/>
          <w:szCs w:val="18"/>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Modify Villa program to reflect the incorporation of dining rooms, pantries and the addition of a residential type elevator,</w:t>
      </w:r>
      <w:r>
        <w:rPr>
          <w:rFonts w:ascii="Arial" w:cs="Arial" w:eastAsia="Arial" w:hAnsi="Arial"/>
          <w:sz w:val="18"/>
          <w:szCs w:val="18"/>
          <w:i w:val="1"/>
          <w:iCs w:val="1"/>
          <w:color w:val="auto"/>
        </w:rPr>
        <w:t xml:space="preserve"> </w:t>
      </w:r>
      <w:r>
        <w:rPr>
          <w:rFonts w:ascii="Arial" w:cs="Arial" w:eastAsia="Arial" w:hAnsi="Arial"/>
          <w:sz w:val="18"/>
          <w:szCs w:val="18"/>
          <w:color w:val="auto"/>
        </w:rPr>
        <w:t>one (1) each, in the two four bedroom Villas as specified by Owner.</w:t>
      </w:r>
    </w:p>
    <w:p>
      <w:pPr>
        <w:spacing w:after="0" w:line="212" w:lineRule="exact"/>
        <w:rPr>
          <w:rFonts w:ascii="Arial" w:cs="Arial" w:eastAsia="Arial" w:hAnsi="Arial"/>
          <w:sz w:val="18"/>
          <w:szCs w:val="18"/>
          <w:color w:val="auto"/>
        </w:rPr>
      </w:pPr>
    </w:p>
    <w:p>
      <w:pPr>
        <w:ind w:left="1072" w:hanging="532"/>
        <w:spacing w:after="0" w:line="268" w:lineRule="auto"/>
        <w:tabs>
          <w:tab w:leader="none" w:pos="1072" w:val="left"/>
        </w:tabs>
        <w:numPr>
          <w:ilvl w:val="1"/>
          <w:numId w:val="317"/>
        </w:numPr>
        <w:rPr>
          <w:rFonts w:ascii="Arial" w:cs="Arial" w:eastAsia="Arial" w:hAnsi="Arial"/>
          <w:sz w:val="18"/>
          <w:szCs w:val="18"/>
          <w:color w:val="auto"/>
        </w:rPr>
      </w:pPr>
      <w:r>
        <w:rPr>
          <w:rFonts w:ascii="Arial" w:cs="Arial" w:eastAsia="Arial" w:hAnsi="Arial"/>
          <w:sz w:val="18"/>
          <w:szCs w:val="18"/>
          <w:i w:val="1"/>
          <w:iCs w:val="1"/>
          <w:color w:val="auto"/>
        </w:rPr>
        <w:t xml:space="preserve">Increase/Decrease to Guaranteed Maximum Price. </w:t>
      </w:r>
      <w:r>
        <w:rPr>
          <w:rFonts w:ascii="Arial" w:cs="Arial" w:eastAsia="Arial" w:hAnsi="Arial"/>
          <w:sz w:val="18"/>
          <w:szCs w:val="18"/>
          <w:color w:val="auto"/>
        </w:rPr>
        <w:t>Total increase per Program Area revisions and revised Master Plans, both dated 7/19/02</w:t>
      </w:r>
      <w:r>
        <w:rPr>
          <w:rFonts w:ascii="Arial" w:cs="Arial" w:eastAsia="Arial" w:hAnsi="Arial"/>
          <w:sz w:val="18"/>
          <w:szCs w:val="18"/>
          <w:i w:val="1"/>
          <w:iCs w:val="1"/>
          <w:color w:val="auto"/>
        </w:rPr>
        <w:t xml:space="preserve"> </w:t>
      </w:r>
      <w:r>
        <w:rPr>
          <w:rFonts w:ascii="Arial" w:cs="Arial" w:eastAsia="Arial" w:hAnsi="Arial"/>
          <w:sz w:val="18"/>
          <w:szCs w:val="18"/>
          <w:color w:val="auto"/>
        </w:rPr>
        <w:t>$116,287.00.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32" w:hanging="532"/>
        <w:spacing w:after="0"/>
        <w:tabs>
          <w:tab w:leader="none" w:pos="532"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Lowrise Building Area Revision—Casino Level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072" w:right="180" w:hanging="532"/>
        <w:spacing w:after="0" w:line="259" w:lineRule="auto"/>
        <w:tabs>
          <w:tab w:leader="none" w:pos="1072" w:val="left"/>
        </w:tabs>
        <w:numPr>
          <w:ilvl w:val="1"/>
          <w:numId w:val="317"/>
        </w:numPr>
        <w:rPr>
          <w:rFonts w:ascii="Arial" w:cs="Arial" w:eastAsia="Arial" w:hAnsi="Arial"/>
          <w:sz w:val="18"/>
          <w:szCs w:val="18"/>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Modify program areas to reflect square footage as provided in revised Master Plans and Program Area revisions, both dated</w:t>
      </w:r>
      <w:r>
        <w:rPr>
          <w:rFonts w:ascii="Arial" w:cs="Arial" w:eastAsia="Arial" w:hAnsi="Arial"/>
          <w:sz w:val="18"/>
          <w:szCs w:val="18"/>
          <w:i w:val="1"/>
          <w:iCs w:val="1"/>
          <w:color w:val="auto"/>
        </w:rPr>
        <w:t xml:space="preserve"> </w:t>
      </w:r>
      <w:r>
        <w:rPr>
          <w:rFonts w:ascii="Arial" w:cs="Arial" w:eastAsia="Arial" w:hAnsi="Arial"/>
          <w:sz w:val="18"/>
          <w:szCs w:val="18"/>
          <w:color w:val="auto"/>
        </w:rPr>
        <w:t>7/19/02. Revise retail store lease mix and adjust Tenant fit-out allowances to reflect current lease arrangements as provided by Owner to Contractor.</w:t>
      </w:r>
    </w:p>
    <w:p>
      <w:pPr>
        <w:spacing w:after="0" w:line="221" w:lineRule="exact"/>
        <w:rPr>
          <w:rFonts w:ascii="Arial" w:cs="Arial" w:eastAsia="Arial" w:hAnsi="Arial"/>
          <w:sz w:val="18"/>
          <w:szCs w:val="18"/>
          <w:color w:val="auto"/>
        </w:rPr>
      </w:pPr>
    </w:p>
    <w:p>
      <w:pPr>
        <w:ind w:left="1072" w:right="560" w:hanging="532"/>
        <w:spacing w:after="0" w:line="268" w:lineRule="auto"/>
        <w:tabs>
          <w:tab w:leader="none" w:pos="1072" w:val="left"/>
        </w:tabs>
        <w:numPr>
          <w:ilvl w:val="1"/>
          <w:numId w:val="317"/>
        </w:numPr>
        <w:rPr>
          <w:rFonts w:ascii="Arial" w:cs="Arial" w:eastAsia="Arial" w:hAnsi="Arial"/>
          <w:sz w:val="18"/>
          <w:szCs w:val="18"/>
          <w:color w:val="auto"/>
        </w:rPr>
      </w:pPr>
      <w:r>
        <w:rPr>
          <w:rFonts w:ascii="Arial" w:cs="Arial" w:eastAsia="Arial" w:hAnsi="Arial"/>
          <w:sz w:val="18"/>
          <w:szCs w:val="18"/>
          <w:i w:val="1"/>
          <w:iCs w:val="1"/>
          <w:color w:val="auto"/>
        </w:rPr>
        <w:t xml:space="preserve">Increase/Decrease to Guaranteed Maximum Price. </w:t>
      </w:r>
      <w:r>
        <w:rPr>
          <w:rFonts w:ascii="Arial" w:cs="Arial" w:eastAsia="Arial" w:hAnsi="Arial"/>
          <w:sz w:val="18"/>
          <w:szCs w:val="18"/>
          <w:color w:val="auto"/>
        </w:rPr>
        <w:t>Total decrease per Program Area revisions and revised Master Plans, both dated</w:t>
      </w:r>
      <w:r>
        <w:rPr>
          <w:rFonts w:ascii="Arial" w:cs="Arial" w:eastAsia="Arial" w:hAnsi="Arial"/>
          <w:sz w:val="18"/>
          <w:szCs w:val="18"/>
          <w:i w:val="1"/>
          <w:iCs w:val="1"/>
          <w:color w:val="auto"/>
        </w:rPr>
        <w:t xml:space="preserve"> </w:t>
      </w:r>
      <w:r>
        <w:rPr>
          <w:rFonts w:ascii="Arial" w:cs="Arial" w:eastAsia="Arial" w:hAnsi="Arial"/>
          <w:sz w:val="18"/>
          <w:szCs w:val="18"/>
          <w:color w:val="auto"/>
        </w:rPr>
        <w:t>7/19/02 ($1,518,360.00).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32" w:hanging="532"/>
        <w:spacing w:after="0"/>
        <w:tabs>
          <w:tab w:leader="none" w:pos="532"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Lowrise Building Area Revision—Mezzanine Level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right="180" w:hanging="532"/>
        <w:spacing w:after="0" w:line="332" w:lineRule="auto"/>
        <w:tabs>
          <w:tab w:leader="none" w:pos="1072" w:val="left"/>
        </w:tabs>
        <w:numPr>
          <w:ilvl w:val="1"/>
          <w:numId w:val="317"/>
        </w:numPr>
        <w:rPr>
          <w:rFonts w:ascii="Arial" w:cs="Arial" w:eastAsia="Arial" w:hAnsi="Arial"/>
          <w:sz w:val="16"/>
          <w:szCs w:val="16"/>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Modify program areas to reflect square footage as provided in revised Master Plans and Program Area revisions, both dated</w:t>
      </w:r>
      <w:r>
        <w:rPr>
          <w:rFonts w:ascii="Arial" w:cs="Arial" w:eastAsia="Arial" w:hAnsi="Arial"/>
          <w:sz w:val="16"/>
          <w:szCs w:val="16"/>
          <w:i w:val="1"/>
          <w:iCs w:val="1"/>
          <w:color w:val="auto"/>
        </w:rPr>
        <w:t xml:space="preserve"> </w:t>
      </w:r>
      <w:r>
        <w:rPr>
          <w:rFonts w:ascii="Arial" w:cs="Arial" w:eastAsia="Arial" w:hAnsi="Arial"/>
          <w:sz w:val="16"/>
          <w:szCs w:val="16"/>
          <w:color w:val="auto"/>
        </w:rPr>
        <w:t>7/19/02. Incorporate room reservations and PBX into Mezzanine level from Spa level as specified by Owner.</w:t>
      </w:r>
    </w:p>
    <w:p>
      <w:pPr>
        <w:spacing w:after="0" w:line="166" w:lineRule="exact"/>
        <w:rPr>
          <w:rFonts w:ascii="Arial" w:cs="Arial" w:eastAsia="Arial" w:hAnsi="Arial"/>
          <w:sz w:val="16"/>
          <w:szCs w:val="16"/>
          <w:color w:val="auto"/>
        </w:rPr>
      </w:pPr>
    </w:p>
    <w:p>
      <w:pPr>
        <w:ind w:left="1072" w:hanging="532"/>
        <w:spacing w:after="0" w:line="268" w:lineRule="auto"/>
        <w:tabs>
          <w:tab w:leader="none" w:pos="1072" w:val="left"/>
        </w:tabs>
        <w:numPr>
          <w:ilvl w:val="1"/>
          <w:numId w:val="317"/>
        </w:numPr>
        <w:rPr>
          <w:rFonts w:ascii="Arial" w:cs="Arial" w:eastAsia="Arial" w:hAnsi="Arial"/>
          <w:sz w:val="18"/>
          <w:szCs w:val="18"/>
          <w:color w:val="auto"/>
        </w:rPr>
      </w:pPr>
      <w:r>
        <w:rPr>
          <w:rFonts w:ascii="Arial" w:cs="Arial" w:eastAsia="Arial" w:hAnsi="Arial"/>
          <w:sz w:val="18"/>
          <w:szCs w:val="18"/>
          <w:i w:val="1"/>
          <w:iCs w:val="1"/>
          <w:color w:val="auto"/>
        </w:rPr>
        <w:t xml:space="preserve">Increase/Decrease to Guaranteed Maximum Price. </w:t>
      </w:r>
      <w:r>
        <w:rPr>
          <w:rFonts w:ascii="Arial" w:cs="Arial" w:eastAsia="Arial" w:hAnsi="Arial"/>
          <w:sz w:val="18"/>
          <w:szCs w:val="18"/>
          <w:color w:val="auto"/>
        </w:rPr>
        <w:t>Total increase per Program Area revisions and revised Master Plans, both dated 7/19/02</w:t>
      </w:r>
      <w:r>
        <w:rPr>
          <w:rFonts w:ascii="Arial" w:cs="Arial" w:eastAsia="Arial" w:hAnsi="Arial"/>
          <w:sz w:val="18"/>
          <w:szCs w:val="18"/>
          <w:i w:val="1"/>
          <w:iCs w:val="1"/>
          <w:color w:val="auto"/>
        </w:rPr>
        <w:t xml:space="preserve"> </w:t>
      </w:r>
      <w:r>
        <w:rPr>
          <w:rFonts w:ascii="Arial" w:cs="Arial" w:eastAsia="Arial" w:hAnsi="Arial"/>
          <w:sz w:val="18"/>
          <w:szCs w:val="18"/>
          <w:color w:val="auto"/>
        </w:rPr>
        <w:t>$1,021,426.00.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32" w:hanging="532"/>
        <w:spacing w:after="0"/>
        <w:tabs>
          <w:tab w:leader="none" w:pos="532"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Lowrise Building Area Revision—Sea Level</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72" w:right="180" w:hanging="532"/>
        <w:spacing w:after="0" w:line="259" w:lineRule="auto"/>
        <w:tabs>
          <w:tab w:leader="none" w:pos="1072" w:val="left"/>
        </w:tabs>
        <w:numPr>
          <w:ilvl w:val="1"/>
          <w:numId w:val="317"/>
        </w:numPr>
        <w:rPr>
          <w:rFonts w:ascii="Arial" w:cs="Arial" w:eastAsia="Arial" w:hAnsi="Arial"/>
          <w:sz w:val="18"/>
          <w:szCs w:val="18"/>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Modify program areas to reflect square footage as provided in revised Master Plans and Program Area revisions, both dated</w:t>
      </w:r>
      <w:r>
        <w:rPr>
          <w:rFonts w:ascii="Arial" w:cs="Arial" w:eastAsia="Arial" w:hAnsi="Arial"/>
          <w:sz w:val="18"/>
          <w:szCs w:val="18"/>
          <w:i w:val="1"/>
          <w:iCs w:val="1"/>
          <w:color w:val="auto"/>
        </w:rPr>
        <w:t xml:space="preserve"> </w:t>
      </w:r>
      <w:r>
        <w:rPr>
          <w:rFonts w:ascii="Arial" w:cs="Arial" w:eastAsia="Arial" w:hAnsi="Arial"/>
          <w:sz w:val="18"/>
          <w:szCs w:val="18"/>
          <w:color w:val="auto"/>
        </w:rPr>
        <w:t>7/19/02. Add property Executive Offices and increase mechanical room footage as specified by Owner. Relocate Arcade from Casino Level.</w:t>
      </w:r>
    </w:p>
    <w:p>
      <w:pPr>
        <w:spacing w:after="0" w:line="207" w:lineRule="exact"/>
        <w:rPr>
          <w:rFonts w:ascii="Arial" w:cs="Arial" w:eastAsia="Arial" w:hAnsi="Arial"/>
          <w:sz w:val="18"/>
          <w:szCs w:val="18"/>
          <w:color w:val="auto"/>
        </w:rPr>
      </w:pPr>
    </w:p>
    <w:p>
      <w:pPr>
        <w:ind w:left="1072" w:hanging="532"/>
        <w:spacing w:after="0" w:line="268" w:lineRule="auto"/>
        <w:tabs>
          <w:tab w:leader="none" w:pos="1072" w:val="left"/>
        </w:tabs>
        <w:numPr>
          <w:ilvl w:val="1"/>
          <w:numId w:val="317"/>
        </w:numPr>
        <w:rPr>
          <w:rFonts w:ascii="Arial" w:cs="Arial" w:eastAsia="Arial" w:hAnsi="Arial"/>
          <w:sz w:val="18"/>
          <w:szCs w:val="18"/>
          <w:color w:val="auto"/>
        </w:rPr>
      </w:pPr>
      <w:r>
        <w:rPr>
          <w:rFonts w:ascii="Arial" w:cs="Arial" w:eastAsia="Arial" w:hAnsi="Arial"/>
          <w:sz w:val="18"/>
          <w:szCs w:val="18"/>
          <w:i w:val="1"/>
          <w:iCs w:val="1"/>
          <w:color w:val="auto"/>
        </w:rPr>
        <w:t xml:space="preserve">Increase/Decrease to Guaranteed Maximum Price. </w:t>
      </w:r>
      <w:r>
        <w:rPr>
          <w:rFonts w:ascii="Arial" w:cs="Arial" w:eastAsia="Arial" w:hAnsi="Arial"/>
          <w:sz w:val="18"/>
          <w:szCs w:val="18"/>
          <w:color w:val="auto"/>
        </w:rPr>
        <w:t>Total increase per Program Area revisions and revised Master Plans, both dated 7/19/02</w:t>
      </w:r>
      <w:r>
        <w:rPr>
          <w:rFonts w:ascii="Arial" w:cs="Arial" w:eastAsia="Arial" w:hAnsi="Arial"/>
          <w:sz w:val="18"/>
          <w:szCs w:val="18"/>
          <w:i w:val="1"/>
          <w:iCs w:val="1"/>
          <w:color w:val="auto"/>
        </w:rPr>
        <w:t xml:space="preserve"> </w:t>
      </w:r>
      <w:r>
        <w:rPr>
          <w:rFonts w:ascii="Arial" w:cs="Arial" w:eastAsia="Arial" w:hAnsi="Arial"/>
          <w:sz w:val="18"/>
          <w:szCs w:val="18"/>
          <w:color w:val="auto"/>
        </w:rPr>
        <w:t>$2,853,419.00.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32" w:hanging="532"/>
        <w:spacing w:after="0"/>
        <w:tabs>
          <w:tab w:leader="none" w:pos="532"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Lowrise Building Area Revision—Basement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72" w:right="180" w:hanging="532"/>
        <w:spacing w:after="0" w:line="332" w:lineRule="auto"/>
        <w:tabs>
          <w:tab w:leader="none" w:pos="1072" w:val="left"/>
        </w:tabs>
        <w:numPr>
          <w:ilvl w:val="1"/>
          <w:numId w:val="317"/>
        </w:numPr>
        <w:rPr>
          <w:rFonts w:ascii="Arial" w:cs="Arial" w:eastAsia="Arial" w:hAnsi="Arial"/>
          <w:sz w:val="16"/>
          <w:szCs w:val="16"/>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Modify program areas to reflect square footage as provided in revised Master Plans and Program Area revisions, both dated</w:t>
      </w:r>
      <w:r>
        <w:rPr>
          <w:rFonts w:ascii="Arial" w:cs="Arial" w:eastAsia="Arial" w:hAnsi="Arial"/>
          <w:sz w:val="16"/>
          <w:szCs w:val="16"/>
          <w:i w:val="1"/>
          <w:iCs w:val="1"/>
          <w:color w:val="auto"/>
        </w:rPr>
        <w:t xml:space="preserve"> </w:t>
      </w:r>
      <w:r>
        <w:rPr>
          <w:rFonts w:ascii="Arial" w:cs="Arial" w:eastAsia="Arial" w:hAnsi="Arial"/>
          <w:sz w:val="16"/>
          <w:szCs w:val="16"/>
          <w:color w:val="auto"/>
        </w:rPr>
        <w:t>7/19/02. Consolidate finance and accounting functions on basement level and increase footage as specified by Owner.</w:t>
      </w:r>
    </w:p>
    <w:p>
      <w:pPr>
        <w:sectPr>
          <w:pgSz w:w="11900" w:h="16838" w:orient="portrait"/>
          <w:cols w:equalWidth="0" w:num="1">
            <w:col w:w="10872"/>
          </w:cols>
          <w:pgMar w:left="788" w:top="145" w:right="239" w:bottom="342" w:gutter="0" w:footer="0" w:header="0"/>
        </w:sectPr>
      </w:pPr>
    </w:p>
    <w:p>
      <w:pPr>
        <w:spacing w:after="0" w:line="139" w:lineRule="exact"/>
        <w:rPr>
          <w:sz w:val="20"/>
          <w:szCs w:val="20"/>
          <w:color w:val="auto"/>
        </w:rPr>
      </w:pPr>
    </w:p>
    <w:p>
      <w:pPr>
        <w:jc w:val="center"/>
        <w:ind w:right="528"/>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175260</wp:posOffset>
            </wp:positionV>
            <wp:extent cx="7250430" cy="215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72"/>
          </w:cols>
          <w:pgMar w:left="788" w:top="145" w:right="239" w:bottom="342" w:gutter="0" w:footer="0" w:header="0"/>
          <w:type w:val="continuous"/>
        </w:sectPr>
      </w:pPr>
    </w:p>
    <w:bookmarkStart w:id="207" w:name="page208"/>
    <w:bookmarkEnd w:id="207"/>
    <w:p>
      <w:pPr>
        <w:ind w:left="1072" w:right="280"/>
        <w:spacing w:after="0" w:line="268" w:lineRule="auto"/>
        <w:rPr>
          <w:sz w:val="20"/>
          <w:szCs w:val="20"/>
          <w:color w:val="auto"/>
        </w:rPr>
      </w:pPr>
      <w:r>
        <w:rPr>
          <w:rFonts w:ascii="Arial" w:cs="Arial" w:eastAsia="Arial" w:hAnsi="Arial"/>
          <w:sz w:val="18"/>
          <w:szCs w:val="18"/>
          <w:color w:val="auto"/>
        </w:rPr>
        <w:t>Provide 3,000 sq. ft. shell space for dry cleaning tenant. Revise Italian and Steak restaurant footage to reflect revised Master Plan dated 7/19/02</w:t>
      </w:r>
    </w:p>
    <w:p>
      <w:pPr>
        <w:spacing w:after="0" w:line="199" w:lineRule="exact"/>
        <w:rPr>
          <w:sz w:val="20"/>
          <w:szCs w:val="20"/>
          <w:color w:val="auto"/>
        </w:rPr>
      </w:pPr>
    </w:p>
    <w:p>
      <w:pPr>
        <w:ind w:left="1072" w:hanging="532"/>
        <w:spacing w:after="0" w:line="268" w:lineRule="auto"/>
        <w:tabs>
          <w:tab w:leader="none" w:pos="1072" w:val="left"/>
        </w:tabs>
        <w:numPr>
          <w:ilvl w:val="1"/>
          <w:numId w:val="318"/>
        </w:numPr>
        <w:rPr>
          <w:rFonts w:ascii="Arial" w:cs="Arial" w:eastAsia="Arial" w:hAnsi="Arial"/>
          <w:sz w:val="18"/>
          <w:szCs w:val="18"/>
          <w:color w:val="auto"/>
        </w:rPr>
      </w:pPr>
      <w:r>
        <w:rPr>
          <w:rFonts w:ascii="Arial" w:cs="Arial" w:eastAsia="Arial" w:hAnsi="Arial"/>
          <w:sz w:val="18"/>
          <w:szCs w:val="18"/>
          <w:i w:val="1"/>
          <w:iCs w:val="1"/>
          <w:color w:val="auto"/>
        </w:rPr>
        <w:t xml:space="preserve">Increase/Decrease to Guaranteed Maximum Price. </w:t>
      </w:r>
      <w:r>
        <w:rPr>
          <w:rFonts w:ascii="Arial" w:cs="Arial" w:eastAsia="Arial" w:hAnsi="Arial"/>
          <w:sz w:val="18"/>
          <w:szCs w:val="18"/>
          <w:color w:val="auto"/>
        </w:rPr>
        <w:t>Total increase per Program Area revisions and revised Master Plans, both dated 7/19/02</w:t>
      </w:r>
      <w:r>
        <w:rPr>
          <w:rFonts w:ascii="Arial" w:cs="Arial" w:eastAsia="Arial" w:hAnsi="Arial"/>
          <w:sz w:val="18"/>
          <w:szCs w:val="18"/>
          <w:i w:val="1"/>
          <w:iCs w:val="1"/>
          <w:color w:val="auto"/>
        </w:rPr>
        <w:t xml:space="preserve"> </w:t>
      </w:r>
      <w:r>
        <w:rPr>
          <w:rFonts w:ascii="Arial" w:cs="Arial" w:eastAsia="Arial" w:hAnsi="Arial"/>
          <w:sz w:val="18"/>
          <w:szCs w:val="18"/>
          <w:color w:val="auto"/>
        </w:rPr>
        <w:t>$5,078,835.00.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32" w:hanging="532"/>
        <w:spacing w:after="0"/>
        <w:tabs>
          <w:tab w:leader="none" w:pos="532" w:val="left"/>
        </w:tabs>
        <w:numPr>
          <w:ilvl w:val="0"/>
          <w:numId w:val="319"/>
        </w:numPr>
        <w:rPr>
          <w:rFonts w:ascii="Arial" w:cs="Arial" w:eastAsia="Arial" w:hAnsi="Arial"/>
          <w:sz w:val="18"/>
          <w:szCs w:val="18"/>
          <w:color w:val="auto"/>
        </w:rPr>
      </w:pPr>
      <w:r>
        <w:rPr>
          <w:rFonts w:ascii="Arial" w:cs="Arial" w:eastAsia="Arial" w:hAnsi="Arial"/>
          <w:sz w:val="18"/>
          <w:szCs w:val="18"/>
          <w:i w:val="1"/>
          <w:iCs w:val="1"/>
          <w:color w:val="auto"/>
        </w:rPr>
        <w:t>Lowrise Building Area Revision—Parking/Pool Level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right="180" w:hanging="532"/>
        <w:spacing w:after="0" w:line="268" w:lineRule="auto"/>
        <w:tabs>
          <w:tab w:leader="none" w:pos="1072" w:val="left"/>
        </w:tabs>
        <w:numPr>
          <w:ilvl w:val="1"/>
          <w:numId w:val="319"/>
        </w:numPr>
        <w:rPr>
          <w:rFonts w:ascii="Arial" w:cs="Arial" w:eastAsia="Arial" w:hAnsi="Arial"/>
          <w:sz w:val="18"/>
          <w:szCs w:val="18"/>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Modify program areas to reflect square footage as provided in revised Master Plans and Program Area revisions, both dated</w:t>
      </w:r>
      <w:r>
        <w:rPr>
          <w:rFonts w:ascii="Arial" w:cs="Arial" w:eastAsia="Arial" w:hAnsi="Arial"/>
          <w:sz w:val="18"/>
          <w:szCs w:val="18"/>
          <w:i w:val="1"/>
          <w:iCs w:val="1"/>
          <w:color w:val="auto"/>
        </w:rPr>
        <w:t xml:space="preserve"> </w:t>
      </w:r>
      <w:r>
        <w:rPr>
          <w:rFonts w:ascii="Arial" w:cs="Arial" w:eastAsia="Arial" w:hAnsi="Arial"/>
          <w:sz w:val="18"/>
          <w:szCs w:val="18"/>
          <w:color w:val="auto"/>
        </w:rPr>
        <w:t>7/19/02.</w:t>
      </w:r>
    </w:p>
    <w:p>
      <w:pPr>
        <w:spacing w:after="0" w:line="199" w:lineRule="exact"/>
        <w:rPr>
          <w:rFonts w:ascii="Arial" w:cs="Arial" w:eastAsia="Arial" w:hAnsi="Arial"/>
          <w:sz w:val="18"/>
          <w:szCs w:val="18"/>
          <w:color w:val="auto"/>
        </w:rPr>
      </w:pPr>
    </w:p>
    <w:p>
      <w:pPr>
        <w:ind w:left="1072" w:right="460" w:hanging="532"/>
        <w:spacing w:after="0" w:line="268" w:lineRule="auto"/>
        <w:tabs>
          <w:tab w:leader="none" w:pos="1072" w:val="left"/>
        </w:tabs>
        <w:numPr>
          <w:ilvl w:val="1"/>
          <w:numId w:val="319"/>
        </w:numPr>
        <w:rPr>
          <w:rFonts w:ascii="Arial" w:cs="Arial" w:eastAsia="Arial" w:hAnsi="Arial"/>
          <w:sz w:val="18"/>
          <w:szCs w:val="18"/>
          <w:color w:val="auto"/>
        </w:rPr>
      </w:pPr>
      <w:r>
        <w:rPr>
          <w:rFonts w:ascii="Arial" w:cs="Arial" w:eastAsia="Arial" w:hAnsi="Arial"/>
          <w:sz w:val="18"/>
          <w:szCs w:val="18"/>
          <w:i w:val="1"/>
          <w:iCs w:val="1"/>
          <w:color w:val="auto"/>
        </w:rPr>
        <w:t xml:space="preserve">Increase/Decrease to Guaranteed Maximum Price. </w:t>
      </w:r>
      <w:r>
        <w:rPr>
          <w:rFonts w:ascii="Arial" w:cs="Arial" w:eastAsia="Arial" w:hAnsi="Arial"/>
          <w:sz w:val="18"/>
          <w:szCs w:val="18"/>
          <w:color w:val="auto"/>
        </w:rPr>
        <w:t>Total increase per Program Area revisions and revised Master Plans, both dated</w:t>
      </w:r>
      <w:r>
        <w:rPr>
          <w:rFonts w:ascii="Arial" w:cs="Arial" w:eastAsia="Arial" w:hAnsi="Arial"/>
          <w:sz w:val="18"/>
          <w:szCs w:val="18"/>
          <w:i w:val="1"/>
          <w:iCs w:val="1"/>
          <w:color w:val="auto"/>
        </w:rPr>
        <w:t xml:space="preserve"> </w:t>
      </w:r>
      <w:r>
        <w:rPr>
          <w:rFonts w:ascii="Arial" w:cs="Arial" w:eastAsia="Arial" w:hAnsi="Arial"/>
          <w:sz w:val="18"/>
          <w:szCs w:val="18"/>
          <w:color w:val="auto"/>
        </w:rPr>
        <w:t>7/19/02 $179,015.00.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32" w:hanging="532"/>
        <w:spacing w:after="0"/>
        <w:tabs>
          <w:tab w:leader="none" w:pos="532" w:val="left"/>
        </w:tabs>
        <w:numPr>
          <w:ilvl w:val="0"/>
          <w:numId w:val="319"/>
        </w:numPr>
        <w:rPr>
          <w:rFonts w:ascii="Arial" w:cs="Arial" w:eastAsia="Arial" w:hAnsi="Arial"/>
          <w:sz w:val="18"/>
          <w:szCs w:val="18"/>
          <w:color w:val="auto"/>
        </w:rPr>
      </w:pPr>
      <w:r>
        <w:rPr>
          <w:rFonts w:ascii="Arial" w:cs="Arial" w:eastAsia="Arial" w:hAnsi="Arial"/>
          <w:sz w:val="18"/>
          <w:szCs w:val="18"/>
          <w:i w:val="1"/>
          <w:iCs w:val="1"/>
          <w:color w:val="auto"/>
        </w:rPr>
        <w:t>Exterior Feature—Lake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right="520" w:hanging="532"/>
        <w:spacing w:after="0" w:line="268" w:lineRule="auto"/>
        <w:tabs>
          <w:tab w:leader="none" w:pos="1072" w:val="left"/>
        </w:tabs>
        <w:numPr>
          <w:ilvl w:val="1"/>
          <w:numId w:val="319"/>
        </w:numPr>
        <w:rPr>
          <w:rFonts w:ascii="Arial" w:cs="Arial" w:eastAsia="Arial" w:hAnsi="Arial"/>
          <w:sz w:val="18"/>
          <w:szCs w:val="18"/>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Reduce open water area on Lake Feature per revised Master Plans dated 7/19/02. New plan creates distinct venues as</w:t>
      </w:r>
      <w:r>
        <w:rPr>
          <w:rFonts w:ascii="Arial" w:cs="Arial" w:eastAsia="Arial" w:hAnsi="Arial"/>
          <w:sz w:val="18"/>
          <w:szCs w:val="18"/>
          <w:i w:val="1"/>
          <w:iCs w:val="1"/>
          <w:color w:val="auto"/>
        </w:rPr>
        <w:t xml:space="preserve"> </w:t>
      </w:r>
      <w:r>
        <w:rPr>
          <w:rFonts w:ascii="Arial" w:cs="Arial" w:eastAsia="Arial" w:hAnsi="Arial"/>
          <w:sz w:val="18"/>
          <w:szCs w:val="18"/>
          <w:color w:val="auto"/>
        </w:rPr>
        <w:t>opposed to one large lake feature.</w:t>
      </w:r>
    </w:p>
    <w:p>
      <w:pPr>
        <w:spacing w:after="0" w:line="199" w:lineRule="exact"/>
        <w:rPr>
          <w:rFonts w:ascii="Arial" w:cs="Arial" w:eastAsia="Arial" w:hAnsi="Arial"/>
          <w:sz w:val="18"/>
          <w:szCs w:val="18"/>
          <w:color w:val="auto"/>
        </w:rPr>
      </w:pPr>
    </w:p>
    <w:p>
      <w:pPr>
        <w:ind w:left="1072" w:right="420" w:hanging="532"/>
        <w:spacing w:after="0" w:line="268" w:lineRule="auto"/>
        <w:tabs>
          <w:tab w:leader="none" w:pos="1072" w:val="left"/>
        </w:tabs>
        <w:numPr>
          <w:ilvl w:val="1"/>
          <w:numId w:val="319"/>
        </w:numPr>
        <w:rPr>
          <w:rFonts w:ascii="Arial" w:cs="Arial" w:eastAsia="Arial" w:hAnsi="Arial"/>
          <w:sz w:val="18"/>
          <w:szCs w:val="18"/>
          <w:color w:val="auto"/>
        </w:rPr>
      </w:pPr>
      <w:r>
        <w:rPr>
          <w:rFonts w:ascii="Arial" w:cs="Arial" w:eastAsia="Arial" w:hAnsi="Arial"/>
          <w:sz w:val="18"/>
          <w:szCs w:val="18"/>
          <w:i w:val="1"/>
          <w:iCs w:val="1"/>
          <w:color w:val="auto"/>
        </w:rPr>
        <w:t xml:space="preserve">Increase/Decrease to Guaranteed Maximum Price. </w:t>
      </w:r>
      <w:r>
        <w:rPr>
          <w:rFonts w:ascii="Arial" w:cs="Arial" w:eastAsia="Arial" w:hAnsi="Arial"/>
          <w:sz w:val="18"/>
          <w:szCs w:val="18"/>
          <w:color w:val="auto"/>
        </w:rPr>
        <w:t>Total decrease per Program Area revisions and revised Master Plans, both dated</w:t>
      </w:r>
      <w:r>
        <w:rPr>
          <w:rFonts w:ascii="Arial" w:cs="Arial" w:eastAsia="Arial" w:hAnsi="Arial"/>
          <w:sz w:val="18"/>
          <w:szCs w:val="18"/>
          <w:i w:val="1"/>
          <w:iCs w:val="1"/>
          <w:color w:val="auto"/>
        </w:rPr>
        <w:t xml:space="preserve"> </w:t>
      </w:r>
      <w:r>
        <w:rPr>
          <w:rFonts w:ascii="Arial" w:cs="Arial" w:eastAsia="Arial" w:hAnsi="Arial"/>
          <w:sz w:val="18"/>
          <w:szCs w:val="18"/>
          <w:color w:val="auto"/>
        </w:rPr>
        <w:t>7/19/02 ($776,336.00).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32" w:hanging="532"/>
        <w:spacing w:after="0"/>
        <w:tabs>
          <w:tab w:leader="none" w:pos="532" w:val="left"/>
        </w:tabs>
        <w:numPr>
          <w:ilvl w:val="0"/>
          <w:numId w:val="319"/>
        </w:numPr>
        <w:rPr>
          <w:rFonts w:ascii="Arial" w:cs="Arial" w:eastAsia="Arial" w:hAnsi="Arial"/>
          <w:sz w:val="18"/>
          <w:szCs w:val="18"/>
          <w:color w:val="auto"/>
        </w:rPr>
      </w:pPr>
      <w:r>
        <w:rPr>
          <w:rFonts w:ascii="Arial" w:cs="Arial" w:eastAsia="Arial" w:hAnsi="Arial"/>
          <w:sz w:val="18"/>
          <w:szCs w:val="18"/>
          <w:i w:val="1"/>
          <w:iCs w:val="1"/>
          <w:color w:val="auto"/>
        </w:rPr>
        <w:t>Exterior Features—General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hanging="532"/>
        <w:spacing w:after="0"/>
        <w:tabs>
          <w:tab w:leader="none" w:pos="1072" w:val="left"/>
        </w:tabs>
        <w:numPr>
          <w:ilvl w:val="1"/>
          <w:numId w:val="319"/>
        </w:numPr>
        <w:rPr>
          <w:rFonts w:ascii="Arial" w:cs="Arial" w:eastAsia="Arial" w:hAnsi="Arial"/>
          <w:sz w:val="18"/>
          <w:szCs w:val="18"/>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Reduce north bus/shuttle plaza and entry canopy, and increase exterior exit stairs, as specified by Owner.</w:t>
      </w:r>
    </w:p>
    <w:p>
      <w:pPr>
        <w:spacing w:after="0" w:line="238" w:lineRule="exact"/>
        <w:rPr>
          <w:rFonts w:ascii="Arial" w:cs="Arial" w:eastAsia="Arial" w:hAnsi="Arial"/>
          <w:sz w:val="18"/>
          <w:szCs w:val="18"/>
          <w:color w:val="auto"/>
        </w:rPr>
      </w:pPr>
    </w:p>
    <w:p>
      <w:pPr>
        <w:ind w:left="1072" w:right="420" w:hanging="532"/>
        <w:spacing w:after="0" w:line="268" w:lineRule="auto"/>
        <w:tabs>
          <w:tab w:leader="none" w:pos="1072" w:val="left"/>
        </w:tabs>
        <w:numPr>
          <w:ilvl w:val="1"/>
          <w:numId w:val="319"/>
        </w:numPr>
        <w:rPr>
          <w:rFonts w:ascii="Arial" w:cs="Arial" w:eastAsia="Arial" w:hAnsi="Arial"/>
          <w:sz w:val="18"/>
          <w:szCs w:val="18"/>
          <w:color w:val="auto"/>
        </w:rPr>
      </w:pPr>
      <w:r>
        <w:rPr>
          <w:rFonts w:ascii="Arial" w:cs="Arial" w:eastAsia="Arial" w:hAnsi="Arial"/>
          <w:sz w:val="18"/>
          <w:szCs w:val="18"/>
          <w:i w:val="1"/>
          <w:iCs w:val="1"/>
          <w:color w:val="auto"/>
        </w:rPr>
        <w:t xml:space="preserve">Increase/Decrease to Guaranteed Maximum Price. </w:t>
      </w:r>
      <w:r>
        <w:rPr>
          <w:rFonts w:ascii="Arial" w:cs="Arial" w:eastAsia="Arial" w:hAnsi="Arial"/>
          <w:sz w:val="18"/>
          <w:szCs w:val="18"/>
          <w:color w:val="auto"/>
        </w:rPr>
        <w:t>Total decrease per Program Area revisions and revised Master Plans, both dated</w:t>
      </w:r>
      <w:r>
        <w:rPr>
          <w:rFonts w:ascii="Arial" w:cs="Arial" w:eastAsia="Arial" w:hAnsi="Arial"/>
          <w:sz w:val="18"/>
          <w:szCs w:val="18"/>
          <w:i w:val="1"/>
          <w:iCs w:val="1"/>
          <w:color w:val="auto"/>
        </w:rPr>
        <w:t xml:space="preserve"> </w:t>
      </w:r>
      <w:r>
        <w:rPr>
          <w:rFonts w:ascii="Arial" w:cs="Arial" w:eastAsia="Arial" w:hAnsi="Arial"/>
          <w:sz w:val="18"/>
          <w:szCs w:val="18"/>
          <w:color w:val="auto"/>
        </w:rPr>
        <w:t>7/19/02 ($3,985.00).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32" w:hanging="532"/>
        <w:spacing w:after="0"/>
        <w:tabs>
          <w:tab w:leader="none" w:pos="532" w:val="left"/>
        </w:tabs>
        <w:numPr>
          <w:ilvl w:val="0"/>
          <w:numId w:val="319"/>
        </w:numPr>
        <w:rPr>
          <w:rFonts w:ascii="Arial" w:cs="Arial" w:eastAsia="Arial" w:hAnsi="Arial"/>
          <w:sz w:val="18"/>
          <w:szCs w:val="18"/>
          <w:color w:val="auto"/>
        </w:rPr>
      </w:pPr>
      <w:r>
        <w:rPr>
          <w:rFonts w:ascii="Arial" w:cs="Arial" w:eastAsia="Arial" w:hAnsi="Arial"/>
          <w:sz w:val="18"/>
          <w:szCs w:val="18"/>
          <w:i w:val="1"/>
          <w:iCs w:val="1"/>
          <w:color w:val="auto"/>
        </w:rPr>
        <w:t>Exterior Features—Main Pool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hanging="532"/>
        <w:spacing w:after="0"/>
        <w:tabs>
          <w:tab w:leader="none" w:pos="1072" w:val="left"/>
        </w:tabs>
        <w:numPr>
          <w:ilvl w:val="1"/>
          <w:numId w:val="319"/>
        </w:numPr>
        <w:rPr>
          <w:rFonts w:ascii="Arial" w:cs="Arial" w:eastAsia="Arial" w:hAnsi="Arial"/>
          <w:sz w:val="18"/>
          <w:szCs w:val="18"/>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Reduce cabana count at main pool area and add pool bar as specified by Owner.</w:t>
      </w:r>
    </w:p>
    <w:p>
      <w:pPr>
        <w:spacing w:after="0" w:line="238" w:lineRule="exact"/>
        <w:rPr>
          <w:rFonts w:ascii="Arial" w:cs="Arial" w:eastAsia="Arial" w:hAnsi="Arial"/>
          <w:sz w:val="18"/>
          <w:szCs w:val="18"/>
          <w:color w:val="auto"/>
        </w:rPr>
      </w:pPr>
    </w:p>
    <w:p>
      <w:pPr>
        <w:ind w:left="1072" w:right="400" w:hanging="532"/>
        <w:spacing w:after="0" w:line="268" w:lineRule="auto"/>
        <w:tabs>
          <w:tab w:leader="none" w:pos="1072" w:val="left"/>
        </w:tabs>
        <w:numPr>
          <w:ilvl w:val="1"/>
          <w:numId w:val="319"/>
        </w:numPr>
        <w:rPr>
          <w:rFonts w:ascii="Arial" w:cs="Arial" w:eastAsia="Arial" w:hAnsi="Arial"/>
          <w:sz w:val="18"/>
          <w:szCs w:val="18"/>
          <w:color w:val="auto"/>
        </w:rPr>
      </w:pPr>
      <w:r>
        <w:rPr>
          <w:rFonts w:ascii="Arial" w:cs="Arial" w:eastAsia="Arial" w:hAnsi="Arial"/>
          <w:sz w:val="18"/>
          <w:szCs w:val="18"/>
          <w:i w:val="1"/>
          <w:iCs w:val="1"/>
          <w:color w:val="auto"/>
        </w:rPr>
        <w:t xml:space="preserve">Increase/Decrease to Guaranteed Maximum Price. </w:t>
      </w:r>
      <w:r>
        <w:rPr>
          <w:rFonts w:ascii="Arial" w:cs="Arial" w:eastAsia="Arial" w:hAnsi="Arial"/>
          <w:sz w:val="18"/>
          <w:szCs w:val="18"/>
          <w:color w:val="auto"/>
        </w:rPr>
        <w:t>Total decrease per Program Area revisions and Master Plans, both dated 7/19/02</w:t>
      </w:r>
      <w:r>
        <w:rPr>
          <w:rFonts w:ascii="Arial" w:cs="Arial" w:eastAsia="Arial" w:hAnsi="Arial"/>
          <w:sz w:val="18"/>
          <w:szCs w:val="18"/>
          <w:i w:val="1"/>
          <w:iCs w:val="1"/>
          <w:color w:val="auto"/>
        </w:rPr>
        <w:t xml:space="preserve"> </w:t>
      </w:r>
      <w:r>
        <w:rPr>
          <w:rFonts w:ascii="Arial" w:cs="Arial" w:eastAsia="Arial" w:hAnsi="Arial"/>
          <w:sz w:val="18"/>
          <w:szCs w:val="18"/>
          <w:color w:val="auto"/>
        </w:rPr>
        <w:t>($104,566.00).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32" w:hanging="532"/>
        <w:spacing w:after="0"/>
        <w:tabs>
          <w:tab w:leader="none" w:pos="532" w:val="left"/>
        </w:tabs>
        <w:numPr>
          <w:ilvl w:val="0"/>
          <w:numId w:val="319"/>
        </w:numPr>
        <w:rPr>
          <w:rFonts w:ascii="Arial" w:cs="Arial" w:eastAsia="Arial" w:hAnsi="Arial"/>
          <w:sz w:val="18"/>
          <w:szCs w:val="18"/>
          <w:color w:val="auto"/>
        </w:rPr>
      </w:pPr>
      <w:r>
        <w:rPr>
          <w:rFonts w:ascii="Arial" w:cs="Arial" w:eastAsia="Arial" w:hAnsi="Arial"/>
          <w:sz w:val="18"/>
          <w:szCs w:val="18"/>
          <w:i w:val="1"/>
          <w:iCs w:val="1"/>
          <w:color w:val="auto"/>
        </w:rPr>
        <w:t>Exterior Features—Basement Level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hanging="532"/>
        <w:spacing w:after="0"/>
        <w:tabs>
          <w:tab w:leader="none" w:pos="1072" w:val="left"/>
        </w:tabs>
        <w:numPr>
          <w:ilvl w:val="1"/>
          <w:numId w:val="3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Modify exterior patio footage per 7/19/02 master plan and eliminate Steakhouse moving patio allowance of $500,000.00</w:t>
      </w:r>
    </w:p>
    <w:p>
      <w:pPr>
        <w:spacing w:after="0" w:line="275" w:lineRule="exact"/>
        <w:rPr>
          <w:rFonts w:ascii="Arial" w:cs="Arial" w:eastAsia="Arial" w:hAnsi="Arial"/>
          <w:sz w:val="16"/>
          <w:szCs w:val="16"/>
          <w:i w:val="1"/>
          <w:iCs w:val="1"/>
          <w:color w:val="auto"/>
        </w:rPr>
      </w:pPr>
    </w:p>
    <w:p>
      <w:pPr>
        <w:ind w:left="1072" w:right="420" w:hanging="532"/>
        <w:spacing w:after="0" w:line="268" w:lineRule="auto"/>
        <w:tabs>
          <w:tab w:leader="none" w:pos="1072" w:val="left"/>
        </w:tabs>
        <w:numPr>
          <w:ilvl w:val="1"/>
          <w:numId w:val="319"/>
        </w:numPr>
        <w:rPr>
          <w:rFonts w:ascii="Arial" w:cs="Arial" w:eastAsia="Arial" w:hAnsi="Arial"/>
          <w:sz w:val="18"/>
          <w:szCs w:val="18"/>
          <w:color w:val="auto"/>
        </w:rPr>
      </w:pPr>
      <w:r>
        <w:rPr>
          <w:rFonts w:ascii="Arial" w:cs="Arial" w:eastAsia="Arial" w:hAnsi="Arial"/>
          <w:sz w:val="18"/>
          <w:szCs w:val="18"/>
          <w:i w:val="1"/>
          <w:iCs w:val="1"/>
          <w:color w:val="auto"/>
        </w:rPr>
        <w:t xml:space="preserve">Increase/Decrease to Guaranteed Maximum Price. </w:t>
      </w:r>
      <w:r>
        <w:rPr>
          <w:rFonts w:ascii="Arial" w:cs="Arial" w:eastAsia="Arial" w:hAnsi="Arial"/>
          <w:sz w:val="18"/>
          <w:szCs w:val="18"/>
          <w:color w:val="auto"/>
        </w:rPr>
        <w:t>Total decrease per Program Area revisions and revised Master Plans, both dated</w:t>
      </w:r>
      <w:r>
        <w:rPr>
          <w:rFonts w:ascii="Arial" w:cs="Arial" w:eastAsia="Arial" w:hAnsi="Arial"/>
          <w:sz w:val="18"/>
          <w:szCs w:val="18"/>
          <w:i w:val="1"/>
          <w:iCs w:val="1"/>
          <w:color w:val="auto"/>
        </w:rPr>
        <w:t xml:space="preserve"> </w:t>
      </w:r>
      <w:r>
        <w:rPr>
          <w:rFonts w:ascii="Arial" w:cs="Arial" w:eastAsia="Arial" w:hAnsi="Arial"/>
          <w:sz w:val="18"/>
          <w:szCs w:val="18"/>
          <w:color w:val="auto"/>
        </w:rPr>
        <w:t>7/19//02 ($1,285,859.00).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32" w:hanging="532"/>
        <w:spacing w:after="0"/>
        <w:tabs>
          <w:tab w:leader="none" w:pos="532" w:val="left"/>
        </w:tabs>
        <w:numPr>
          <w:ilvl w:val="0"/>
          <w:numId w:val="319"/>
        </w:numPr>
        <w:rPr>
          <w:rFonts w:ascii="Arial" w:cs="Arial" w:eastAsia="Arial" w:hAnsi="Arial"/>
          <w:sz w:val="18"/>
          <w:szCs w:val="18"/>
          <w:color w:val="auto"/>
        </w:rPr>
      </w:pPr>
      <w:r>
        <w:rPr>
          <w:rFonts w:ascii="Arial" w:cs="Arial" w:eastAsia="Arial" w:hAnsi="Arial"/>
          <w:sz w:val="18"/>
          <w:szCs w:val="18"/>
          <w:i w:val="1"/>
          <w:iCs w:val="1"/>
          <w:color w:val="auto"/>
        </w:rPr>
        <w:t>Exterior Features—Casino Level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right="540" w:hanging="532"/>
        <w:spacing w:after="0" w:line="268" w:lineRule="auto"/>
        <w:tabs>
          <w:tab w:leader="none" w:pos="1072" w:val="left"/>
        </w:tabs>
        <w:numPr>
          <w:ilvl w:val="1"/>
          <w:numId w:val="319"/>
        </w:numPr>
        <w:rPr>
          <w:rFonts w:ascii="Arial" w:cs="Arial" w:eastAsia="Arial" w:hAnsi="Arial"/>
          <w:sz w:val="18"/>
          <w:szCs w:val="18"/>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Modify exterior patio footage per 7/19/02 revised Master Plans. Add lakeside viewing balconies at retail promenade,</w:t>
      </w:r>
      <w:r>
        <w:rPr>
          <w:rFonts w:ascii="Arial" w:cs="Arial" w:eastAsia="Arial" w:hAnsi="Arial"/>
          <w:sz w:val="18"/>
          <w:szCs w:val="18"/>
          <w:i w:val="1"/>
          <w:iCs w:val="1"/>
          <w:color w:val="auto"/>
        </w:rPr>
        <w:t xml:space="preserve"> </w:t>
      </w:r>
      <w:r>
        <w:rPr>
          <w:rFonts w:ascii="Arial" w:cs="Arial" w:eastAsia="Arial" w:hAnsi="Arial"/>
          <w:sz w:val="18"/>
          <w:szCs w:val="18"/>
          <w:color w:val="auto"/>
        </w:rPr>
        <w:t>channel and registration lobby as specified by Owner. Add 12 cabana structures at VIP pool deck.</w:t>
      </w:r>
    </w:p>
    <w:p>
      <w:pPr>
        <w:spacing w:after="0" w:line="212" w:lineRule="exact"/>
        <w:rPr>
          <w:rFonts w:ascii="Arial" w:cs="Arial" w:eastAsia="Arial" w:hAnsi="Arial"/>
          <w:sz w:val="18"/>
          <w:szCs w:val="18"/>
          <w:color w:val="auto"/>
        </w:rPr>
      </w:pPr>
    </w:p>
    <w:p>
      <w:pPr>
        <w:ind w:left="1072" w:right="460" w:hanging="532"/>
        <w:spacing w:after="0" w:line="268" w:lineRule="auto"/>
        <w:tabs>
          <w:tab w:leader="none" w:pos="1072" w:val="left"/>
        </w:tabs>
        <w:numPr>
          <w:ilvl w:val="1"/>
          <w:numId w:val="319"/>
        </w:numPr>
        <w:rPr>
          <w:rFonts w:ascii="Arial" w:cs="Arial" w:eastAsia="Arial" w:hAnsi="Arial"/>
          <w:sz w:val="18"/>
          <w:szCs w:val="18"/>
          <w:color w:val="auto"/>
        </w:rPr>
      </w:pPr>
      <w:r>
        <w:rPr>
          <w:rFonts w:ascii="Arial" w:cs="Arial" w:eastAsia="Arial" w:hAnsi="Arial"/>
          <w:sz w:val="18"/>
          <w:szCs w:val="18"/>
          <w:i w:val="1"/>
          <w:iCs w:val="1"/>
          <w:color w:val="auto"/>
        </w:rPr>
        <w:t xml:space="preserve">Increase/Decrease to Guaranteed Maximum Price. </w:t>
      </w:r>
      <w:r>
        <w:rPr>
          <w:rFonts w:ascii="Arial" w:cs="Arial" w:eastAsia="Arial" w:hAnsi="Arial"/>
          <w:sz w:val="18"/>
          <w:szCs w:val="18"/>
          <w:color w:val="auto"/>
        </w:rPr>
        <w:t>Total increase per Program Area revisions and revised Master Plans, both dated</w:t>
      </w:r>
      <w:r>
        <w:rPr>
          <w:rFonts w:ascii="Arial" w:cs="Arial" w:eastAsia="Arial" w:hAnsi="Arial"/>
          <w:sz w:val="18"/>
          <w:szCs w:val="18"/>
          <w:i w:val="1"/>
          <w:iCs w:val="1"/>
          <w:color w:val="auto"/>
        </w:rPr>
        <w:t xml:space="preserve"> </w:t>
      </w:r>
      <w:r>
        <w:rPr>
          <w:rFonts w:ascii="Arial" w:cs="Arial" w:eastAsia="Arial" w:hAnsi="Arial"/>
          <w:sz w:val="18"/>
          <w:szCs w:val="18"/>
          <w:color w:val="auto"/>
        </w:rPr>
        <w:t>7/19/02 $1,093,068.00.</w:t>
      </w:r>
    </w:p>
    <w:p>
      <w:pPr>
        <w:sectPr>
          <w:pgSz w:w="11900" w:h="16838" w:orient="portrait"/>
          <w:cols w:equalWidth="0" w:num="1">
            <w:col w:w="10872"/>
          </w:cols>
          <w:pgMar w:left="788" w:top="132" w:right="239" w:bottom="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32" w:hanging="532"/>
        <w:spacing w:after="0"/>
        <w:tabs>
          <w:tab w:leader="none" w:pos="532" w:val="left"/>
        </w:tabs>
        <w:numPr>
          <w:ilvl w:val="0"/>
          <w:numId w:val="320"/>
        </w:numPr>
        <w:rPr>
          <w:rFonts w:ascii="Arial" w:cs="Arial" w:eastAsia="Arial" w:hAnsi="Arial"/>
          <w:sz w:val="15"/>
          <w:szCs w:val="15"/>
          <w:color w:val="auto"/>
        </w:rPr>
      </w:pPr>
      <w:r>
        <w:rPr>
          <w:rFonts w:ascii="Arial" w:cs="Arial" w:eastAsia="Arial" w:hAnsi="Arial"/>
          <w:sz w:val="15"/>
          <w:szCs w:val="15"/>
          <w:i w:val="1"/>
          <w:iCs w:val="1"/>
          <w:color w:val="auto"/>
        </w:rPr>
        <w:t>Site Improvements—Valet</w:t>
      </w:r>
    </w:p>
    <w:p>
      <w:pPr>
        <w:sectPr>
          <w:pgSz w:w="11900" w:h="16838" w:orient="portrait"/>
          <w:cols w:equalWidth="0" w:num="1">
            <w:col w:w="10872"/>
          </w:cols>
          <w:pgMar w:left="788" w:top="132" w:right="239" w:bottom="74" w:gutter="0" w:footer="0" w:header="0"/>
          <w:type w:val="continuous"/>
        </w:sectPr>
      </w:pPr>
    </w:p>
    <w:bookmarkStart w:id="208" w:name="page209"/>
    <w:bookmarkEnd w:id="208"/>
    <w:p>
      <w:pPr>
        <w:ind w:left="1620" w:hanging="532"/>
        <w:spacing w:after="0"/>
        <w:tabs>
          <w:tab w:leader="none" w:pos="1620" w:val="left"/>
        </w:tabs>
        <w:numPr>
          <w:ilvl w:val="0"/>
          <w:numId w:val="321"/>
        </w:numPr>
        <w:rPr>
          <w:rFonts w:ascii="Arial" w:cs="Arial" w:eastAsia="Arial" w:hAnsi="Arial"/>
          <w:sz w:val="18"/>
          <w:szCs w:val="18"/>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Modify valet circulation ramps and add direct access to Ferrari service area as specified by Owner.</w:t>
      </w:r>
    </w:p>
    <w:p>
      <w:pPr>
        <w:spacing w:after="0" w:line="252" w:lineRule="exact"/>
        <w:rPr>
          <w:rFonts w:ascii="Arial" w:cs="Arial" w:eastAsia="Arial" w:hAnsi="Arial"/>
          <w:sz w:val="18"/>
          <w:szCs w:val="18"/>
          <w:color w:val="auto"/>
        </w:rPr>
      </w:pPr>
    </w:p>
    <w:p>
      <w:pPr>
        <w:ind w:left="1620" w:right="460" w:hanging="532"/>
        <w:spacing w:after="0" w:line="268" w:lineRule="auto"/>
        <w:tabs>
          <w:tab w:leader="none" w:pos="1620" w:val="left"/>
        </w:tabs>
        <w:numPr>
          <w:ilvl w:val="0"/>
          <w:numId w:val="321"/>
        </w:numPr>
        <w:rPr>
          <w:rFonts w:ascii="Arial" w:cs="Arial" w:eastAsia="Arial" w:hAnsi="Arial"/>
          <w:sz w:val="18"/>
          <w:szCs w:val="18"/>
          <w:color w:val="auto"/>
        </w:rPr>
      </w:pPr>
      <w:r>
        <w:rPr>
          <w:rFonts w:ascii="Arial" w:cs="Arial" w:eastAsia="Arial" w:hAnsi="Arial"/>
          <w:sz w:val="18"/>
          <w:szCs w:val="18"/>
          <w:i w:val="1"/>
          <w:iCs w:val="1"/>
          <w:color w:val="auto"/>
        </w:rPr>
        <w:t xml:space="preserve">Increase/Decrease to Guaranteed Maximum Price. </w:t>
      </w:r>
      <w:r>
        <w:rPr>
          <w:rFonts w:ascii="Arial" w:cs="Arial" w:eastAsia="Arial" w:hAnsi="Arial"/>
          <w:sz w:val="18"/>
          <w:szCs w:val="18"/>
          <w:color w:val="auto"/>
        </w:rPr>
        <w:t>Total increase per Program Area revisions and revised Master Plans, both dated</w:t>
      </w:r>
      <w:r>
        <w:rPr>
          <w:rFonts w:ascii="Arial" w:cs="Arial" w:eastAsia="Arial" w:hAnsi="Arial"/>
          <w:sz w:val="18"/>
          <w:szCs w:val="18"/>
          <w:i w:val="1"/>
          <w:iCs w:val="1"/>
          <w:color w:val="auto"/>
        </w:rPr>
        <w:t xml:space="preserve"> </w:t>
      </w:r>
      <w:r>
        <w:rPr>
          <w:rFonts w:ascii="Arial" w:cs="Arial" w:eastAsia="Arial" w:hAnsi="Arial"/>
          <w:sz w:val="18"/>
          <w:szCs w:val="18"/>
          <w:color w:val="auto"/>
        </w:rPr>
        <w:t>7/19/02 $119,700.00.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228"/>
        </w:trPr>
        <w:tc>
          <w:tcPr>
            <w:tcW w:w="3980" w:type="dxa"/>
            <w:vAlign w:val="bottom"/>
          </w:tcPr>
          <w:p>
            <w:pPr>
              <w:spacing w:after="0"/>
              <w:rPr>
                <w:sz w:val="20"/>
                <w:szCs w:val="20"/>
                <w:color w:val="auto"/>
              </w:rPr>
            </w:pPr>
            <w:r>
              <w:rPr>
                <w:rFonts w:ascii="Arial" w:cs="Arial" w:eastAsia="Arial" w:hAnsi="Arial"/>
                <w:sz w:val="18"/>
                <w:szCs w:val="18"/>
                <w:b w:val="1"/>
                <w:bCs w:val="1"/>
                <w:color w:val="auto"/>
                <w:w w:val="94"/>
              </w:rPr>
              <w:t>Total Scope of Work Change Order No. 1 amount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$17,458,573</w:t>
            </w:r>
          </w:p>
        </w:tc>
      </w:tr>
    </w:tbl>
    <w:p>
      <w:pPr>
        <w:spacing w:after="0" w:line="217" w:lineRule="exact"/>
        <w:rPr>
          <w:sz w:val="20"/>
          <w:szCs w:val="20"/>
          <w:color w:val="auto"/>
        </w:rPr>
      </w:pPr>
    </w:p>
    <w:p>
      <w:pPr>
        <w:ind w:left="540" w:hanging="532"/>
        <w:spacing w:after="0"/>
        <w:tabs>
          <w:tab w:leader="none" w:pos="54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INCREASE TO GUARANTEED MAXIMUM PRICE.</w:t>
      </w:r>
    </w:p>
    <w:p>
      <w:pPr>
        <w:spacing w:after="0" w:line="23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Guaranteed Maximum Price set forth in </w:t>
      </w:r>
      <w:r>
        <w:rPr>
          <w:rFonts w:ascii="Arial" w:cs="Arial" w:eastAsia="Arial" w:hAnsi="Arial"/>
          <w:sz w:val="16"/>
          <w:szCs w:val="16"/>
          <w:i w:val="1"/>
          <w:iCs w:val="1"/>
          <w:color w:val="auto"/>
        </w:rPr>
        <w:t>Section 3.1</w:t>
      </w:r>
      <w:r>
        <w:rPr>
          <w:rFonts w:ascii="Arial" w:cs="Arial" w:eastAsia="Arial" w:hAnsi="Arial"/>
          <w:sz w:val="16"/>
          <w:szCs w:val="16"/>
          <w:color w:val="auto"/>
        </w:rPr>
        <w:t xml:space="preserve"> of the Contract is by this Change Order hereby increased from $901,883,710.00 to</w:t>
      </w:r>
    </w:p>
    <w:p>
      <w:pPr>
        <w:spacing w:after="0" w:line="38" w:lineRule="exact"/>
        <w:rPr>
          <w:rFonts w:ascii="Arial" w:cs="Arial" w:eastAsia="Arial" w:hAnsi="Arial"/>
          <w:sz w:val="18"/>
          <w:szCs w:val="18"/>
          <w:b w:val="1"/>
          <w:bCs w:val="1"/>
          <w:color w:val="auto"/>
        </w:rPr>
      </w:pPr>
    </w:p>
    <w:p>
      <w:pPr>
        <w:ind w:left="540" w:right="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 xml:space="preserve">$919,342,283.00, based on the Changes described in Paragraph 1 above. The detailed breakdown of the foregoing increase is contained in the Revised Contractors Work and Guaranteed Maximum Price Breakdown labeled as </w:t>
      </w:r>
      <w:r>
        <w:rPr>
          <w:rFonts w:ascii="Arial" w:cs="Arial" w:eastAsia="Arial" w:hAnsi="Arial"/>
          <w:sz w:val="16"/>
          <w:szCs w:val="16"/>
          <w:i w:val="1"/>
          <w:iCs w:val="1"/>
          <w:color w:val="auto"/>
        </w:rPr>
        <w:t>Revised Exhibit F</w:t>
      </w:r>
      <w:r>
        <w:rPr>
          <w:rFonts w:ascii="Arial" w:cs="Arial" w:eastAsia="Arial" w:hAnsi="Arial"/>
          <w:sz w:val="16"/>
          <w:szCs w:val="16"/>
          <w:color w:val="auto"/>
        </w:rPr>
        <w:t xml:space="preserve"> and dated 12 August 2002, and attached to this Change Order. Accordingly, the original Guaranteed Maximum Price Breakdown attached as </w:t>
      </w:r>
      <w:r>
        <w:rPr>
          <w:rFonts w:ascii="Arial" w:cs="Arial" w:eastAsia="Arial" w:hAnsi="Arial"/>
          <w:sz w:val="16"/>
          <w:szCs w:val="16"/>
          <w:i w:val="1"/>
          <w:iCs w:val="1"/>
          <w:color w:val="auto"/>
        </w:rPr>
        <w:t>Exhibit F</w:t>
      </w:r>
      <w:r>
        <w:rPr>
          <w:rFonts w:ascii="Arial" w:cs="Arial" w:eastAsia="Arial" w:hAnsi="Arial"/>
          <w:sz w:val="16"/>
          <w:szCs w:val="16"/>
          <w:color w:val="auto"/>
        </w:rPr>
        <w:t xml:space="preserve"> to the Contract is hereby deleted and substituted therefore is the Revised Contractors Work and Guaranteed Maximum Price Breakdown attached hereto. From and after the date of this Change Order, all references in the Contract Documents to the "Guaranteed Maximum Price Breakdown" attached as </w:t>
      </w:r>
      <w:r>
        <w:rPr>
          <w:rFonts w:ascii="Arial" w:cs="Arial" w:eastAsia="Arial" w:hAnsi="Arial"/>
          <w:sz w:val="16"/>
          <w:szCs w:val="16"/>
          <w:i w:val="1"/>
          <w:iCs w:val="1"/>
          <w:color w:val="auto"/>
        </w:rPr>
        <w:t>Exhibit F</w:t>
      </w:r>
      <w:r>
        <w:rPr>
          <w:rFonts w:ascii="Arial" w:cs="Arial" w:eastAsia="Arial" w:hAnsi="Arial"/>
          <w:sz w:val="16"/>
          <w:szCs w:val="16"/>
          <w:color w:val="auto"/>
        </w:rPr>
        <w:t xml:space="preserve"> to the Contract, shall mean and refer to the Revised Contractors Work and Guaranteed Maximum Price Breakdown attached hereto as </w:t>
      </w:r>
      <w:r>
        <w:rPr>
          <w:rFonts w:ascii="Arial" w:cs="Arial" w:eastAsia="Arial" w:hAnsi="Arial"/>
          <w:sz w:val="16"/>
          <w:szCs w:val="16"/>
          <w:i w:val="1"/>
          <w:iCs w:val="1"/>
          <w:color w:val="auto"/>
        </w:rPr>
        <w:t>Revised Exhibit F.</w:t>
      </w:r>
      <w:r>
        <w:rPr>
          <w:rFonts w:ascii="Arial" w:cs="Arial" w:eastAsia="Arial" w:hAnsi="Arial"/>
          <w:sz w:val="16"/>
          <w:szCs w:val="16"/>
          <w:color w:val="auto"/>
        </w:rPr>
        <w:t xml:space="preserve"> From and after the date of this Change Order, any and all references in the Contract Documents to the "Guaranteed Maximum Price" shall mean the amount of $919,342,283.00.</w:t>
      </w:r>
    </w:p>
    <w:p>
      <w:pPr>
        <w:spacing w:after="0" w:line="184" w:lineRule="exact"/>
        <w:rPr>
          <w:rFonts w:ascii="Arial" w:cs="Arial" w:eastAsia="Arial" w:hAnsi="Arial"/>
          <w:sz w:val="18"/>
          <w:szCs w:val="18"/>
          <w:b w:val="1"/>
          <w:bCs w:val="1"/>
          <w:color w:val="auto"/>
        </w:rPr>
      </w:pPr>
    </w:p>
    <w:p>
      <w:pPr>
        <w:ind w:left="540" w:hanging="532"/>
        <w:spacing w:after="0"/>
        <w:tabs>
          <w:tab w:leader="none" w:pos="54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PROJECT SCHEDULE</w:t>
      </w:r>
    </w:p>
    <w:p>
      <w:pPr>
        <w:spacing w:after="0" w:line="231" w:lineRule="exact"/>
        <w:rPr>
          <w:rFonts w:ascii="Arial" w:cs="Arial" w:eastAsia="Arial" w:hAnsi="Arial"/>
          <w:sz w:val="18"/>
          <w:szCs w:val="18"/>
          <w:b w:val="1"/>
          <w:bCs w:val="1"/>
          <w:color w:val="auto"/>
        </w:rPr>
      </w:pPr>
    </w:p>
    <w:p>
      <w:pPr>
        <w:ind w:left="54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 xml:space="preserve">The original Project Schedule attached as </w:t>
      </w:r>
      <w:r>
        <w:rPr>
          <w:rFonts w:ascii="Arial" w:cs="Arial" w:eastAsia="Arial" w:hAnsi="Arial"/>
          <w:sz w:val="16"/>
          <w:szCs w:val="16"/>
          <w:i w:val="1"/>
          <w:iCs w:val="1"/>
          <w:color w:val="auto"/>
        </w:rPr>
        <w:t>Exhibit B</w:t>
      </w:r>
      <w:r>
        <w:rPr>
          <w:rFonts w:ascii="Arial" w:cs="Arial" w:eastAsia="Arial" w:hAnsi="Arial"/>
          <w:sz w:val="16"/>
          <w:szCs w:val="16"/>
          <w:color w:val="auto"/>
        </w:rPr>
        <w:t xml:space="preserve"> to the Contract is hereby deleted and substituted therefore is the Revised Project Schedule dated August 12, 2002 and attached to this Change Order and labeled </w:t>
      </w:r>
      <w:r>
        <w:rPr>
          <w:rFonts w:ascii="Arial" w:cs="Arial" w:eastAsia="Arial" w:hAnsi="Arial"/>
          <w:sz w:val="16"/>
          <w:szCs w:val="16"/>
          <w:i w:val="1"/>
          <w:iCs w:val="1"/>
          <w:color w:val="auto"/>
        </w:rPr>
        <w:t>Revised Exhibit B</w:t>
      </w:r>
      <w:r>
        <w:rPr>
          <w:rFonts w:ascii="Arial" w:cs="Arial" w:eastAsia="Arial" w:hAnsi="Arial"/>
          <w:sz w:val="16"/>
          <w:szCs w:val="16"/>
          <w:color w:val="auto"/>
        </w:rPr>
        <w:t xml:space="preserve">. From and after the date of this Change Order, all references in the Contract Documents to the term "Project Schedule," shall mean and refer to the Revised Project Schedule dated August 12, 2002 and attached hereto as </w:t>
      </w:r>
      <w:r>
        <w:rPr>
          <w:rFonts w:ascii="Arial" w:cs="Arial" w:eastAsia="Arial" w:hAnsi="Arial"/>
          <w:sz w:val="16"/>
          <w:szCs w:val="16"/>
          <w:i w:val="1"/>
          <w:iCs w:val="1"/>
          <w:color w:val="auto"/>
        </w:rPr>
        <w:t>Revised Exhibit B</w:t>
      </w:r>
      <w:r>
        <w:rPr>
          <w:rFonts w:ascii="Arial" w:cs="Arial" w:eastAsia="Arial" w:hAnsi="Arial"/>
          <w:sz w:val="16"/>
          <w:szCs w:val="16"/>
          <w:color w:val="auto"/>
        </w:rPr>
        <w:t>. The Contract Time of 910 calendar days from Date of Commencement, and the Guaranteed Date of Substantial Completion,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w:t>
      </w:r>
      <w:r>
        <w:rPr>
          <w:rFonts w:ascii="Arial" w:cs="Arial" w:eastAsia="Arial" w:hAnsi="Arial"/>
          <w:sz w:val="16"/>
          <w:szCs w:val="16"/>
          <w:i w:val="1"/>
          <w:iCs w:val="1"/>
          <w:color w:val="auto"/>
        </w:rPr>
        <w:t>Section 4.1</w:t>
      </w:r>
      <w:r>
        <w:rPr>
          <w:rFonts w:ascii="Arial" w:cs="Arial" w:eastAsia="Arial" w:hAnsi="Arial"/>
          <w:sz w:val="16"/>
          <w:szCs w:val="16"/>
          <w:color w:val="auto"/>
        </w:rPr>
        <w:t xml:space="preserve"> of the Contract, remain unchanged by this Change Order.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All initial capitalized terms used in this Change Order shall have the meaning ascribed to them in the Contract, unless otherwise defined herein. This Change Order is effective as of August 12, 2002.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OWNER:</w:t>
            </w:r>
          </w:p>
        </w:tc>
        <w:tc>
          <w:tcPr>
            <w:tcW w:w="9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020" w:type="dxa"/>
            <w:vAlign w:val="bottom"/>
            <w:gridSpan w:val="3"/>
          </w:tcPr>
          <w:p>
            <w:pPr>
              <w:ind w:left="220"/>
              <w:spacing w:after="0"/>
              <w:rPr>
                <w:sz w:val="20"/>
                <w:szCs w:val="20"/>
                <w:color w:val="auto"/>
              </w:rPr>
            </w:pPr>
            <w:r>
              <w:rPr>
                <w:rFonts w:ascii="Arial" w:cs="Arial" w:eastAsia="Arial" w:hAnsi="Arial"/>
                <w:sz w:val="18"/>
                <w:szCs w:val="18"/>
                <w:b w:val="1"/>
                <w:bCs w:val="1"/>
                <w:color w:val="auto"/>
              </w:rPr>
              <w:t>CONTRACTOR:</w:t>
            </w:r>
          </w:p>
        </w:tc>
        <w:tc>
          <w:tcPr>
            <w:tcW w:w="0" w:type="dxa"/>
            <w:vAlign w:val="bottom"/>
          </w:tcPr>
          <w:p>
            <w:pPr>
              <w:spacing w:after="0"/>
              <w:rPr>
                <w:sz w:val="1"/>
                <w:szCs w:val="1"/>
                <w:color w:val="auto"/>
              </w:rPr>
            </w:pPr>
          </w:p>
        </w:tc>
      </w:tr>
      <w:tr>
        <w:trPr>
          <w:trHeight w:val="426"/>
        </w:trPr>
        <w:tc>
          <w:tcPr>
            <w:tcW w:w="2080" w:type="dxa"/>
            <w:vAlign w:val="bottom"/>
            <w:gridSpan w:val="3"/>
          </w:tcPr>
          <w:p>
            <w:pPr>
              <w:spacing w:after="0"/>
              <w:rPr>
                <w:sz w:val="20"/>
                <w:szCs w:val="20"/>
                <w:color w:val="auto"/>
              </w:rPr>
            </w:pPr>
            <w:r>
              <w:rPr>
                <w:rFonts w:ascii="Arial" w:cs="Arial" w:eastAsia="Arial" w:hAnsi="Arial"/>
                <w:sz w:val="18"/>
                <w:szCs w:val="18"/>
                <w:color w:val="auto"/>
              </w:rPr>
              <w:t>WYNN LAS VEGAS, LLC</w:t>
            </w:r>
          </w:p>
        </w:tc>
        <w:tc>
          <w:tcPr>
            <w:tcW w:w="4320" w:type="dxa"/>
            <w:vAlign w:val="bottom"/>
          </w:tcPr>
          <w:p>
            <w:pPr>
              <w:spacing w:after="0"/>
              <w:rPr>
                <w:sz w:val="24"/>
                <w:szCs w:val="24"/>
                <w:color w:val="auto"/>
              </w:rPr>
            </w:pP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MARNELL CORRAO ASSOCIATES, INC.</w:t>
            </w:r>
          </w:p>
        </w:tc>
        <w:tc>
          <w:tcPr>
            <w:tcW w:w="0" w:type="dxa"/>
            <w:vAlign w:val="bottom"/>
          </w:tcPr>
          <w:p>
            <w:pPr>
              <w:spacing w:after="0"/>
              <w:rPr>
                <w:sz w:val="1"/>
                <w:szCs w:val="1"/>
                <w:color w:val="auto"/>
              </w:rPr>
            </w:pPr>
          </w:p>
        </w:tc>
      </w:tr>
      <w:tr>
        <w:trPr>
          <w:trHeight w:val="222"/>
        </w:trPr>
        <w:tc>
          <w:tcPr>
            <w:tcW w:w="6400" w:type="dxa"/>
            <w:vAlign w:val="bottom"/>
            <w:gridSpan w:val="4"/>
          </w:tcPr>
          <w:p>
            <w:pPr>
              <w:spacing w:after="0"/>
              <w:rPr>
                <w:sz w:val="20"/>
                <w:szCs w:val="20"/>
                <w:color w:val="auto"/>
              </w:rPr>
            </w:pPr>
            <w:r>
              <w:rPr>
                <w:rFonts w:ascii="Arial" w:cs="Arial" w:eastAsia="Arial" w:hAnsi="Arial"/>
                <w:sz w:val="18"/>
                <w:szCs w:val="18"/>
                <w:color w:val="auto"/>
              </w:rPr>
              <w:t>a Nevada limited liability company,</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a Nevada corporation</w:t>
            </w:r>
          </w:p>
        </w:tc>
        <w:tc>
          <w:tcPr>
            <w:tcW w:w="0" w:type="dxa"/>
            <w:vAlign w:val="bottom"/>
          </w:tcPr>
          <w:p>
            <w:pPr>
              <w:spacing w:after="0"/>
              <w:rPr>
                <w:sz w:val="1"/>
                <w:szCs w:val="1"/>
                <w:color w:val="auto"/>
              </w:rPr>
            </w:pPr>
          </w:p>
        </w:tc>
      </w:tr>
      <w:tr>
        <w:trPr>
          <w:trHeight w:val="42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Wynn Resorts Holdings, LLC,</w:t>
            </w: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4320" w:type="dxa"/>
            <w:vAlign w:val="bottom"/>
            <w:gridSpan w:val="2"/>
          </w:tcPr>
          <w:p>
            <w:pPr>
              <w:ind w:left="200"/>
              <w:spacing w:after="0"/>
              <w:rPr>
                <w:sz w:val="20"/>
                <w:szCs w:val="20"/>
                <w:color w:val="auto"/>
              </w:rPr>
            </w:pPr>
            <w:r>
              <w:rPr>
                <w:rFonts w:ascii="Arial" w:cs="Arial" w:eastAsia="Arial" w:hAnsi="Arial"/>
                <w:sz w:val="18"/>
                <w:szCs w:val="18"/>
                <w:color w:val="auto"/>
              </w:rPr>
              <w:t>/s/ Perry Elman</w:t>
            </w:r>
          </w:p>
        </w:tc>
        <w:tc>
          <w:tcPr>
            <w:tcW w:w="0" w:type="dxa"/>
            <w:vAlign w:val="bottom"/>
          </w:tcPr>
          <w:p>
            <w:pPr>
              <w:spacing w:after="0"/>
              <w:rPr>
                <w:sz w:val="1"/>
                <w:szCs w:val="1"/>
                <w:color w:val="auto"/>
              </w:rPr>
            </w:pPr>
          </w:p>
        </w:tc>
      </w:tr>
      <w:tr>
        <w:trPr>
          <w:trHeight w:val="127"/>
        </w:trPr>
        <w:tc>
          <w:tcPr>
            <w:tcW w:w="480" w:type="dxa"/>
            <w:vAlign w:val="bottom"/>
          </w:tcPr>
          <w:p>
            <w:pPr>
              <w:spacing w:after="0"/>
              <w:rPr>
                <w:sz w:val="11"/>
                <w:szCs w:val="11"/>
                <w:color w:val="auto"/>
              </w:rPr>
            </w:pPr>
          </w:p>
        </w:tc>
        <w:tc>
          <w:tcPr>
            <w:tcW w:w="5920" w:type="dxa"/>
            <w:vAlign w:val="bottom"/>
            <w:gridSpan w:val="3"/>
            <w:vMerge w:val="restart"/>
          </w:tcPr>
          <w:p>
            <w:pPr>
              <w:ind w:left="240"/>
              <w:spacing w:after="0"/>
              <w:rPr>
                <w:sz w:val="20"/>
                <w:szCs w:val="20"/>
                <w:color w:val="auto"/>
              </w:rPr>
            </w:pPr>
            <w:r>
              <w:rPr>
                <w:rFonts w:ascii="Arial" w:cs="Arial" w:eastAsia="Arial" w:hAnsi="Arial"/>
                <w:sz w:val="18"/>
                <w:szCs w:val="18"/>
                <w:color w:val="auto"/>
              </w:rPr>
              <w:t>a Nevada limited liability company,</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480" w:type="dxa"/>
            <w:vAlign w:val="bottom"/>
          </w:tcPr>
          <w:p>
            <w:pPr>
              <w:spacing w:after="0"/>
              <w:rPr>
                <w:sz w:val="6"/>
                <w:szCs w:val="6"/>
                <w:color w:val="auto"/>
              </w:rPr>
            </w:pPr>
          </w:p>
        </w:tc>
        <w:tc>
          <w:tcPr>
            <w:tcW w:w="592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its sole member</w:t>
            </w:r>
          </w:p>
        </w:tc>
        <w:tc>
          <w:tcPr>
            <w:tcW w:w="4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320" w:type="dxa"/>
            <w:vAlign w:val="bottom"/>
            <w:gridSpan w:val="2"/>
          </w:tcPr>
          <w:p>
            <w:pPr>
              <w:ind w:left="200"/>
              <w:spacing w:after="0"/>
              <w:rPr>
                <w:sz w:val="20"/>
                <w:szCs w:val="20"/>
                <w:color w:val="auto"/>
              </w:rPr>
            </w:pPr>
            <w:r>
              <w:rPr>
                <w:rFonts w:ascii="Arial" w:cs="Arial" w:eastAsia="Arial" w:hAnsi="Arial"/>
                <w:sz w:val="18"/>
                <w:szCs w:val="18"/>
                <w:color w:val="auto"/>
              </w:rPr>
              <w:t>Name: Perry Ellman</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700" w:type="dxa"/>
            <w:vAlign w:val="bottom"/>
            <w:vMerge w:val="restart"/>
          </w:tcPr>
          <w:p>
            <w:pPr>
              <w:ind w:left="240"/>
              <w:spacing w:after="0"/>
              <w:rPr>
                <w:sz w:val="20"/>
                <w:szCs w:val="20"/>
                <w:color w:val="auto"/>
              </w:rPr>
            </w:pPr>
            <w:r>
              <w:rPr>
                <w:rFonts w:ascii="Arial" w:cs="Arial" w:eastAsia="Arial" w:hAnsi="Arial"/>
                <w:sz w:val="18"/>
                <w:szCs w:val="18"/>
                <w:color w:val="auto"/>
              </w:rPr>
              <w:t>By:</w:t>
            </w:r>
          </w:p>
        </w:tc>
        <w:tc>
          <w:tcPr>
            <w:tcW w:w="5220" w:type="dxa"/>
            <w:vAlign w:val="bottom"/>
            <w:gridSpan w:val="2"/>
            <w:vMerge w:val="restart"/>
          </w:tcPr>
          <w:p>
            <w:pPr>
              <w:ind w:left="220"/>
              <w:spacing w:after="0"/>
              <w:rPr>
                <w:sz w:val="20"/>
                <w:szCs w:val="20"/>
                <w:color w:val="auto"/>
              </w:rPr>
            </w:pPr>
            <w:r>
              <w:rPr>
                <w:rFonts w:ascii="Arial" w:cs="Arial" w:eastAsia="Arial" w:hAnsi="Arial"/>
                <w:sz w:val="18"/>
                <w:szCs w:val="18"/>
                <w:color w:val="auto"/>
              </w:rPr>
              <w:t>Valvino Lamore, LLC,</w:t>
            </w:r>
          </w:p>
        </w:tc>
        <w:tc>
          <w:tcPr>
            <w:tcW w:w="700" w:type="dxa"/>
            <w:vAlign w:val="bottom"/>
          </w:tcPr>
          <w:p>
            <w:pPr>
              <w:spacing w:after="0"/>
              <w:rPr>
                <w:sz w:val="19"/>
                <w:szCs w:val="19"/>
                <w:color w:val="auto"/>
              </w:rPr>
            </w:pPr>
          </w:p>
        </w:tc>
        <w:tc>
          <w:tcPr>
            <w:tcW w:w="4320" w:type="dxa"/>
            <w:vAlign w:val="bottom"/>
            <w:gridSpan w:val="2"/>
          </w:tcPr>
          <w:p>
            <w:pPr>
              <w:ind w:left="200"/>
              <w:spacing w:after="0"/>
              <w:rPr>
                <w:sz w:val="20"/>
                <w:szCs w:val="20"/>
                <w:color w:val="auto"/>
              </w:rPr>
            </w:pPr>
            <w:r>
              <w:rPr>
                <w:rFonts w:ascii="Arial" w:cs="Arial" w:eastAsia="Arial" w:hAnsi="Arial"/>
                <w:sz w:val="18"/>
                <w:szCs w:val="18"/>
                <w:color w:val="auto"/>
              </w:rPr>
              <w:t>Its: President</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2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20" w:type="dxa"/>
            <w:vAlign w:val="bottom"/>
            <w:gridSpan w:val="2"/>
          </w:tcPr>
          <w:p>
            <w:pPr>
              <w:ind w:left="220"/>
              <w:spacing w:after="0"/>
              <w:rPr>
                <w:sz w:val="20"/>
                <w:szCs w:val="20"/>
                <w:color w:val="auto"/>
              </w:rPr>
            </w:pPr>
            <w:r>
              <w:rPr>
                <w:rFonts w:ascii="Arial" w:cs="Arial" w:eastAsia="Arial" w:hAnsi="Arial"/>
                <w:sz w:val="18"/>
                <w:szCs w:val="18"/>
                <w:color w:val="auto"/>
              </w:rPr>
              <w:t>a Nevada limited liability company,</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20" w:type="dxa"/>
            <w:vAlign w:val="bottom"/>
            <w:gridSpan w:val="2"/>
          </w:tcPr>
          <w:p>
            <w:pPr>
              <w:ind w:left="220"/>
              <w:spacing w:after="0"/>
              <w:rPr>
                <w:sz w:val="20"/>
                <w:szCs w:val="20"/>
                <w:color w:val="auto"/>
              </w:rPr>
            </w:pPr>
            <w:r>
              <w:rPr>
                <w:rFonts w:ascii="Arial" w:cs="Arial" w:eastAsia="Arial" w:hAnsi="Arial"/>
                <w:sz w:val="18"/>
                <w:szCs w:val="18"/>
                <w:color w:val="auto"/>
              </w:rPr>
              <w:t>its sole member</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By:</w:t>
            </w:r>
          </w:p>
        </w:tc>
        <w:tc>
          <w:tcPr>
            <w:tcW w:w="4320" w:type="dxa"/>
            <w:vAlign w:val="bottom"/>
          </w:tcPr>
          <w:p>
            <w:pPr>
              <w:spacing w:after="0"/>
              <w:rPr>
                <w:sz w:val="20"/>
                <w:szCs w:val="20"/>
                <w:color w:val="auto"/>
              </w:rPr>
            </w:pPr>
            <w:r>
              <w:rPr>
                <w:rFonts w:ascii="Arial" w:cs="Arial" w:eastAsia="Arial" w:hAnsi="Arial"/>
                <w:sz w:val="18"/>
                <w:szCs w:val="18"/>
                <w:color w:val="auto"/>
              </w:rPr>
              <w:t>/s/ Stephen A. Wynn</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Name: Stephen A. Wynn</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Its: Managing Member</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-1468755</wp:posOffset>
            </wp:positionV>
            <wp:extent cx="1270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-1468755</wp:posOffset>
            </wp:positionV>
            <wp:extent cx="1270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-353695</wp:posOffset>
            </wp:positionV>
            <wp:extent cx="1270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-353695</wp:posOffset>
            </wp:positionV>
            <wp:extent cx="1270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ARCHITECT:</w:t>
      </w:r>
    </w:p>
    <w:p>
      <w:pPr>
        <w:spacing w:after="0" w:line="23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BUTLER ASHWORTH ARCHITECTS, LLC</w:t>
      </w:r>
    </w:p>
    <w:p>
      <w:pPr>
        <w:spacing w:after="0" w:line="225" w:lineRule="exact"/>
        <w:rPr>
          <w:sz w:val="20"/>
          <w:szCs w:val="20"/>
          <w:color w:val="auto"/>
        </w:rPr>
      </w:pPr>
    </w:p>
    <w:p>
      <w:pPr>
        <w:ind w:left="662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 Ashworth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77470</wp:posOffset>
            </wp:positionV>
            <wp:extent cx="2620010" cy="215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2620010" cy="21590"/>
                    </a:xfrm>
                    <a:prstGeom prst="rect">
                      <a:avLst/>
                    </a:prstGeom>
                    <a:noFill/>
                  </pic:spPr>
                </pic:pic>
              </a:graphicData>
            </a:graphic>
          </wp:anchor>
        </w:drawing>
      </w:r>
    </w:p>
    <w:p>
      <w:pPr>
        <w:spacing w:after="0" w:line="232"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 Glen Ashworth</w:t>
      </w:r>
    </w:p>
    <w:p>
      <w:pPr>
        <w:spacing w:after="0" w:line="15"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Its: Vice President and Secretary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Exhibit 10.26</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AGREEMENT FOR GUARANTEE MAXIMUM PRICE CONSTRUCTION SERVICES CHANGE ORDER 12 August 2002</w:t>
        </w:r>
      </w:hyperlink>
    </w:p>
    <w:p>
      <w:pPr>
        <w:sectPr>
          <w:pgSz w:w="11900" w:h="16838" w:orient="portrait"/>
          <w:cols w:equalWidth="0" w:num="1">
            <w:col w:w="11420"/>
          </w:cols>
          <w:pgMar w:left="240" w:top="145" w:right="239" w:bottom="148" w:gutter="0" w:footer="0" w:header="0"/>
        </w:sectPr>
      </w:pPr>
    </w:p>
    <w:bookmarkStart w:id="209" w:name="page210"/>
    <w:bookmarkEnd w:id="209"/>
    <w:p>
      <w:pPr>
        <w:spacing w:after="0"/>
        <w:rPr>
          <w:rFonts w:ascii="Arial" w:cs="Arial" w:eastAsia="Arial" w:hAnsi="Arial"/>
          <w:sz w:val="22"/>
          <w:szCs w:val="22"/>
          <w:color w:val="0000EE"/>
        </w:rPr>
      </w:pPr>
      <w:hyperlink w:anchor="page2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consent to the use in this Amendment No. 1 to Registration Statement No. 333-90600 of Wynn Resorts, Limited on Form S-1 of our report dated June 6, 2002, appearing in the Prospectus, which is part of this Registration Statement, and of our report dated June 6, 2002 relating to the financial statement schedule appearing elsewhere in this Registration Statement. We also consent to the reference to us under the headings "Selected Financial Data," "Experts" and "Independent Accountants" in such 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INDEPENDENT AUDITORS' CONSENT</w:t>
        </w:r>
      </w:hyperlink>
    </w:p>
    <w:p>
      <w:pPr>
        <w:sectPr>
          <w:pgSz w:w="11900" w:h="16838" w:orient="portrait"/>
          <w:cols w:equalWidth="0" w:num="1">
            <w:col w:w="11380"/>
          </w:cols>
          <w:pgMar w:left="240" w:top="361" w:right="279" w:bottom="1440" w:gutter="0" w:footer="0" w:header="0"/>
        </w:sectPr>
      </w:pPr>
    </w:p>
    <w:bookmarkStart w:id="210" w:name="page211"/>
    <w:bookmarkEnd w:id="210"/>
    <w:p>
      <w:pPr>
        <w:spacing w:after="0" w:line="69" w:lineRule="exact"/>
        <w:rPr>
          <w:sz w:val="20"/>
          <w:szCs w:val="20"/>
          <w:color w:val="auto"/>
        </w:rPr>
      </w:pPr>
    </w:p>
    <w:p>
      <w:pPr>
        <w:spacing w:after="0"/>
        <w:rPr>
          <w:rFonts w:ascii="Arial" w:cs="Arial" w:eastAsia="Arial" w:hAnsi="Arial"/>
          <w:sz w:val="22"/>
          <w:szCs w:val="22"/>
          <w:color w:val="0000EE"/>
        </w:rPr>
      </w:pPr>
      <w:hyperlink w:anchor="page21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Wynn Resorts, Limited in Amendment No. to the registration statement on Form S-1 of Wynn Resorts, Limited dated August 20, 2002 and any amendments thereto.</w:t>
      </w:r>
    </w:p>
    <w:p>
      <w:pPr>
        <w:spacing w:after="0" w:line="19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Kazuo Okada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Wynn Resorts, Limited in Amendment No. 1 to the registration statement on Form S-1 of Wynn Resorts, Limited dated August 20, 2002 and any amendments thereto.</w:t>
      </w:r>
    </w:p>
    <w:p>
      <w:pPr>
        <w:spacing w:after="0" w:line="19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Elaine P. Wynn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Wynn Resorts, Limited in Amendment No. 1 to the registration statement on Form S-1 of Wynn Resorts, Limited dated August 20, 2002 and any amendments thereto.</w:t>
      </w:r>
    </w:p>
    <w:p>
      <w:pPr>
        <w:spacing w:after="0" w:line="19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Robert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Robert J. Miller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Wynn Resorts, Limited in Amendment No. 1 to the registration statement on Form S-1 of Wynn Resorts, Limited dated August 20, 2002 and any amendments thereto.</w:t>
      </w:r>
    </w:p>
    <w:p>
      <w:pPr>
        <w:spacing w:after="0" w:line="19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John A.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A. Moran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19,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Pursuant to Rule 438 promulgated under the Securities Act of 1933, as amended, the undersigned hereby consents to be named as a person about to become a director of Wynn Resorts, Limited in Amendment No. 1 to the registration statement on Form S-1 of Wynn Resorts, Limited dated August 20, 2002 and any</w:t>
      </w:r>
    </w:p>
    <w:p>
      <w:pPr>
        <w:sectPr>
          <w:pgSz w:w="11900" w:h="16908" w:orient="portrait"/>
          <w:cols w:equalWidth="0" w:num="1">
            <w:col w:w="11420"/>
          </w:cols>
          <w:pgMar w:left="240" w:top="361" w:right="239" w:bottom="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t>amendments thereto.</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Stanley R. Zax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Stanley R. Zax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PERSON NAMED TO BECOME A DIRECTOR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Pursuant to Rule 438 promulgated under the Securities Act of 1933, as amended, the undersigned hereby consents to be named as a person about to become a director of Wynn Resorts, Limited in Amendment No. 1 to the registration statement on Form S-1 of Wynn Resorts, Limited dated August 20, 2002 and any amendments thereto.</w:t>
      </w:r>
    </w:p>
    <w:p>
      <w:pPr>
        <w:spacing w:after="0" w:line="19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77470</wp:posOffset>
            </wp:positionV>
            <wp:extent cx="2679700" cy="215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Ronald J. Kramer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CONSENT OF PERSON NAMED TO BECOME A DIRECTOR</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CONSENT OF PERSON NAMED TO BECOME A DIRECTOR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CONSENT OF PERSON NAMED TO BECOME A DIRECTOR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CONSENT OF PERSON NAMED TO BECOME A DIRECTOR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CONSENT OF PERSON NAMED TO BECOME A DIRECTOR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CONSENT OF PERSON NAMED TO BECOME A DIRECTOR</w:t>
        </w:r>
      </w:hyperlink>
    </w:p>
    <w:sectPr>
      <w:pgSz w:w="11900" w:h="16838" w:orient="portrait"/>
      <w:cols w:equalWidth="0" w:num="1">
        <w:col w:w="11300"/>
      </w:cols>
      <w:pgMar w:left="24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CF80F1"/>
    <w:multiLevelType w:val="hybridMultilevel"/>
    <w:lvl w:ilvl="0">
      <w:lvlJc w:val="left"/>
      <w:lvlText w:val="(%1)"/>
      <w:numFmt w:val="decimal"/>
      <w:start w:val="1"/>
    </w:lvl>
  </w:abstractNum>
  <w:abstractNum w:abstractNumId="1">
    <w:nsid w:val="1C695DEC"/>
    <w:multiLevelType w:val="hybridMultilevel"/>
    <w:lvl w:ilvl="0">
      <w:lvlJc w:val="left"/>
      <w:lvlText w:val="•"/>
      <w:numFmt w:val="bullet"/>
      <w:start w:val="1"/>
    </w:lvl>
  </w:abstractNum>
  <w:abstractNum w:abstractNumId="2">
    <w:nsid w:val="3FCFAED9"/>
    <w:multiLevelType w:val="hybridMultilevel"/>
    <w:lvl w:ilvl="0">
      <w:lvlJc w:val="left"/>
      <w:lvlText w:val="•"/>
      <w:numFmt w:val="bullet"/>
      <w:start w:val="1"/>
    </w:lvl>
  </w:abstractNum>
  <w:abstractNum w:abstractNumId="3">
    <w:nsid w:val="F856867"/>
    <w:multiLevelType w:val="hybridMultilevel"/>
    <w:lvl w:ilvl="0">
      <w:lvlJc w:val="left"/>
      <w:lvlText w:val="•"/>
      <w:numFmt w:val="bullet"/>
      <w:start w:val="1"/>
    </w:lvl>
    <w:lvl w:ilvl="1">
      <w:lvlJc w:val="left"/>
      <w:lvlText w:val="•"/>
      <w:numFmt w:val="bullet"/>
      <w:start w:val="1"/>
    </w:lvl>
  </w:abstractNum>
  <w:abstractNum w:abstractNumId="4">
    <w:nsid w:val="11B1CC33"/>
    <w:multiLevelType w:val="hybridMultilevel"/>
    <w:lvl w:ilvl="0">
      <w:lvlJc w:val="left"/>
      <w:lvlText w:val="•"/>
      <w:numFmt w:val="bullet"/>
      <w:start w:val="1"/>
    </w:lvl>
    <w:lvl w:ilvl="1">
      <w:lvlJc w:val="left"/>
      <w:lvlText w:val="•"/>
      <w:numFmt w:val="bullet"/>
      <w:start w:val="1"/>
    </w:lvl>
  </w:abstractNum>
  <w:abstractNum w:abstractNumId="5">
    <w:nsid w:val="2E22FBB7"/>
    <w:multiLevelType w:val="hybridMultilevel"/>
    <w:lvl w:ilvl="0">
      <w:lvlJc w:val="left"/>
      <w:lvlText w:val="(%1)"/>
      <w:numFmt w:val="decimal"/>
      <w:start w:val="1"/>
    </w:lvl>
  </w:abstractNum>
  <w:abstractNum w:abstractNumId="6">
    <w:nsid w:val="29934699"/>
    <w:multiLevelType w:val="hybridMultilevel"/>
    <w:lvl w:ilvl="0">
      <w:lvlJc w:val="left"/>
      <w:lvlText w:val="(%1)"/>
      <w:numFmt w:val="decimal"/>
      <w:start w:val="6"/>
    </w:lvl>
  </w:abstractNum>
  <w:abstractNum w:abstractNumId="7">
    <w:nsid w:val="77485850"/>
    <w:multiLevelType w:val="hybridMultilevel"/>
    <w:lvl w:ilvl="0">
      <w:lvlJc w:val="left"/>
      <w:lvlText w:val="•"/>
      <w:numFmt w:val="bullet"/>
      <w:start w:val="1"/>
    </w:lvl>
  </w:abstractNum>
  <w:abstractNum w:abstractNumId="8">
    <w:nsid w:val="744939A3"/>
    <w:multiLevelType w:val="hybridMultilevel"/>
    <w:lvl w:ilvl="0">
      <w:lvlJc w:val="left"/>
      <w:lvlText w:val="•"/>
      <w:numFmt w:val="bullet"/>
      <w:start w:val="1"/>
    </w:lvl>
  </w:abstractNum>
  <w:abstractNum w:abstractNumId="9">
    <w:nsid w:val="4FA0D2E3"/>
    <w:multiLevelType w:val="hybridMultilevel"/>
    <w:lvl w:ilvl="0">
      <w:lvlJc w:val="left"/>
      <w:lvlText w:val="•"/>
      <w:numFmt w:val="bullet"/>
      <w:start w:val="1"/>
    </w:lvl>
  </w:abstractNum>
  <w:abstractNum w:abstractNumId="10">
    <w:nsid w:val="6B1D2C14"/>
    <w:multiLevelType w:val="hybridMultilevel"/>
    <w:lvl w:ilvl="0">
      <w:lvlJc w:val="left"/>
      <w:lvlText w:val="•"/>
      <w:numFmt w:val="bullet"/>
      <w:start w:val="1"/>
    </w:lvl>
  </w:abstractNum>
  <w:abstractNum w:abstractNumId="11">
    <w:nsid w:val="68B867D3"/>
    <w:multiLevelType w:val="hybridMultilevel"/>
    <w:lvl w:ilvl="0">
      <w:lvlJc w:val="left"/>
      <w:lvlText w:val="•"/>
      <w:numFmt w:val="bullet"/>
      <w:start w:val="1"/>
    </w:lvl>
  </w:abstractNum>
  <w:abstractNum w:abstractNumId="12">
    <w:nsid w:val="3F7F5DD9"/>
    <w:multiLevelType w:val="hybridMultilevel"/>
    <w:lvl w:ilvl="0">
      <w:lvlJc w:val="left"/>
      <w:lvlText w:val="•"/>
      <w:numFmt w:val="bullet"/>
      <w:start w:val="1"/>
    </w:lvl>
  </w:abstractNum>
  <w:abstractNum w:abstractNumId="13">
    <w:nsid w:val="2AE05A34"/>
    <w:multiLevelType w:val="hybridMultilevel"/>
    <w:lvl w:ilvl="0">
      <w:lvlJc w:val="left"/>
      <w:lvlText w:val="•"/>
      <w:numFmt w:val="bullet"/>
      <w:start w:val="1"/>
    </w:lvl>
  </w:abstractNum>
  <w:abstractNum w:abstractNumId="14">
    <w:nsid w:val="32794FF7"/>
    <w:multiLevelType w:val="hybridMultilevel"/>
    <w:lvl w:ilvl="0">
      <w:lvlJc w:val="left"/>
      <w:lvlText w:val="•"/>
      <w:numFmt w:val="bullet"/>
      <w:start w:val="1"/>
    </w:lvl>
  </w:abstractNum>
  <w:abstractNum w:abstractNumId="15">
    <w:nsid w:val="5454945E"/>
    <w:multiLevelType w:val="hybridMultilevel"/>
    <w:lvl w:ilvl="0">
      <w:lvlJc w:val="left"/>
      <w:lvlText w:val="•"/>
      <w:numFmt w:val="bullet"/>
      <w:start w:val="1"/>
    </w:lvl>
  </w:abstractNum>
  <w:abstractNum w:abstractNumId="16">
    <w:nsid w:val="4DEFDFA0"/>
    <w:multiLevelType w:val="hybridMultilevel"/>
    <w:lvl w:ilvl="0">
      <w:lvlJc w:val="left"/>
      <w:lvlText w:val="•"/>
      <w:numFmt w:val="bullet"/>
      <w:start w:val="1"/>
    </w:lvl>
  </w:abstractNum>
  <w:abstractNum w:abstractNumId="17">
    <w:nsid w:val="2123D5F2"/>
    <w:multiLevelType w:val="hybridMultilevel"/>
    <w:lvl w:ilvl="0">
      <w:lvlJc w:val="left"/>
      <w:lvlText w:val="•"/>
      <w:numFmt w:val="bullet"/>
      <w:start w:val="1"/>
    </w:lvl>
  </w:abstractNum>
  <w:abstractNum w:abstractNumId="18">
    <w:nsid w:val="135B8110"/>
    <w:multiLevelType w:val="hybridMultilevel"/>
    <w:lvl w:ilvl="0">
      <w:lvlJc w:val="left"/>
      <w:lvlText w:val="•"/>
      <w:numFmt w:val="bullet"/>
      <w:start w:val="1"/>
    </w:lvl>
  </w:abstractNum>
  <w:abstractNum w:abstractNumId="19">
    <w:nsid w:val="94927A8"/>
    <w:multiLevelType w:val="hybridMultilevel"/>
    <w:lvl w:ilvl="0">
      <w:lvlJc w:val="left"/>
      <w:lvlText w:val="•"/>
      <w:numFmt w:val="bullet"/>
      <w:start w:val="1"/>
    </w:lvl>
  </w:abstractNum>
  <w:abstractNum w:abstractNumId="20">
    <w:nsid w:val="DCDF8F6"/>
    <w:multiLevelType w:val="hybridMultilevel"/>
    <w:lvl w:ilvl="0">
      <w:lvlJc w:val="left"/>
      <w:lvlText w:val="•"/>
      <w:numFmt w:val="bullet"/>
      <w:start w:val="1"/>
    </w:lvl>
  </w:abstractNum>
  <w:abstractNum w:abstractNumId="21">
    <w:nsid w:val="52D7B105"/>
    <w:multiLevelType w:val="hybridMultilevel"/>
    <w:lvl w:ilvl="0">
      <w:lvlJc w:val="left"/>
      <w:lvlText w:val="•"/>
      <w:numFmt w:val="bullet"/>
      <w:start w:val="1"/>
    </w:lvl>
  </w:abstractNum>
  <w:abstractNum w:abstractNumId="22">
    <w:nsid w:val="2E8A6394"/>
    <w:multiLevelType w:val="hybridMultilevel"/>
    <w:lvl w:ilvl="0">
      <w:lvlJc w:val="left"/>
      <w:lvlText w:val="•"/>
      <w:numFmt w:val="bullet"/>
      <w:start w:val="1"/>
    </w:lvl>
  </w:abstractNum>
  <w:abstractNum w:abstractNumId="23">
    <w:nsid w:val="24E60401"/>
    <w:multiLevelType w:val="hybridMultilevel"/>
    <w:lvl w:ilvl="0">
      <w:lvlJc w:val="left"/>
      <w:lvlText w:val="•"/>
      <w:numFmt w:val="bullet"/>
      <w:start w:val="1"/>
    </w:lvl>
  </w:abstractNum>
  <w:abstractNum w:abstractNumId="24">
    <w:nsid w:val="2A6AD9BE"/>
    <w:multiLevelType w:val="hybridMultilevel"/>
    <w:lvl w:ilvl="0">
      <w:lvlJc w:val="left"/>
      <w:lvlText w:val="•"/>
      <w:numFmt w:val="bullet"/>
      <w:start w:val="1"/>
    </w:lvl>
  </w:abstractNum>
  <w:abstractNum w:abstractNumId="25">
    <w:nsid w:val="BAAC1B4"/>
    <w:multiLevelType w:val="hybridMultilevel"/>
    <w:lvl w:ilvl="0">
      <w:lvlJc w:val="left"/>
      <w:lvlText w:val="•"/>
      <w:numFmt w:val="bullet"/>
      <w:start w:val="1"/>
    </w:lvl>
  </w:abstractNum>
  <w:abstractNum w:abstractNumId="26">
    <w:nsid w:val="36B2ACBC"/>
    <w:multiLevelType w:val="hybridMultilevel"/>
    <w:lvl w:ilvl="0">
      <w:lvlJc w:val="left"/>
      <w:lvlText w:val="•"/>
      <w:numFmt w:val="bullet"/>
      <w:start w:val="1"/>
    </w:lvl>
  </w:abstractNum>
  <w:abstractNum w:abstractNumId="27">
    <w:nsid w:val="779D8544"/>
    <w:multiLevelType w:val="hybridMultilevel"/>
    <w:lvl w:ilvl="0">
      <w:lvlJc w:val="left"/>
      <w:lvlText w:val="•"/>
      <w:numFmt w:val="bullet"/>
      <w:start w:val="1"/>
    </w:lvl>
  </w:abstractNum>
  <w:abstractNum w:abstractNumId="28">
    <w:nsid w:val="4AB26E78"/>
    <w:multiLevelType w:val="hybridMultilevel"/>
    <w:lvl w:ilvl="0">
      <w:lvlJc w:val="left"/>
      <w:lvlText w:val="•"/>
      <w:numFmt w:val="bullet"/>
      <w:start w:val="1"/>
    </w:lvl>
  </w:abstractNum>
  <w:abstractNum w:abstractNumId="29">
    <w:nsid w:val="21FAA2FA"/>
    <w:multiLevelType w:val="hybridMultilevel"/>
    <w:lvl w:ilvl="0">
      <w:lvlJc w:val="left"/>
      <w:lvlText w:val="•"/>
      <w:numFmt w:val="bullet"/>
      <w:start w:val="1"/>
    </w:lvl>
  </w:abstractNum>
  <w:abstractNum w:abstractNumId="30">
    <w:nsid w:val="5451CF49"/>
    <w:multiLevelType w:val="hybridMultilevel"/>
    <w:lvl w:ilvl="0">
      <w:lvlJc w:val="left"/>
      <w:lvlText w:val="•"/>
      <w:numFmt w:val="bullet"/>
      <w:start w:val="1"/>
    </w:lvl>
  </w:abstractNum>
  <w:abstractNum w:abstractNumId="31">
    <w:nsid w:val="6181EF69"/>
    <w:multiLevelType w:val="hybridMultilevel"/>
    <w:lvl w:ilvl="0">
      <w:lvlJc w:val="left"/>
      <w:lvlText w:val="•"/>
      <w:numFmt w:val="bullet"/>
      <w:start w:val="1"/>
    </w:lvl>
  </w:abstractNum>
  <w:abstractNum w:abstractNumId="32">
    <w:nsid w:val="3E6400E6"/>
    <w:multiLevelType w:val="hybridMultilevel"/>
    <w:lvl w:ilvl="0">
      <w:lvlJc w:val="left"/>
      <w:lvlText w:val="•"/>
      <w:numFmt w:val="bullet"/>
      <w:start w:val="1"/>
    </w:lvl>
  </w:abstractNum>
  <w:abstractNum w:abstractNumId="33">
    <w:nsid w:val="14217E23"/>
    <w:multiLevelType w:val="hybridMultilevel"/>
    <w:lvl w:ilvl="0">
      <w:lvlJc w:val="left"/>
      <w:lvlText w:val="•"/>
      <w:numFmt w:val="bullet"/>
      <w:start w:val="1"/>
    </w:lvl>
  </w:abstractNum>
  <w:abstractNum w:abstractNumId="34">
    <w:nsid w:val="710757D0"/>
    <w:multiLevelType w:val="hybridMultilevel"/>
    <w:lvl w:ilvl="0">
      <w:lvlJc w:val="left"/>
      <w:lvlText w:val="(%1)"/>
      <w:numFmt w:val="decimal"/>
      <w:start w:val="1"/>
    </w:lvl>
  </w:abstractNum>
  <w:abstractNum w:abstractNumId="35">
    <w:nsid w:val="5015CD1A"/>
    <w:multiLevelType w:val="hybridMultilevel"/>
    <w:lvl w:ilvl="0">
      <w:lvlJc w:val="left"/>
      <w:lvlText w:val="(%1)"/>
      <w:numFmt w:val="decimal"/>
      <w:start w:val="1"/>
    </w:lvl>
  </w:abstractNum>
  <w:abstractNum w:abstractNumId="36">
    <w:nsid w:val="424479DA"/>
    <w:multiLevelType w:val="hybridMultilevel"/>
    <w:lvl w:ilvl="0">
      <w:lvlJc w:val="left"/>
      <w:lvlText w:val="(%1)"/>
      <w:numFmt w:val="decimal"/>
      <w:start w:val="3"/>
    </w:lvl>
  </w:abstractNum>
  <w:abstractNum w:abstractNumId="37">
    <w:nsid w:val="1A9A9E69"/>
    <w:multiLevelType w:val="hybridMultilevel"/>
    <w:lvl w:ilvl="0">
      <w:lvlJc w:val="left"/>
      <w:lvlText w:val="(%1)"/>
      <w:numFmt w:val="decimal"/>
      <w:start w:val="4"/>
    </w:lvl>
  </w:abstractNum>
  <w:abstractNum w:abstractNumId="38">
    <w:nsid w:val="475E256A"/>
    <w:multiLevelType w:val="hybridMultilevel"/>
    <w:lvl w:ilvl="0">
      <w:lvlJc w:val="left"/>
      <w:lvlText w:val="(%1)"/>
      <w:numFmt w:val="decimal"/>
      <w:start w:val="17"/>
    </w:lvl>
  </w:abstractNum>
  <w:abstractNum w:abstractNumId="39">
    <w:nsid w:val="368DB37E"/>
    <w:multiLevelType w:val="hybridMultilevel"/>
    <w:lvl w:ilvl="0">
      <w:lvlJc w:val="left"/>
      <w:lvlText w:val="•"/>
      <w:numFmt w:val="bullet"/>
      <w:start w:val="1"/>
    </w:lvl>
  </w:abstractNum>
  <w:abstractNum w:abstractNumId="40">
    <w:nsid w:val="6A3B714C"/>
    <w:multiLevelType w:val="hybridMultilevel"/>
    <w:lvl w:ilvl="0">
      <w:lvlJc w:val="left"/>
      <w:lvlText w:val="•"/>
      <w:numFmt w:val="bullet"/>
      <w:start w:val="1"/>
    </w:lvl>
  </w:abstractNum>
  <w:abstractNum w:abstractNumId="41">
    <w:nsid w:val="327B517E"/>
    <w:multiLevelType w:val="hybridMultilevel"/>
    <w:lvl w:ilvl="0">
      <w:lvlJc w:val="left"/>
      <w:lvlText w:val="(%1)"/>
      <w:numFmt w:val="decimal"/>
      <w:start w:val="1"/>
    </w:lvl>
  </w:abstractNum>
  <w:abstractNum w:abstractNumId="42">
    <w:nsid w:val="1F461B51"/>
    <w:multiLevelType w:val="hybridMultilevel"/>
    <w:lvl w:ilvl="0">
      <w:lvlJc w:val="left"/>
      <w:lvlText w:val="(%1)"/>
      <w:numFmt w:val="decimal"/>
      <w:start w:val="2"/>
    </w:lvl>
  </w:abstractNum>
  <w:abstractNum w:abstractNumId="43">
    <w:nsid w:val="29BACF25"/>
    <w:multiLevelType w:val="hybridMultilevel"/>
    <w:lvl w:ilvl="0">
      <w:lvlJc w:val="left"/>
      <w:lvlText w:val="(%1)"/>
      <w:numFmt w:val="decimal"/>
      <w:start w:val="1"/>
    </w:lvl>
  </w:abstractNum>
  <w:abstractNum w:abstractNumId="44">
    <w:nsid w:val="5D5BABB3"/>
    <w:multiLevelType w:val="hybridMultilevel"/>
    <w:lvl w:ilvl="0">
      <w:lvlJc w:val="left"/>
      <w:lvlText w:val="(%1)"/>
      <w:numFmt w:val="decimal"/>
      <w:start w:val="1"/>
    </w:lvl>
  </w:abstractNum>
  <w:abstractNum w:abstractNumId="45">
    <w:nsid w:val="51BF6B48"/>
    <w:multiLevelType w:val="hybridMultilevel"/>
    <w:lvl w:ilvl="0">
      <w:lvlJc w:val="left"/>
      <w:lvlText w:val="•"/>
      <w:numFmt w:val="bullet"/>
      <w:start w:val="1"/>
    </w:lvl>
  </w:abstractNum>
  <w:abstractNum w:abstractNumId="46">
    <w:nsid w:val="7E0F6384"/>
    <w:multiLevelType w:val="hybridMultilevel"/>
    <w:lvl w:ilvl="0">
      <w:lvlJc w:val="left"/>
      <w:lvlText w:val="•"/>
      <w:numFmt w:val="bullet"/>
      <w:start w:val="1"/>
    </w:lvl>
  </w:abstractNum>
  <w:abstractNum w:abstractNumId="47">
    <w:nsid w:val="2B4B8B53"/>
    <w:multiLevelType w:val="hybridMultilevel"/>
    <w:lvl w:ilvl="0">
      <w:lvlJc w:val="left"/>
      <w:lvlText w:val="(%1)"/>
      <w:numFmt w:val="decimal"/>
      <w:start w:val="1"/>
    </w:lvl>
  </w:abstractNum>
  <w:abstractNum w:abstractNumId="48">
    <w:nsid w:val="72E3413A"/>
    <w:multiLevelType w:val="hybridMultilevel"/>
    <w:lvl w:ilvl="0">
      <w:lvlJc w:val="left"/>
      <w:lvlText w:val="(%1)"/>
      <w:numFmt w:val="decimal"/>
      <w:start w:val="1"/>
    </w:lvl>
  </w:abstractNum>
  <w:abstractNum w:abstractNumId="49">
    <w:nsid w:val="116AE494"/>
    <w:multiLevelType w:val="hybridMultilevel"/>
    <w:lvl w:ilvl="0">
      <w:lvlJc w:val="left"/>
      <w:lvlText w:val="•"/>
      <w:numFmt w:val="bullet"/>
      <w:start w:val="1"/>
    </w:lvl>
  </w:abstractNum>
  <w:abstractNum w:abstractNumId="50">
    <w:nsid w:val="3494B2FB"/>
    <w:multiLevelType w:val="hybridMultilevel"/>
    <w:lvl w:ilvl="0">
      <w:lvlJc w:val="left"/>
      <w:lvlText w:val="(%1)"/>
      <w:numFmt w:val="decimal"/>
      <w:start w:val="1"/>
    </w:lvl>
  </w:abstractNum>
  <w:abstractNum w:abstractNumId="51">
    <w:nsid w:val="B13A31"/>
    <w:multiLevelType w:val="hybridMultilevel"/>
    <w:lvl w:ilvl="0">
      <w:lvlJc w:val="left"/>
      <w:lvlText w:val="(%1)"/>
      <w:numFmt w:val="decimal"/>
      <w:start w:val="6"/>
    </w:lvl>
  </w:abstractNum>
  <w:abstractNum w:abstractNumId="52">
    <w:nsid w:val="64429599"/>
    <w:multiLevelType w:val="hybridMultilevel"/>
    <w:lvl w:ilvl="0">
      <w:lvlJc w:val="left"/>
      <w:lvlText w:val="•"/>
      <w:numFmt w:val="bullet"/>
      <w:start w:val="1"/>
    </w:lvl>
  </w:abstractNum>
  <w:abstractNum w:abstractNumId="53">
    <w:nsid w:val="631F1690"/>
    <w:multiLevelType w:val="hybridMultilevel"/>
    <w:lvl w:ilvl="0">
      <w:lvlJc w:val="left"/>
      <w:lvlText w:val="•"/>
      <w:numFmt w:val="bullet"/>
      <w:start w:val="1"/>
    </w:lvl>
  </w:abstractNum>
  <w:abstractNum w:abstractNumId="54">
    <w:nsid w:val="25973E32"/>
    <w:multiLevelType w:val="hybridMultilevel"/>
    <w:lvl w:ilvl="0">
      <w:lvlJc w:val="left"/>
      <w:lvlText w:val="•"/>
      <w:numFmt w:val="bullet"/>
      <w:start w:val="1"/>
    </w:lvl>
  </w:abstractNum>
  <w:abstractNum w:abstractNumId="55">
    <w:nsid w:val="EAD6F57"/>
    <w:multiLevelType w:val="hybridMultilevel"/>
    <w:lvl w:ilvl="0">
      <w:lvlJc w:val="left"/>
      <w:lvlText w:val="(%1)"/>
      <w:numFmt w:val="decimal"/>
      <w:start w:val="1"/>
    </w:lvl>
  </w:abstractNum>
  <w:abstractNum w:abstractNumId="56">
    <w:nsid w:val="6EC9D844"/>
    <w:multiLevelType w:val="hybridMultilevel"/>
    <w:lvl w:ilvl="0">
      <w:lvlJc w:val="left"/>
      <w:lvlText w:val="•"/>
      <w:numFmt w:val="bullet"/>
      <w:start w:val="1"/>
    </w:lvl>
  </w:abstractNum>
  <w:abstractNum w:abstractNumId="57">
    <w:nsid w:val="5C49EAEE"/>
    <w:multiLevelType w:val="hybridMultilevel"/>
    <w:lvl w:ilvl="0">
      <w:lvlJc w:val="left"/>
      <w:lvlText w:val="•"/>
      <w:numFmt w:val="bullet"/>
      <w:start w:val="1"/>
    </w:lvl>
  </w:abstractNum>
  <w:abstractNum w:abstractNumId="58">
    <w:nsid w:val="64AF49B"/>
    <w:multiLevelType w:val="hybridMultilevel"/>
    <w:lvl w:ilvl="0">
      <w:lvlJc w:val="left"/>
      <w:lvlText w:val="•"/>
      <w:numFmt w:val="bullet"/>
      <w:start w:val="1"/>
    </w:lvl>
  </w:abstractNum>
  <w:abstractNum w:abstractNumId="59">
    <w:nsid w:val="397C46BC"/>
    <w:multiLevelType w:val="hybridMultilevel"/>
    <w:lvl w:ilvl="0">
      <w:lvlJc w:val="left"/>
      <w:lvlText w:val="•"/>
      <w:numFmt w:val="bullet"/>
      <w:start w:val="1"/>
    </w:lvl>
  </w:abstractNum>
  <w:abstractNum w:abstractNumId="60">
    <w:nsid w:val="7E448DE9"/>
    <w:multiLevelType w:val="hybridMultilevel"/>
    <w:lvl w:ilvl="0">
      <w:lvlJc w:val="left"/>
      <w:lvlText w:val="•"/>
      <w:numFmt w:val="bullet"/>
      <w:start w:val="1"/>
    </w:lvl>
  </w:abstractNum>
  <w:abstractNum w:abstractNumId="61">
    <w:nsid w:val="5A9CC3E5"/>
    <w:multiLevelType w:val="hybridMultilevel"/>
    <w:lvl w:ilvl="0">
      <w:lvlJc w:val="left"/>
      <w:lvlText w:val="•"/>
      <w:numFmt w:val="bullet"/>
      <w:start w:val="1"/>
    </w:lvl>
  </w:abstractNum>
  <w:abstractNum w:abstractNumId="62">
    <w:nsid w:val="1AFE3625"/>
    <w:multiLevelType w:val="hybridMultilevel"/>
    <w:lvl w:ilvl="0">
      <w:lvlJc w:val="left"/>
      <w:lvlText w:val="•"/>
      <w:numFmt w:val="bullet"/>
      <w:start w:val="1"/>
    </w:lvl>
  </w:abstractNum>
  <w:abstractNum w:abstractNumId="63">
    <w:nsid w:val="3CA88ECF"/>
    <w:multiLevelType w:val="hybridMultilevel"/>
    <w:lvl w:ilvl="0">
      <w:lvlJc w:val="left"/>
      <w:lvlText w:val="•"/>
      <w:numFmt w:val="bullet"/>
      <w:start w:val="1"/>
    </w:lvl>
  </w:abstractNum>
  <w:abstractNum w:abstractNumId="64">
    <w:nsid w:val="6EBE4208"/>
    <w:multiLevelType w:val="hybridMultilevel"/>
    <w:lvl w:ilvl="0">
      <w:lvlJc w:val="left"/>
      <w:lvlText w:val="•"/>
      <w:numFmt w:val="bullet"/>
      <w:start w:val="1"/>
    </w:lvl>
  </w:abstractNum>
  <w:abstractNum w:abstractNumId="65">
    <w:nsid w:val="C058DF5"/>
    <w:multiLevelType w:val="hybridMultilevel"/>
    <w:lvl w:ilvl="0">
      <w:lvlJc w:val="left"/>
      <w:lvlText w:val="•"/>
      <w:numFmt w:val="bullet"/>
      <w:start w:val="1"/>
    </w:lvl>
  </w:abstractNum>
  <w:abstractNum w:abstractNumId="66">
    <w:nsid w:val="CBE5BE9"/>
    <w:multiLevelType w:val="hybridMultilevel"/>
    <w:lvl w:ilvl="0">
      <w:lvlJc w:val="left"/>
      <w:lvlText w:val="(%1)"/>
      <w:numFmt w:val="decimal"/>
      <w:start w:val="1"/>
    </w:lvl>
  </w:abstractNum>
  <w:abstractNum w:abstractNumId="67">
    <w:nsid w:val="3102BBE2"/>
    <w:multiLevelType w:val="hybridMultilevel"/>
    <w:lvl w:ilvl="0">
      <w:lvlJc w:val="left"/>
      <w:lvlText w:val="•"/>
      <w:numFmt w:val="bullet"/>
      <w:start w:val="1"/>
    </w:lvl>
  </w:abstractNum>
  <w:abstractNum w:abstractNumId="68">
    <w:nsid w:val="26A02C5E"/>
    <w:multiLevelType w:val="hybridMultilevel"/>
    <w:lvl w:ilvl="0">
      <w:lvlJc w:val="left"/>
      <w:lvlText w:val="•"/>
      <w:numFmt w:val="bullet"/>
      <w:start w:val="1"/>
    </w:lvl>
  </w:abstractNum>
  <w:abstractNum w:abstractNumId="69">
    <w:nsid w:val="541C8153"/>
    <w:multiLevelType w:val="hybridMultilevel"/>
    <w:lvl w:ilvl="0">
      <w:lvlJc w:val="left"/>
      <w:lvlText w:val="•"/>
      <w:numFmt w:val="bullet"/>
      <w:start w:val="1"/>
    </w:lvl>
  </w:abstractNum>
  <w:abstractNum w:abstractNumId="70">
    <w:nsid w:val="67906F60"/>
    <w:multiLevelType w:val="hybridMultilevel"/>
    <w:lvl w:ilvl="0">
      <w:lvlJc w:val="left"/>
      <w:lvlText w:val="*"/>
      <w:numFmt w:val="bullet"/>
      <w:start w:val="1"/>
    </w:lvl>
  </w:abstractNum>
  <w:abstractNum w:abstractNumId="71">
    <w:nsid w:val="10DB9DAA"/>
    <w:multiLevelType w:val="hybridMultilevel"/>
    <w:lvl w:ilvl="0">
      <w:lvlJc w:val="left"/>
      <w:lvlText w:val="•"/>
      <w:numFmt w:val="bullet"/>
      <w:start w:val="1"/>
    </w:lvl>
  </w:abstractNum>
  <w:abstractNum w:abstractNumId="72">
    <w:nsid w:val="697D2D2"/>
    <w:multiLevelType w:val="hybridMultilevel"/>
    <w:lvl w:ilvl="0">
      <w:lvlJc w:val="left"/>
      <w:lvlText w:val="•"/>
      <w:numFmt w:val="bullet"/>
      <w:start w:val="1"/>
    </w:lvl>
  </w:abstractNum>
  <w:abstractNum w:abstractNumId="73">
    <w:nsid w:val="6D68AB2"/>
    <w:multiLevelType w:val="hybridMultilevel"/>
    <w:lvl w:ilvl="0">
      <w:lvlJc w:val="left"/>
      <w:lvlText w:val="•"/>
      <w:numFmt w:val="bullet"/>
      <w:start w:val="1"/>
    </w:lvl>
  </w:abstractNum>
  <w:abstractNum w:abstractNumId="74">
    <w:nsid w:val="3A966CD0"/>
    <w:multiLevelType w:val="hybridMultilevel"/>
    <w:lvl w:ilvl="0">
      <w:lvlJc w:val="left"/>
      <w:lvlText w:val="•"/>
      <w:numFmt w:val="bullet"/>
      <w:start w:val="1"/>
    </w:lvl>
  </w:abstractNum>
  <w:abstractNum w:abstractNumId="75">
    <w:nsid w:val="63F37E85"/>
    <w:multiLevelType w:val="hybridMultilevel"/>
    <w:lvl w:ilvl="0">
      <w:lvlJc w:val="left"/>
      <w:lvlText w:val="•"/>
      <w:numFmt w:val="bullet"/>
      <w:start w:val="1"/>
    </w:lvl>
  </w:abstractNum>
  <w:abstractNum w:abstractNumId="76">
    <w:nsid w:val="5895F5FA"/>
    <w:multiLevelType w:val="hybridMultilevel"/>
    <w:lvl w:ilvl="0">
      <w:lvlJc w:val="left"/>
      <w:lvlText w:val="•"/>
      <w:numFmt w:val="bullet"/>
      <w:start w:val="1"/>
    </w:lvl>
  </w:abstractNum>
  <w:abstractNum w:abstractNumId="77">
    <w:nsid w:val="38A5D054"/>
    <w:multiLevelType w:val="hybridMultilevel"/>
    <w:lvl w:ilvl="0">
      <w:lvlJc w:val="left"/>
      <w:lvlText w:val="•"/>
      <w:numFmt w:val="bullet"/>
      <w:start w:val="1"/>
    </w:lvl>
  </w:abstractNum>
  <w:abstractNum w:abstractNumId="78">
    <w:nsid w:val="F3F09D8"/>
    <w:multiLevelType w:val="hybridMultilevel"/>
    <w:lvl w:ilvl="0">
      <w:lvlJc w:val="left"/>
      <w:lvlText w:val="•"/>
      <w:numFmt w:val="bullet"/>
      <w:start w:val="1"/>
    </w:lvl>
  </w:abstractNum>
  <w:abstractNum w:abstractNumId="79">
    <w:nsid w:val="4B793735"/>
    <w:multiLevelType w:val="hybridMultilevel"/>
    <w:lvl w:ilvl="0">
      <w:lvlJc w:val="left"/>
      <w:lvlText w:val="•"/>
      <w:numFmt w:val="bullet"/>
      <w:start w:val="1"/>
    </w:lvl>
  </w:abstractNum>
  <w:abstractNum w:abstractNumId="80">
    <w:nsid w:val="4A10B4E8"/>
    <w:multiLevelType w:val="hybridMultilevel"/>
    <w:lvl w:ilvl="0">
      <w:lvlJc w:val="left"/>
      <w:lvlText w:val="•"/>
      <w:numFmt w:val="bullet"/>
      <w:start w:val="1"/>
    </w:lvl>
  </w:abstractNum>
  <w:abstractNum w:abstractNumId="81">
    <w:nsid w:val="43D3BCD4"/>
    <w:multiLevelType w:val="hybridMultilevel"/>
    <w:lvl w:ilvl="0">
      <w:lvlJc w:val="left"/>
      <w:lvlText w:val="•"/>
      <w:numFmt w:val="bullet"/>
      <w:start w:val="1"/>
    </w:lvl>
  </w:abstractNum>
  <w:abstractNum w:abstractNumId="82">
    <w:nsid w:val="4C2A7166"/>
    <w:multiLevelType w:val="hybridMultilevel"/>
    <w:lvl w:ilvl="0">
      <w:lvlJc w:val="left"/>
      <w:lvlText w:val="•"/>
      <w:numFmt w:val="bullet"/>
      <w:start w:val="1"/>
    </w:lvl>
  </w:abstractNum>
  <w:abstractNum w:abstractNumId="83">
    <w:nsid w:val="2E534A82"/>
    <w:multiLevelType w:val="hybridMultilevel"/>
    <w:lvl w:ilvl="0">
      <w:lvlJc w:val="left"/>
      <w:lvlText w:val="•"/>
      <w:numFmt w:val="bullet"/>
      <w:start w:val="1"/>
    </w:lvl>
  </w:abstractNum>
  <w:abstractNum w:abstractNumId="84">
    <w:nsid w:val="26F2D364"/>
    <w:multiLevelType w:val="hybridMultilevel"/>
    <w:lvl w:ilvl="0">
      <w:lvlJc w:val="left"/>
      <w:lvlText w:val="•"/>
      <w:numFmt w:val="bullet"/>
      <w:start w:val="1"/>
    </w:lvl>
  </w:abstractNum>
  <w:abstractNum w:abstractNumId="85">
    <w:nsid w:val="71C1AF98"/>
    <w:multiLevelType w:val="hybridMultilevel"/>
    <w:lvl w:ilvl="0">
      <w:lvlJc w:val="left"/>
      <w:lvlText w:val="•"/>
      <w:numFmt w:val="bullet"/>
      <w:start w:val="1"/>
    </w:lvl>
  </w:abstractNum>
  <w:abstractNum w:abstractNumId="86">
    <w:nsid w:val="3D00B9D9"/>
    <w:multiLevelType w:val="hybridMultilevel"/>
    <w:lvl w:ilvl="0">
      <w:lvlJc w:val="left"/>
      <w:lvlText w:val="•"/>
      <w:numFmt w:val="bullet"/>
      <w:start w:val="1"/>
    </w:lvl>
  </w:abstractNum>
  <w:abstractNum w:abstractNumId="87">
    <w:nsid w:val="15BCABA8"/>
    <w:multiLevelType w:val="hybridMultilevel"/>
    <w:lvl w:ilvl="0">
      <w:lvlJc w:val="left"/>
      <w:lvlText w:val="•"/>
      <w:numFmt w:val="bullet"/>
      <w:start w:val="1"/>
    </w:lvl>
  </w:abstractNum>
  <w:abstractNum w:abstractNumId="88">
    <w:nsid w:val="4E0B9A87"/>
    <w:multiLevelType w:val="hybridMultilevel"/>
    <w:lvl w:ilvl="0">
      <w:lvlJc w:val="left"/>
      <w:lvlText w:val="•"/>
      <w:numFmt w:val="bullet"/>
      <w:start w:val="1"/>
    </w:lvl>
  </w:abstractNum>
  <w:abstractNum w:abstractNumId="89">
    <w:nsid w:val="434BAE75"/>
    <w:multiLevelType w:val="hybridMultilevel"/>
    <w:lvl w:ilvl="0">
      <w:lvlJc w:val="left"/>
      <w:lvlText w:val="•"/>
      <w:numFmt w:val="bullet"/>
      <w:start w:val="1"/>
    </w:lvl>
  </w:abstractNum>
  <w:abstractNum w:abstractNumId="90">
    <w:nsid w:val="4F38F265"/>
    <w:multiLevelType w:val="hybridMultilevel"/>
    <w:lvl w:ilvl="0">
      <w:lvlJc w:val="left"/>
      <w:lvlText w:val="•"/>
      <w:numFmt w:val="bullet"/>
      <w:start w:val="1"/>
    </w:lvl>
  </w:abstractNum>
  <w:abstractNum w:abstractNumId="91">
    <w:nsid w:val="4C502870"/>
    <w:multiLevelType w:val="hybridMultilevel"/>
    <w:lvl w:ilvl="0">
      <w:lvlJc w:val="left"/>
      <w:lvlText w:val="•"/>
      <w:numFmt w:val="bullet"/>
      <w:start w:val="1"/>
    </w:lvl>
  </w:abstractNum>
  <w:abstractNum w:abstractNumId="92">
    <w:nsid w:val="1DE8725A"/>
    <w:multiLevelType w:val="hybridMultilevel"/>
    <w:lvl w:ilvl="0">
      <w:lvlJc w:val="left"/>
      <w:lvlText w:val="•"/>
      <w:numFmt w:val="bullet"/>
      <w:start w:val="1"/>
    </w:lvl>
  </w:abstractNum>
  <w:abstractNum w:abstractNumId="93">
    <w:nsid w:val="6A37288A"/>
    <w:multiLevelType w:val="hybridMultilevel"/>
    <w:lvl w:ilvl="0">
      <w:lvlJc w:val="left"/>
      <w:lvlText w:val="•"/>
      <w:numFmt w:val="bullet"/>
      <w:start w:val="1"/>
    </w:lvl>
  </w:abstractNum>
  <w:abstractNum w:abstractNumId="94">
    <w:nsid w:val="8F8B73F"/>
    <w:multiLevelType w:val="hybridMultilevel"/>
    <w:lvl w:ilvl="0">
      <w:lvlJc w:val="left"/>
      <w:lvlText w:val="•"/>
      <w:numFmt w:val="bullet"/>
      <w:start w:val="1"/>
    </w:lvl>
  </w:abstractNum>
  <w:abstractNum w:abstractNumId="95">
    <w:nsid w:val="CA6B462"/>
    <w:multiLevelType w:val="hybridMultilevel"/>
    <w:lvl w:ilvl="0">
      <w:lvlJc w:val="left"/>
      <w:lvlText w:val="•"/>
      <w:numFmt w:val="bullet"/>
      <w:start w:val="1"/>
    </w:lvl>
  </w:abstractNum>
  <w:abstractNum w:abstractNumId="96">
    <w:nsid w:val="763CB680"/>
    <w:multiLevelType w:val="hybridMultilevel"/>
    <w:lvl w:ilvl="0">
      <w:lvlJc w:val="left"/>
      <w:lvlText w:val="•"/>
      <w:numFmt w:val="bullet"/>
      <w:start w:val="1"/>
    </w:lvl>
  </w:abstractNum>
  <w:abstractNum w:abstractNumId="97">
    <w:nsid w:val="15B71329"/>
    <w:multiLevelType w:val="hybridMultilevel"/>
    <w:lvl w:ilvl="0">
      <w:lvlJc w:val="left"/>
      <w:lvlText w:val="(%1)"/>
      <w:numFmt w:val="decimal"/>
      <w:start w:val="1"/>
    </w:lvl>
  </w:abstractNum>
  <w:abstractNum w:abstractNumId="98">
    <w:nsid w:val="3DA97044"/>
    <w:multiLevelType w:val="hybridMultilevel"/>
    <w:lvl w:ilvl="0">
      <w:lvlJc w:val="left"/>
      <w:lvlText w:val="•"/>
      <w:numFmt w:val="bullet"/>
      <w:start w:val="1"/>
    </w:lvl>
  </w:abstractNum>
  <w:abstractNum w:abstractNumId="99">
    <w:nsid w:val="1CDCE2DE"/>
    <w:multiLevelType w:val="hybridMultilevel"/>
    <w:lvl w:ilvl="0">
      <w:lvlJc w:val="left"/>
      <w:lvlText w:val="•"/>
      <w:numFmt w:val="bullet"/>
      <w:start w:val="1"/>
    </w:lvl>
  </w:abstractNum>
  <w:abstractNum w:abstractNumId="100">
    <w:nsid w:val="69D3947C"/>
    <w:multiLevelType w:val="hybridMultilevel"/>
    <w:lvl w:ilvl="0">
      <w:lvlJc w:val="left"/>
      <w:lvlText w:val="•"/>
      <w:numFmt w:val="bullet"/>
      <w:start w:val="1"/>
    </w:lvl>
  </w:abstractNum>
  <w:abstractNum w:abstractNumId="101">
    <w:nsid w:val="2539DFA5"/>
    <w:multiLevelType w:val="hybridMultilevel"/>
    <w:lvl w:ilvl="0">
      <w:lvlJc w:val="left"/>
      <w:lvlText w:val="(%1)"/>
      <w:numFmt w:val="decimal"/>
      <w:start w:val="1"/>
    </w:lvl>
  </w:abstractNum>
  <w:abstractNum w:abstractNumId="102">
    <w:nsid w:val="2DB88089"/>
    <w:multiLevelType w:val="hybridMultilevel"/>
    <w:lvl w:ilvl="0">
      <w:lvlJc w:val="left"/>
      <w:lvlText w:val="(%1)"/>
      <w:numFmt w:val="decimal"/>
      <w:start w:val="3"/>
    </w:lvl>
  </w:abstractNum>
  <w:abstractNum w:abstractNumId="103">
    <w:nsid w:val="706B674E"/>
    <w:multiLevelType w:val="hybridMultilevel"/>
    <w:lvl w:ilvl="0">
      <w:lvlJc w:val="left"/>
      <w:lvlText w:val="$"/>
      <w:numFmt w:val="bullet"/>
      <w:start w:val="1"/>
    </w:lvl>
  </w:abstractNum>
  <w:abstractNum w:abstractNumId="104">
    <w:nsid w:val="2C106A57"/>
    <w:multiLevelType w:val="hybridMultilevel"/>
    <w:lvl w:ilvl="0">
      <w:lvlJc w:val="left"/>
      <w:lvlText w:val="•"/>
      <w:numFmt w:val="bullet"/>
      <w:start w:val="1"/>
    </w:lvl>
  </w:abstractNum>
  <w:abstractNum w:abstractNumId="105">
    <w:nsid w:val="684EED59"/>
    <w:multiLevelType w:val="hybridMultilevel"/>
    <w:lvl w:ilvl="0">
      <w:lvlJc w:val="left"/>
      <w:lvlText w:val="•"/>
      <w:numFmt w:val="bullet"/>
      <w:start w:val="1"/>
    </w:lvl>
  </w:abstractNum>
  <w:abstractNum w:abstractNumId="106">
    <w:nsid w:val="545EE5D3"/>
    <w:multiLevelType w:val="hybridMultilevel"/>
    <w:lvl w:ilvl="0">
      <w:lvlJc w:val="left"/>
      <w:lvlText w:val="•"/>
      <w:numFmt w:val="bullet"/>
      <w:start w:val="1"/>
    </w:lvl>
  </w:abstractNum>
  <w:abstractNum w:abstractNumId="107">
    <w:nsid w:val="4A66051"/>
    <w:multiLevelType w:val="hybridMultilevel"/>
    <w:lvl w:ilvl="0">
      <w:lvlJc w:val="left"/>
      <w:lvlText w:val="•"/>
      <w:numFmt w:val="bullet"/>
      <w:start w:val="1"/>
    </w:lvl>
  </w:abstractNum>
  <w:abstractNum w:abstractNumId="108">
    <w:nsid w:val="20F4BDAD"/>
    <w:multiLevelType w:val="hybridMultilevel"/>
    <w:lvl w:ilvl="0">
      <w:lvlJc w:val="left"/>
      <w:lvlText w:val="•"/>
      <w:numFmt w:val="bullet"/>
      <w:start w:val="1"/>
    </w:lvl>
  </w:abstractNum>
  <w:abstractNum w:abstractNumId="109">
    <w:nsid w:val="639DEFAC"/>
    <w:multiLevelType w:val="hybridMultilevel"/>
    <w:lvl w:ilvl="0">
      <w:lvlJc w:val="left"/>
      <w:lvlText w:val="•"/>
      <w:numFmt w:val="bullet"/>
      <w:start w:val="1"/>
    </w:lvl>
  </w:abstractNum>
  <w:abstractNum w:abstractNumId="110">
    <w:nsid w:val="501F9786"/>
    <w:multiLevelType w:val="hybridMultilevel"/>
    <w:lvl w:ilvl="0">
      <w:lvlJc w:val="left"/>
      <w:lvlText w:val="•"/>
      <w:numFmt w:val="bullet"/>
      <w:start w:val="1"/>
    </w:lvl>
  </w:abstractNum>
  <w:abstractNum w:abstractNumId="111">
    <w:nsid w:val="6B057295"/>
    <w:multiLevelType w:val="hybridMultilevel"/>
    <w:lvl w:ilvl="0">
      <w:lvlJc w:val="left"/>
      <w:lvlText w:val="•"/>
      <w:numFmt w:val="bullet"/>
      <w:start w:val="1"/>
    </w:lvl>
  </w:abstractNum>
  <w:abstractNum w:abstractNumId="112">
    <w:nsid w:val="2771AC80"/>
    <w:multiLevelType w:val="hybridMultilevel"/>
    <w:lvl w:ilvl="0">
      <w:lvlJc w:val="left"/>
      <w:lvlText w:val="•"/>
      <w:numFmt w:val="bullet"/>
      <w:start w:val="1"/>
    </w:lvl>
  </w:abstractNum>
  <w:abstractNum w:abstractNumId="113">
    <w:nsid w:val="1C4A08EC"/>
    <w:multiLevelType w:val="hybridMultilevel"/>
    <w:lvl w:ilvl="0">
      <w:lvlJc w:val="left"/>
      <w:lvlText w:val="•"/>
      <w:numFmt w:val="bullet"/>
      <w:start w:val="1"/>
    </w:lvl>
  </w:abstractNum>
  <w:abstractNum w:abstractNumId="114">
    <w:nsid w:val="1958BD17"/>
    <w:multiLevelType w:val="hybridMultilevel"/>
    <w:lvl w:ilvl="0">
      <w:lvlJc w:val="left"/>
      <w:lvlText w:val="•"/>
      <w:numFmt w:val="bullet"/>
      <w:start w:val="1"/>
    </w:lvl>
  </w:abstractNum>
  <w:abstractNum w:abstractNumId="115">
    <w:nsid w:val="4E647FE4"/>
    <w:multiLevelType w:val="hybridMultilevel"/>
    <w:lvl w:ilvl="0">
      <w:lvlJc w:val="left"/>
      <w:lvlText w:val="•"/>
      <w:numFmt w:val="bullet"/>
      <w:start w:val="1"/>
    </w:lvl>
  </w:abstractNum>
  <w:abstractNum w:abstractNumId="116">
    <w:nsid w:val="E0BB885"/>
    <w:multiLevelType w:val="hybridMultilevel"/>
    <w:lvl w:ilvl="0">
      <w:lvlJc w:val="left"/>
      <w:lvlText w:val="•"/>
      <w:numFmt w:val="bullet"/>
      <w:start w:val="1"/>
    </w:lvl>
  </w:abstractNum>
  <w:abstractNum w:abstractNumId="117">
    <w:nsid w:val="565976F1"/>
    <w:multiLevelType w:val="hybridMultilevel"/>
    <w:lvl w:ilvl="0">
      <w:lvlJc w:val="left"/>
      <w:lvlText w:val="(%1)"/>
      <w:numFmt w:val="decimal"/>
      <w:start w:val="1"/>
    </w:lvl>
  </w:abstractNum>
  <w:abstractNum w:abstractNumId="118">
    <w:nsid w:val="64212B8C"/>
    <w:multiLevelType w:val="hybridMultilevel"/>
    <w:lvl w:ilvl="0">
      <w:lvlJc w:val="left"/>
      <w:lvlText w:val="•"/>
      <w:numFmt w:val="bullet"/>
      <w:start w:val="1"/>
    </w:lvl>
    <w:lvl w:ilvl="1">
      <w:lvlJc w:val="left"/>
      <w:lvlText w:val="(%2)"/>
      <w:numFmt w:val="decimal"/>
      <w:start w:val="3"/>
    </w:lvl>
  </w:abstractNum>
  <w:abstractNum w:abstractNumId="119">
    <w:nsid w:val="5C17530C"/>
    <w:multiLevelType w:val="hybridMultilevel"/>
    <w:lvl w:ilvl="0">
      <w:lvlJc w:val="left"/>
      <w:lvlText w:val="•"/>
      <w:numFmt w:val="bullet"/>
      <w:start w:val="1"/>
    </w:lvl>
  </w:abstractNum>
  <w:abstractNum w:abstractNumId="120">
    <w:nsid w:val="19A52566"/>
    <w:multiLevelType w:val="hybridMultilevel"/>
    <w:lvl w:ilvl="0">
      <w:lvlJc w:val="left"/>
      <w:lvlText w:val="•"/>
      <w:numFmt w:val="bullet"/>
      <w:start w:val="1"/>
    </w:lvl>
  </w:abstractNum>
  <w:abstractNum w:abstractNumId="121">
    <w:nsid w:val="335A1DF1"/>
    <w:multiLevelType w:val="hybridMultilevel"/>
    <w:lvl w:ilvl="0">
      <w:lvlJc w:val="left"/>
      <w:lvlText w:val="•"/>
      <w:numFmt w:val="bullet"/>
      <w:start w:val="1"/>
    </w:lvl>
    <w:lvl w:ilvl="1">
      <w:lvlJc w:val="left"/>
      <w:lvlText w:val="(%2)"/>
      <w:numFmt w:val="decimal"/>
      <w:start w:val="1"/>
    </w:lvl>
  </w:abstractNum>
  <w:abstractNum w:abstractNumId="122">
    <w:nsid w:val="28677B7C"/>
    <w:multiLevelType w:val="hybridMultilevel"/>
    <w:lvl w:ilvl="0">
      <w:lvlJc w:val="left"/>
      <w:lvlText w:val="•"/>
      <w:numFmt w:val="bullet"/>
      <w:start w:val="1"/>
    </w:lvl>
  </w:abstractNum>
  <w:abstractNum w:abstractNumId="123">
    <w:nsid w:val="378D97C0"/>
    <w:multiLevelType w:val="hybridMultilevel"/>
    <w:lvl w:ilvl="0">
      <w:lvlJc w:val="left"/>
      <w:lvlText w:val="•"/>
      <w:numFmt w:val="bullet"/>
      <w:start w:val="1"/>
    </w:lvl>
  </w:abstractNum>
  <w:abstractNum w:abstractNumId="124">
    <w:nsid w:val="1D91467C"/>
    <w:multiLevelType w:val="hybridMultilevel"/>
    <w:lvl w:ilvl="0">
      <w:lvlJc w:val="left"/>
      <w:lvlText w:val="(%1)"/>
      <w:numFmt w:val="decimal"/>
      <w:start w:val="1"/>
    </w:lvl>
  </w:abstractNum>
  <w:abstractNum w:abstractNumId="125">
    <w:nsid w:val="316032BB"/>
    <w:multiLevelType w:val="hybridMultilevel"/>
    <w:lvl w:ilvl="0">
      <w:lvlJc w:val="left"/>
      <w:lvlText w:val="(%1)"/>
      <w:numFmt w:val="decimal"/>
      <w:start w:val="3"/>
    </w:lvl>
  </w:abstractNum>
  <w:abstractNum w:abstractNumId="126">
    <w:nsid w:val="44344C22"/>
    <w:multiLevelType w:val="hybridMultilevel"/>
    <w:lvl w:ilvl="0">
      <w:lvlJc w:val="left"/>
      <w:lvlText w:val="(%1)"/>
      <w:numFmt w:val="decimal"/>
      <w:start w:val="2"/>
    </w:lvl>
  </w:abstractNum>
  <w:abstractNum w:abstractNumId="127">
    <w:nsid w:val="13CDFCFC"/>
    <w:multiLevelType w:val="hybridMultilevel"/>
    <w:lvl w:ilvl="0">
      <w:lvlJc w:val="left"/>
      <w:lvlText w:val="•"/>
      <w:numFmt w:val="bullet"/>
      <w:start w:val="1"/>
    </w:lvl>
  </w:abstractNum>
  <w:abstractNum w:abstractNumId="128">
    <w:nsid w:val="471745E4"/>
    <w:multiLevelType w:val="hybridMultilevel"/>
    <w:lvl w:ilvl="0">
      <w:lvlJc w:val="left"/>
      <w:lvlText w:val="%1."/>
      <w:numFmt w:val="decimal"/>
      <w:start w:val="1"/>
    </w:lvl>
  </w:abstractNum>
  <w:abstractNum w:abstractNumId="129">
    <w:nsid w:val="1DDBC66"/>
    <w:multiLevelType w:val="hybridMultilevel"/>
    <w:lvl w:ilvl="0">
      <w:lvlJc w:val="left"/>
      <w:lvlText w:val="%1."/>
      <w:numFmt w:val="lowerLetter"/>
      <w:start w:val="1"/>
    </w:lvl>
  </w:abstractNum>
  <w:abstractNum w:abstractNumId="130">
    <w:nsid w:val="30AADFDA"/>
    <w:multiLevelType w:val="hybridMultilevel"/>
    <w:lvl w:ilvl="0">
      <w:lvlJc w:val="left"/>
      <w:lvlText w:val="%1."/>
      <w:numFmt w:val="lowerLetter"/>
      <w:start w:val="2"/>
    </w:lvl>
  </w:abstractNum>
  <w:abstractNum w:abstractNumId="131">
    <w:nsid w:val="30EADA61"/>
    <w:multiLevelType w:val="hybridMultilevel"/>
    <w:lvl w:ilvl="0">
      <w:lvlJc w:val="left"/>
      <w:lvlText w:val="%1."/>
      <w:numFmt w:val="lowerLetter"/>
      <w:start w:val="3"/>
    </w:lvl>
  </w:abstractNum>
  <w:abstractNum w:abstractNumId="132">
    <w:nsid w:val="27179C0B"/>
    <w:multiLevelType w:val="hybridMultilevel"/>
    <w:lvl w:ilvl="0">
      <w:lvlJc w:val="left"/>
      <w:lvlText w:val="%1."/>
      <w:numFmt w:val="lowerLetter"/>
      <w:start w:val="4"/>
    </w:lvl>
  </w:abstractNum>
  <w:abstractNum w:abstractNumId="133">
    <w:nsid w:val="5E636063"/>
    <w:multiLevelType w:val="hybridMultilevel"/>
    <w:lvl w:ilvl="0">
      <w:lvlJc w:val="left"/>
      <w:lvlText w:val="%1."/>
      <w:numFmt w:val="lowerLetter"/>
      <w:start w:val="5"/>
    </w:lvl>
  </w:abstractNum>
  <w:abstractNum w:abstractNumId="134">
    <w:nsid w:val="215641AF"/>
    <w:multiLevelType w:val="hybridMultilevel"/>
    <w:lvl w:ilvl="0">
      <w:lvlJc w:val="left"/>
      <w:lvlText w:val="%1."/>
      <w:numFmt w:val="lowerLetter"/>
      <w:start w:val="6"/>
    </w:lvl>
  </w:abstractNum>
  <w:abstractNum w:abstractNumId="135">
    <w:nsid w:val="53280662"/>
    <w:multiLevelType w:val="hybridMultilevel"/>
    <w:lvl w:ilvl="0">
      <w:lvlJc w:val="left"/>
      <w:lvlText w:val="%1."/>
      <w:numFmt w:val="lowerLetter"/>
      <w:start w:val="7"/>
    </w:lvl>
  </w:abstractNum>
  <w:abstractNum w:abstractNumId="136">
    <w:nsid w:val="46B24DBC"/>
    <w:multiLevelType w:val="hybridMultilevel"/>
    <w:lvl w:ilvl="0">
      <w:lvlJc w:val="left"/>
      <w:lvlText w:val="%1."/>
      <w:numFmt w:val="lowerLetter"/>
      <w:start w:val="8"/>
    </w:lvl>
  </w:abstractNum>
  <w:abstractNum w:abstractNumId="137">
    <w:nsid w:val="75B52783"/>
    <w:multiLevelType w:val="hybridMultilevel"/>
    <w:lvl w:ilvl="0">
      <w:lvlJc w:val="left"/>
      <w:lvlText w:val="%1."/>
      <w:numFmt w:val="lowerRoman"/>
      <w:start w:val="1"/>
    </w:lvl>
  </w:abstractNum>
  <w:abstractNum w:abstractNumId="138">
    <w:nsid w:val="57CE66B4"/>
    <w:multiLevelType w:val="hybridMultilevel"/>
    <w:lvl w:ilvl="0">
      <w:lvlJc w:val="left"/>
      <w:lvlText w:val="%1."/>
      <w:numFmt w:val="lowerLetter"/>
      <w:start w:val="10"/>
    </w:lvl>
  </w:abstractNum>
  <w:abstractNum w:abstractNumId="139">
    <w:nsid w:val="67A70B69"/>
    <w:multiLevelType w:val="hybridMultilevel"/>
    <w:lvl w:ilvl="0">
      <w:lvlJc w:val="left"/>
      <w:lvlText w:val="%1."/>
      <w:numFmt w:val="lowerLetter"/>
      <w:start w:val="11"/>
    </w:lvl>
  </w:abstractNum>
  <w:abstractNum w:abstractNumId="140">
    <w:nsid w:val="5953172F"/>
    <w:multiLevelType w:val="hybridMultilevel"/>
    <w:lvl w:ilvl="0">
      <w:lvlJc w:val="left"/>
      <w:lvlText w:val="%1."/>
      <w:numFmt w:val="lowerLetter"/>
      <w:start w:val="12"/>
    </w:lvl>
  </w:abstractNum>
  <w:abstractNum w:abstractNumId="141">
    <w:nsid w:val="27EDFE3A"/>
    <w:multiLevelType w:val="hybridMultilevel"/>
    <w:lvl w:ilvl="0">
      <w:lvlJc w:val="left"/>
      <w:lvlText w:val="%1."/>
      <w:numFmt w:val="lowerLetter"/>
      <w:start w:val="13"/>
    </w:lvl>
  </w:abstractNum>
  <w:abstractNum w:abstractNumId="142">
    <w:nsid w:val="52AC7DFF"/>
    <w:multiLevelType w:val="hybridMultilevel"/>
    <w:lvl w:ilvl="0">
      <w:lvlJc w:val="left"/>
      <w:lvlText w:val="%1."/>
      <w:numFmt w:val="lowerLetter"/>
      <w:start w:val="14"/>
    </w:lvl>
  </w:abstractNum>
  <w:abstractNum w:abstractNumId="143">
    <w:nsid w:val="C4C3AF"/>
    <w:multiLevelType w:val="hybridMultilevel"/>
    <w:lvl w:ilvl="0">
      <w:lvlJc w:val="left"/>
      <w:lvlText w:val="%1."/>
      <w:numFmt w:val="lowerLetter"/>
      <w:start w:val="15"/>
    </w:lvl>
  </w:abstractNum>
  <w:abstractNum w:abstractNumId="144">
    <w:nsid w:val="44380727"/>
    <w:multiLevelType w:val="hybridMultilevel"/>
    <w:lvl w:ilvl="0">
      <w:lvlJc w:val="left"/>
      <w:lvlText w:val="%1."/>
      <w:numFmt w:val="lowerLetter"/>
      <w:start w:val="16"/>
    </w:lvl>
  </w:abstractNum>
  <w:abstractNum w:abstractNumId="145">
    <w:nsid w:val="6C053B16"/>
    <w:multiLevelType w:val="hybridMultilevel"/>
    <w:lvl w:ilvl="0">
      <w:lvlJc w:val="left"/>
      <w:lvlText w:val="%1."/>
      <w:numFmt w:val="lowerLetter"/>
      <w:start w:val="17"/>
    </w:lvl>
  </w:abstractNum>
  <w:abstractNum w:abstractNumId="146">
    <w:nsid w:val="4F294393"/>
    <w:multiLevelType w:val="hybridMultilevel"/>
    <w:lvl w:ilvl="0">
      <w:lvlJc w:val="left"/>
      <w:lvlText w:val="%1."/>
      <w:numFmt w:val="lowerLetter"/>
      <w:start w:val="18"/>
    </w:lvl>
  </w:abstractNum>
  <w:abstractNum w:abstractNumId="147">
    <w:nsid w:val="5243BFAC"/>
    <w:multiLevelType w:val="hybridMultilevel"/>
    <w:lvl w:ilvl="0">
      <w:lvlJc w:val="left"/>
      <w:lvlText w:val="%1."/>
      <w:numFmt w:val="decimal"/>
      <w:start w:val="2"/>
    </w:lvl>
  </w:abstractNum>
  <w:abstractNum w:abstractNumId="148">
    <w:nsid w:val="425EB207"/>
    <w:multiLevelType w:val="hybridMultilevel"/>
    <w:lvl w:ilvl="0">
      <w:lvlJc w:val="left"/>
      <w:lvlText w:val="%1."/>
      <w:numFmt w:val="decimal"/>
      <w:start w:val="5"/>
    </w:lvl>
  </w:abstractNum>
  <w:abstractNum w:abstractNumId="149">
    <w:nsid w:val="334A6F1F"/>
    <w:multiLevelType w:val="hybridMultilevel"/>
    <w:lvl w:ilvl="0">
      <w:lvlJc w:val="left"/>
      <w:lvlText w:val="%1."/>
      <w:numFmt w:val="decimal"/>
      <w:start w:val="6"/>
    </w:lvl>
  </w:abstractNum>
  <w:abstractNum w:abstractNumId="150">
    <w:nsid w:val="2E5B12B8"/>
    <w:multiLevelType w:val="hybridMultilevel"/>
    <w:lvl w:ilvl="0">
      <w:lvlJc w:val="left"/>
      <w:lvlText w:val="%1."/>
      <w:numFmt w:val="decimal"/>
      <w:start w:val="8"/>
    </w:lvl>
  </w:abstractNum>
  <w:abstractNum w:abstractNumId="151">
    <w:nsid w:val="5C03D76D"/>
    <w:multiLevelType w:val="hybridMultilevel"/>
    <w:lvl w:ilvl="0">
      <w:lvlJc w:val="left"/>
      <w:lvlText w:val="%1."/>
      <w:numFmt w:val="lowerLetter"/>
      <w:start w:val="2"/>
    </w:lvl>
  </w:abstractNum>
  <w:abstractNum w:abstractNumId="152">
    <w:nsid w:val="66A48D11"/>
    <w:multiLevelType w:val="hybridMultilevel"/>
    <w:lvl w:ilvl="0">
      <w:lvlJc w:val="left"/>
      <w:lvlText w:val="%1."/>
      <w:numFmt w:val="lowerLetter"/>
      <w:start w:val="3"/>
    </w:lvl>
  </w:abstractNum>
  <w:abstractNum w:abstractNumId="153">
    <w:nsid w:val="56C28E34"/>
    <w:multiLevelType w:val="hybridMultilevel"/>
    <w:lvl w:ilvl="0">
      <w:lvlJc w:val="left"/>
      <w:lvlText w:val="%1."/>
      <w:numFmt w:val="lowerLetter"/>
      <w:start w:val="4"/>
    </w:lvl>
  </w:abstractNum>
  <w:abstractNum w:abstractNumId="154">
    <w:nsid w:val="13916F2D"/>
    <w:multiLevelType w:val="hybridMultilevel"/>
    <w:lvl w:ilvl="0">
      <w:lvlJc w:val="left"/>
      <w:lvlText w:val="%1."/>
      <w:numFmt w:val="lowerLetter"/>
      <w:start w:val="5"/>
    </w:lvl>
  </w:abstractNum>
  <w:abstractNum w:abstractNumId="155">
    <w:nsid w:val="435D38D"/>
    <w:multiLevelType w:val="hybridMultilevel"/>
    <w:lvl w:ilvl="0">
      <w:lvlJc w:val="left"/>
      <w:lvlText w:val="%1."/>
      <w:numFmt w:val="lowerLetter"/>
      <w:start w:val="6"/>
    </w:lvl>
  </w:abstractNum>
  <w:abstractNum w:abstractNumId="156">
    <w:nsid w:val="822C0EF"/>
    <w:multiLevelType w:val="hybridMultilevel"/>
    <w:lvl w:ilvl="0">
      <w:lvlJc w:val="left"/>
      <w:lvlText w:val="%1."/>
      <w:numFmt w:val="decimal"/>
      <w:start w:val="9"/>
    </w:lvl>
  </w:abstractNum>
  <w:abstractNum w:abstractNumId="157">
    <w:nsid w:val="57C5BB4F"/>
    <w:multiLevelType w:val="hybridMultilevel"/>
    <w:lvl w:ilvl="0">
      <w:lvlJc w:val="left"/>
      <w:lvlText w:val="%1."/>
      <w:numFmt w:val="decimal"/>
      <w:start w:val="10"/>
    </w:lvl>
  </w:abstractNum>
  <w:abstractNum w:abstractNumId="158">
    <w:nsid w:val="1803D089"/>
    <w:multiLevelType w:val="hybridMultilevel"/>
    <w:lvl w:ilvl="0">
      <w:lvlJc w:val="left"/>
      <w:lvlText w:val="%1."/>
      <w:numFmt w:val="lowerLetter"/>
      <w:start w:val="1"/>
    </w:lvl>
  </w:abstractNum>
  <w:abstractNum w:abstractNumId="159">
    <w:nsid w:val="4F3A06D4"/>
    <w:multiLevelType w:val="hybridMultilevel"/>
    <w:lvl w:ilvl="0">
      <w:lvlJc w:val="left"/>
      <w:lvlText w:val="%1."/>
      <w:numFmt w:val="lowerLetter"/>
      <w:start w:val="2"/>
    </w:lvl>
  </w:abstractNum>
  <w:abstractNum w:abstractNumId="160">
    <w:nsid w:val="59A377B6"/>
    <w:multiLevelType w:val="hybridMultilevel"/>
    <w:lvl w:ilvl="0">
      <w:lvlJc w:val="left"/>
      <w:lvlText w:val="%1."/>
      <w:numFmt w:val="lowerLetter"/>
      <w:start w:val="3"/>
    </w:lvl>
  </w:abstractNum>
  <w:abstractNum w:abstractNumId="161">
    <w:nsid w:val="48AEB063"/>
    <w:multiLevelType w:val="hybridMultilevel"/>
    <w:lvl w:ilvl="0">
      <w:lvlJc w:val="left"/>
      <w:lvlText w:val="%1."/>
      <w:numFmt w:val="lowerLetter"/>
      <w:start w:val="4"/>
    </w:lvl>
  </w:abstractNum>
  <w:abstractNum w:abstractNumId="162">
    <w:nsid w:val="24E135"/>
    <w:multiLevelType w:val="hybridMultilevel"/>
    <w:lvl w:ilvl="0">
      <w:lvlJc w:val="left"/>
      <w:lvlText w:val="%1."/>
      <w:numFmt w:val="decimal"/>
      <w:start w:val="11"/>
    </w:lvl>
  </w:abstractNum>
  <w:abstractNum w:abstractNumId="163">
    <w:nsid w:val="BB13C1"/>
    <w:multiLevelType w:val="hybridMultilevel"/>
    <w:lvl w:ilvl="0">
      <w:lvlJc w:val="left"/>
      <w:lvlText w:val="*"/>
      <w:numFmt w:val="bullet"/>
      <w:start w:val="1"/>
    </w:lvl>
  </w:abstractNum>
  <w:abstractNum w:abstractNumId="164">
    <w:nsid w:val="271210C7"/>
    <w:multiLevelType w:val="hybridMultilevel"/>
    <w:lvl w:ilvl="0">
      <w:lvlJc w:val="left"/>
      <w:lvlText w:val="(%1)"/>
      <w:numFmt w:val="lowerLetter"/>
      <w:start w:val="1"/>
    </w:lvl>
  </w:abstractNum>
  <w:abstractNum w:abstractNumId="165">
    <w:nsid w:val="217B22E4"/>
    <w:multiLevelType w:val="hybridMultilevel"/>
    <w:lvl w:ilvl="0">
      <w:lvlJc w:val="left"/>
      <w:lvlText w:val="(%1)"/>
      <w:numFmt w:val="lowerLetter"/>
      <w:start w:val="5"/>
    </w:lvl>
  </w:abstractNum>
  <w:abstractNum w:abstractNumId="166">
    <w:nsid w:val="53E31A24"/>
    <w:multiLevelType w:val="hybridMultilevel"/>
    <w:lvl w:ilvl="0">
      <w:lvlJc w:val="left"/>
      <w:lvlText w:val="(%1)"/>
      <w:numFmt w:val="decimal"/>
      <w:start w:val="1"/>
    </w:lvl>
  </w:abstractNum>
  <w:abstractNum w:abstractNumId="167">
    <w:nsid w:val="6DC45E83"/>
    <w:multiLevelType w:val="hybridMultilevel"/>
    <w:lvl w:ilvl="0">
      <w:lvlJc w:val="left"/>
      <w:lvlText w:val="(%1)"/>
      <w:numFmt w:val="decimal"/>
    </w:lvl>
    <w:lvl w:ilvl="1">
      <w:lvlJc w:val="left"/>
      <w:lvlText w:val="*"/>
      <w:numFmt w:val="bullet"/>
      <w:start w:val="1"/>
    </w:lvl>
  </w:abstractNum>
  <w:abstractNum w:abstractNumId="168">
    <w:nsid w:val="17304A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9">
    <w:nsid w:val="2BB180D8"/>
    <w:multiLevelType w:val="hybridMultilevel"/>
    <w:lvl w:ilvl="0">
      <w:lvlJc w:val="left"/>
      <w:lvlText w:val="%1"/>
      <w:numFmt w:val="decimal"/>
      <w:start w:val="1"/>
    </w:lvl>
    <w:lvl w:ilvl="1">
      <w:lvlJc w:val="left"/>
      <w:lvlText w:val="(%2)"/>
      <w:numFmt w:val="lowerLetter"/>
      <w:start w:val="4"/>
    </w:lvl>
  </w:abstractNum>
  <w:abstractNum w:abstractNumId="170">
    <w:nsid w:val="556B69ED"/>
    <w:multiLevelType w:val="hybridMultilevel"/>
    <w:lvl w:ilvl="0">
      <w:lvlJc w:val="left"/>
      <w:lvlText w:val="%1."/>
      <w:numFmt w:val="decimal"/>
      <w:start w:val="6"/>
    </w:lvl>
    <w:lvl w:ilvl="1">
      <w:lvlJc w:val="left"/>
      <w:lvlText w:val="(%2)"/>
      <w:numFmt w:val="lowerLetter"/>
      <w:start w:val="1"/>
    </w:lvl>
  </w:abstractNum>
  <w:abstractNum w:abstractNumId="171">
    <w:nsid w:val="70836196"/>
    <w:multiLevelType w:val="hybridMultilevel"/>
    <w:lvl w:ilvl="0">
      <w:lvlJc w:val="left"/>
      <w:lvlText w:val="(%1)"/>
      <w:numFmt w:val="lowerLetter"/>
      <w:start w:val="2"/>
    </w:lvl>
    <w:lvl w:ilvl="1">
      <w:lvlJc w:val="left"/>
      <w:lvlText w:val="(%2)"/>
      <w:numFmt w:val="lowerRoman"/>
      <w:start w:val="1"/>
    </w:lvl>
  </w:abstractNum>
  <w:abstractNum w:abstractNumId="172">
    <w:nsid w:val="539F7F12"/>
    <w:multiLevelType w:val="hybridMultilevel"/>
    <w:lvl w:ilvl="0">
      <w:lvlJc w:val="left"/>
      <w:lvlText w:val="(%1)"/>
      <w:numFmt w:val="lowerRoman"/>
      <w:start w:val="5"/>
    </w:lvl>
  </w:abstractNum>
  <w:abstractNum w:abstractNumId="173">
    <w:nsid w:val="2817E7EC"/>
    <w:multiLevelType w:val="hybridMultilevel"/>
    <w:lvl w:ilvl="0">
      <w:lvlJc w:val="left"/>
      <w:lvlText w:val="(%1)"/>
      <w:numFmt w:val="lowerLetter"/>
      <w:start w:val="4"/>
    </w:lvl>
    <w:lvl w:ilvl="1">
      <w:lvlJc w:val="left"/>
      <w:lvlText w:val="(%2)"/>
      <w:numFmt w:val="lowerRoman"/>
      <w:start w:val="1"/>
    </w:lvl>
  </w:abstractNum>
  <w:abstractNum w:abstractNumId="174">
    <w:nsid w:val="7148254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75">
    <w:nsid w:val="17D7863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76">
    <w:nsid w:val="141D2302"/>
    <w:multiLevelType w:val="hybridMultilevel"/>
    <w:lvl w:ilvl="0">
      <w:lvlJc w:val="left"/>
      <w:lvlText w:val="%1"/>
      <w:numFmt w:val="lowerLetter"/>
      <w:start w:val="1"/>
    </w:lvl>
    <w:lvl w:ilvl="1">
      <w:lvlJc w:val="left"/>
      <w:lvlText w:val="(%2)"/>
      <w:numFmt w:val="lowerRoman"/>
      <w:start w:val="2"/>
    </w:lvl>
  </w:abstractNum>
  <w:abstractNum w:abstractNumId="177">
    <w:nsid w:val="407168D8"/>
    <w:multiLevelType w:val="hybridMultilevel"/>
    <w:lvl w:ilvl="0">
      <w:lvlJc w:val="left"/>
      <w:lvlText w:val="(%1)"/>
      <w:numFmt w:val="lowerLetter"/>
      <w:start w:val="2"/>
    </w:lvl>
    <w:lvl w:ilvl="1">
      <w:lvlJc w:val="left"/>
      <w:lvlText w:val="(%2)"/>
      <w:numFmt w:val="lowerRoman"/>
      <w:start w:val="1"/>
    </w:lvl>
  </w:abstractNum>
  <w:abstractNum w:abstractNumId="178">
    <w:nsid w:val="6A1B45E5"/>
    <w:multiLevelType w:val="hybridMultilevel"/>
    <w:lvl w:ilvl="0">
      <w:lvlJc w:val="left"/>
      <w:lvlText w:val="(%1)"/>
      <w:numFmt w:val="lowerRoman"/>
      <w:start w:val="1"/>
    </w:lvl>
  </w:abstractNum>
  <w:abstractNum w:abstractNumId="179">
    <w:nsid w:val="567BD50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80">
    <w:nsid w:val="73BBD7F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81">
    <w:nsid w:val="1876589D"/>
    <w:multiLevelType w:val="hybridMultilevel"/>
    <w:lvl w:ilvl="0">
      <w:lvlJc w:val="left"/>
      <w:lvlText w:val="%1"/>
      <w:numFmt w:val="decimal"/>
      <w:start w:val="1"/>
    </w:lvl>
    <w:lvl w:ilvl="1">
      <w:lvlJc w:val="left"/>
      <w:lvlText w:val="(%2)"/>
      <w:numFmt w:val="lowerLetter"/>
      <w:start w:val="2"/>
    </w:lvl>
  </w:abstractNum>
  <w:abstractNum w:abstractNumId="182">
    <w:nsid w:val="327FAC77"/>
    <w:multiLevelType w:val="hybridMultilevel"/>
    <w:lvl w:ilvl="0">
      <w:lvlJc w:val="left"/>
      <w:lvlText w:val="%1."/>
      <w:numFmt w:val="decimal"/>
      <w:start w:val="11"/>
    </w:lvl>
    <w:lvl w:ilvl="1">
      <w:lvlJc w:val="left"/>
      <w:lvlText w:val="(%2)"/>
      <w:numFmt w:val="lowerLetter"/>
      <w:start w:val="1"/>
    </w:lvl>
  </w:abstractNum>
  <w:abstractNum w:abstractNumId="183">
    <w:nsid w:val="5A606509"/>
    <w:multiLevelType w:val="hybridMultilevel"/>
    <w:lvl w:ilvl="0">
      <w:lvlJc w:val="left"/>
      <w:lvlText w:val="%1"/>
      <w:numFmt w:val="decimal"/>
      <w:start w:val="1"/>
    </w:lvl>
    <w:lvl w:ilvl="1">
      <w:lvlJc w:val="left"/>
      <w:lvlText w:val="(%2)"/>
      <w:numFmt w:val="lowerLetter"/>
      <w:start w:val="3"/>
    </w:lvl>
  </w:abstractNum>
  <w:abstractNum w:abstractNumId="184">
    <w:nsid w:val="6F38E6D1"/>
    <w:multiLevelType w:val="hybridMultilevel"/>
    <w:lvl w:ilvl="0">
      <w:lvlJc w:val="left"/>
      <w:lvlText w:val="%1."/>
      <w:numFmt w:val="decimal"/>
      <w:start w:val="12"/>
    </w:lvl>
    <w:lvl w:ilvl="1">
      <w:lvlJc w:val="left"/>
      <w:lvlText w:val="%2"/>
      <w:numFmt w:val="lowerLetter"/>
      <w:start w:val="1"/>
    </w:lvl>
  </w:abstractNum>
  <w:abstractNum w:abstractNumId="185">
    <w:nsid w:val="46111BA5"/>
    <w:multiLevelType w:val="hybridMultilevel"/>
    <w:lvl w:ilvl="0">
      <w:lvlJc w:val="left"/>
      <w:lvlText w:val="%1."/>
      <w:numFmt w:val="decimal"/>
      <w:start w:val="13"/>
    </w:lvl>
    <w:lvl w:ilvl="1">
      <w:lvlJc w:val="left"/>
      <w:lvlText w:val="(%2)"/>
      <w:numFmt w:val="lowerLetter"/>
      <w:start w:val="1"/>
    </w:lvl>
  </w:abstractNum>
  <w:abstractNum w:abstractNumId="186">
    <w:nsid w:val="5E963896"/>
    <w:multiLevelType w:val="hybridMultilevel"/>
    <w:lvl w:ilvl="0">
      <w:lvlJc w:val="left"/>
      <w:lvlText w:val="(%1)"/>
      <w:numFmt w:val="lowerLetter"/>
      <w:start w:val="2"/>
    </w:lvl>
  </w:abstractNum>
  <w:abstractNum w:abstractNumId="187">
    <w:nsid w:val="775BA7C1"/>
    <w:multiLevelType w:val="hybridMultilevel"/>
    <w:lvl w:ilvl="0">
      <w:lvlJc w:val="left"/>
      <w:lvlText w:val="%1."/>
      <w:numFmt w:val="decimal"/>
      <w:start w:val="16"/>
    </w:lvl>
  </w:abstractNum>
  <w:abstractNum w:abstractNumId="188">
    <w:nsid w:val="1DD6D6F4"/>
    <w:multiLevelType w:val="hybridMultilevel"/>
    <w:lvl w:ilvl="0">
      <w:lvlJc w:val="left"/>
      <w:lvlText w:val="%1."/>
      <w:numFmt w:val="decimal"/>
      <w:start w:val="22"/>
    </w:lvl>
  </w:abstractNum>
  <w:abstractNum w:abstractNumId="189">
    <w:nsid w:val="769A091F"/>
    <w:multiLevelType w:val="hybridMultilevel"/>
    <w:lvl w:ilvl="0">
      <w:lvlJc w:val="left"/>
      <w:lvlText w:val="%1"/>
      <w:numFmt w:val="decimal"/>
      <w:start w:val="1"/>
    </w:lvl>
    <w:lvl w:ilvl="1">
      <w:lvlJc w:val="left"/>
      <w:lvlText w:val="%2."/>
      <w:numFmt w:val="decimal"/>
      <w:start w:val="1"/>
    </w:lvl>
  </w:abstractNum>
  <w:abstractNum w:abstractNumId="190">
    <w:nsid w:val="4695AE95"/>
    <w:multiLevelType w:val="hybridMultilevel"/>
    <w:lvl w:ilvl="0">
      <w:lvlJc w:val="left"/>
      <w:lvlText w:val="(%1)"/>
      <w:numFmt w:val="decimal"/>
      <w:start w:val="5"/>
    </w:lvl>
    <w:lvl w:ilvl="1">
      <w:lvlJc w:val="left"/>
      <w:lvlText w:val="%2."/>
      <w:numFmt w:val="decimal"/>
      <w:start w:val="2"/>
    </w:lvl>
  </w:abstractNum>
  <w:abstractNum w:abstractNumId="191">
    <w:nsid w:val="777A4EAA"/>
    <w:multiLevelType w:val="hybridMultilevel"/>
    <w:lvl w:ilvl="0">
      <w:lvlJc w:val="left"/>
      <w:lvlText w:val="%1."/>
      <w:numFmt w:val="decimal"/>
      <w:start w:val="3"/>
    </w:lvl>
  </w:abstractNum>
  <w:abstractNum w:abstractNumId="192">
    <w:nsid w:val="3F48B982"/>
    <w:multiLevelType w:val="hybridMultilevel"/>
    <w:lvl w:ilvl="0">
      <w:lvlJc w:val="left"/>
      <w:lvlText w:val="%1."/>
      <w:numFmt w:val="decimal"/>
      <w:start w:val="5"/>
    </w:lvl>
  </w:abstractNum>
  <w:abstractNum w:abstractNumId="193">
    <w:nsid w:val="46BA8FCA"/>
    <w:multiLevelType w:val="hybridMultilevel"/>
    <w:lvl w:ilvl="0">
      <w:lvlJc w:val="left"/>
      <w:lvlText w:val="%1."/>
      <w:numFmt w:val="decimal"/>
      <w:start w:val="1"/>
    </w:lvl>
  </w:abstractNum>
  <w:abstractNum w:abstractNumId="194">
    <w:nsid w:val="7835626C"/>
    <w:multiLevelType w:val="hybridMultilevel"/>
    <w:lvl w:ilvl="0">
      <w:lvlJc w:val="left"/>
      <w:lvlText w:val="(%1)"/>
      <w:numFmt w:val="lowerLetter"/>
      <w:start w:val="1"/>
    </w:lvl>
  </w:abstractNum>
  <w:abstractNum w:abstractNumId="195">
    <w:nsid w:val="665ACA49"/>
    <w:multiLevelType w:val="hybridMultilevel"/>
    <w:lvl w:ilvl="0">
      <w:lvlJc w:val="left"/>
      <w:lvlText w:val="(%1)"/>
      <w:numFmt w:val="lowerLetter"/>
      <w:start w:val="2"/>
    </w:lvl>
    <w:lvl w:ilvl="1">
      <w:lvlJc w:val="left"/>
      <w:lvlText w:val="(%2)"/>
      <w:numFmt w:val="lowerRoman"/>
      <w:start w:val="1"/>
    </w:lvl>
  </w:abstractNum>
  <w:abstractNum w:abstractNumId="196">
    <w:nsid w:val="6835B2AE"/>
    <w:multiLevelType w:val="hybridMultilevel"/>
    <w:lvl w:ilvl="0">
      <w:lvlJc w:val="left"/>
      <w:lvlText w:val="(%1)"/>
      <w:numFmt w:val="lowerLetter"/>
      <w:start w:val="1"/>
    </w:lvl>
  </w:abstractNum>
  <w:abstractNum w:abstractNumId="197">
    <w:nsid w:val="4C187C90"/>
    <w:multiLevelType w:val="hybridMultilevel"/>
    <w:lvl w:ilvl="0">
      <w:lvlJc w:val="left"/>
      <w:lvlText w:val="%1"/>
      <w:numFmt w:val="lowerRoman"/>
      <w:start w:val="1"/>
    </w:lvl>
    <w:lvl w:ilvl="1">
      <w:lvlJc w:val="left"/>
      <w:lvlText w:val="(%2)"/>
      <w:numFmt w:val="lowerLetter"/>
      <w:start w:val="2"/>
    </w:lvl>
  </w:abstractNum>
  <w:abstractNum w:abstractNumId="198">
    <w:nsid w:val="541F28CD"/>
    <w:multiLevelType w:val="hybridMultilevel"/>
    <w:lvl w:ilvl="0">
      <w:lvlJc w:val="left"/>
      <w:lvlText w:val="(%1)"/>
      <w:numFmt w:val="lowerRoman"/>
      <w:start w:val="4"/>
    </w:lvl>
    <w:lvl w:ilvl="1">
      <w:lvlJc w:val="left"/>
      <w:lvlText w:val="%2"/>
      <w:numFmt w:val="lowerLetter"/>
      <w:start w:val="1"/>
    </w:lvl>
  </w:abstractNum>
  <w:abstractNum w:abstractNumId="199">
    <w:nsid w:val="7F65FD16"/>
    <w:multiLevelType w:val="hybridMultilevel"/>
    <w:lvl w:ilvl="0">
      <w:lvlJc w:val="left"/>
      <w:lvlText w:val="%1"/>
      <w:numFmt w:val="lowerRoman"/>
      <w:start w:val="1"/>
    </w:lvl>
    <w:lvl w:ilvl="1">
      <w:lvlJc w:val="left"/>
      <w:lvlText w:val="(%2)"/>
      <w:numFmt w:val="lowerLetter"/>
      <w:start w:val="1"/>
    </w:lvl>
  </w:abstractNum>
  <w:abstractNum w:abstractNumId="200">
    <w:nsid w:val="77C9FD68"/>
    <w:multiLevelType w:val="hybridMultilevel"/>
    <w:lvl w:ilvl="0">
      <w:lvlJc w:val="left"/>
      <w:lvlText w:val="(%1)"/>
      <w:numFmt w:val="lowerRoman"/>
      <w:start w:val="7"/>
    </w:lvl>
    <w:lvl w:ilvl="1">
      <w:lvlJc w:val="left"/>
      <w:lvlText w:val="(%2)"/>
      <w:numFmt w:val="lowerLetter"/>
      <w:start w:val="1"/>
    </w:lvl>
  </w:abstractNum>
  <w:abstractNum w:abstractNumId="201">
    <w:nsid w:val="298A92BA"/>
    <w:multiLevelType w:val="hybridMultilevel"/>
    <w:lvl w:ilvl="0">
      <w:lvlJc w:val="left"/>
      <w:lvlText w:val="%1"/>
      <w:numFmt w:val="decimal"/>
      <w:start w:val="1"/>
    </w:lvl>
    <w:lvl w:ilvl="1">
      <w:lvlJc w:val="left"/>
      <w:lvlText w:val="(%2)"/>
      <w:numFmt w:val="lowerLetter"/>
      <w:start w:val="1"/>
    </w:lvl>
  </w:abstractNum>
  <w:abstractNum w:abstractNumId="202">
    <w:nsid w:val="6FE95EAC"/>
    <w:multiLevelType w:val="hybridMultilevel"/>
    <w:lvl w:ilvl="0">
      <w:lvlJc w:val="left"/>
      <w:lvlText w:val="%1."/>
      <w:numFmt w:val="decimal"/>
      <w:start w:val="2"/>
    </w:lvl>
    <w:lvl w:ilvl="1">
      <w:lvlJc w:val="left"/>
      <w:lvlText w:val="%2"/>
      <w:numFmt w:val="lowerLetter"/>
      <w:start w:val="1"/>
    </w:lvl>
  </w:abstractNum>
  <w:abstractNum w:abstractNumId="203">
    <w:nsid w:val="4B697C7A"/>
    <w:multiLevelType w:val="hybridMultilevel"/>
    <w:lvl w:ilvl="0">
      <w:lvlJc w:val="left"/>
      <w:lvlText w:val="(%1)"/>
      <w:numFmt w:val="lowerLetter"/>
      <w:start w:val="1"/>
    </w:lvl>
  </w:abstractNum>
  <w:abstractNum w:abstractNumId="204">
    <w:nsid w:val="51A27AA6"/>
    <w:multiLevelType w:val="hybridMultilevel"/>
    <w:lvl w:ilvl="0">
      <w:lvlJc w:val="left"/>
      <w:lvlText w:val="%1"/>
      <w:numFmt w:val="decimal"/>
      <w:start w:val="1"/>
    </w:lvl>
    <w:lvl w:ilvl="1">
      <w:lvlJc w:val="left"/>
      <w:lvlText w:val="(%2)"/>
      <w:numFmt w:val="lowerLetter"/>
      <w:start w:val="2"/>
    </w:lvl>
  </w:abstractNum>
  <w:abstractNum w:abstractNumId="205">
    <w:nsid w:val="613183F2"/>
    <w:multiLevelType w:val="hybridMultilevel"/>
    <w:lvl w:ilvl="0">
      <w:lvlJc w:val="left"/>
      <w:lvlText w:val="%1."/>
      <w:numFmt w:val="decimal"/>
      <w:start w:val="3"/>
    </w:lvl>
    <w:lvl w:ilvl="1">
      <w:lvlJc w:val="left"/>
      <w:lvlText w:val="%2"/>
      <w:numFmt w:val="lowerLetter"/>
      <w:start w:val="1"/>
    </w:lvl>
  </w:abstractNum>
  <w:abstractNum w:abstractNumId="206">
    <w:nsid w:val="634102B4"/>
    <w:multiLevelType w:val="hybridMultilevel"/>
    <w:lvl w:ilvl="0">
      <w:lvlJc w:val="left"/>
      <w:lvlText w:val="(%1)"/>
      <w:numFmt w:val="lowerLetter"/>
      <w:start w:val="1"/>
    </w:lvl>
  </w:abstractNum>
  <w:abstractNum w:abstractNumId="207">
    <w:nsid w:val="65BF9DA8"/>
    <w:multiLevelType w:val="hybridMultilevel"/>
    <w:lvl w:ilvl="0">
      <w:lvlJc w:val="left"/>
      <w:lvlText w:val="(%1)"/>
      <w:numFmt w:val="lowerLetter"/>
      <w:start w:val="1"/>
    </w:lvl>
  </w:abstractNum>
  <w:abstractNum w:abstractNumId="208">
    <w:nsid w:val="21A2ECCA"/>
    <w:multiLevelType w:val="hybridMultilevel"/>
    <w:lvl w:ilvl="0">
      <w:lvlJc w:val="left"/>
      <w:lvlText w:val="%1."/>
      <w:numFmt w:val="decimal"/>
      <w:start w:val="4"/>
    </w:lvl>
  </w:abstractNum>
  <w:abstractNum w:abstractNumId="209">
    <w:nsid w:val="4D5C4899"/>
    <w:multiLevelType w:val="hybridMultilevel"/>
    <w:lvl w:ilvl="0">
      <w:lvlJc w:val="left"/>
      <w:lvlText w:val="%1."/>
      <w:numFmt w:val="decimal"/>
      <w:start w:val="5"/>
    </w:lvl>
  </w:abstractNum>
  <w:abstractNum w:abstractNumId="210">
    <w:nsid w:val="3C3B72B2"/>
    <w:multiLevelType w:val="hybridMultilevel"/>
    <w:lvl w:ilvl="0">
      <w:lvlJc w:val="left"/>
      <w:lvlText w:val="%1."/>
      <w:numFmt w:val="decimal"/>
      <w:start w:val="6"/>
    </w:lvl>
  </w:abstractNum>
  <w:abstractNum w:abstractNumId="211">
    <w:nsid w:val="155EC4C2"/>
    <w:multiLevelType w:val="hybridMultilevel"/>
    <w:lvl w:ilvl="0">
      <w:lvlJc w:val="left"/>
      <w:lvlText w:val="(%1)"/>
      <w:numFmt w:val="lowerLetter"/>
      <w:start w:val="1"/>
    </w:lvl>
  </w:abstractNum>
  <w:abstractNum w:abstractNumId="212">
    <w:nsid w:val="65D2A137"/>
    <w:multiLevelType w:val="hybridMultilevel"/>
    <w:lvl w:ilvl="0">
      <w:lvlJc w:val="left"/>
      <w:lvlText w:val="%1."/>
      <w:numFmt w:val="decimal"/>
      <w:start w:val="7"/>
    </w:lvl>
  </w:abstractNum>
  <w:abstractNum w:abstractNumId="213">
    <w:nsid w:val="6EBB1F2A"/>
    <w:multiLevelType w:val="hybridMultilevel"/>
    <w:lvl w:ilvl="0">
      <w:lvlJc w:val="left"/>
      <w:lvlText w:val="(%1)"/>
      <w:numFmt w:val="lowerLetter"/>
      <w:start w:val="1"/>
    </w:lvl>
  </w:abstractNum>
  <w:abstractNum w:abstractNumId="214">
    <w:nsid w:val="6FBF29CB"/>
    <w:multiLevelType w:val="hybridMultilevel"/>
    <w:lvl w:ilvl="0">
      <w:lvlJc w:val="left"/>
      <w:lvlText w:val="(%1)"/>
      <w:numFmt w:val="lowerLetter"/>
      <w:start w:val="1"/>
    </w:lvl>
  </w:abstractNum>
  <w:abstractNum w:abstractNumId="215">
    <w:nsid w:val="550B8808"/>
    <w:multiLevelType w:val="hybridMultilevel"/>
    <w:lvl w:ilvl="0">
      <w:lvlJc w:val="left"/>
      <w:lvlText w:val="(%1)"/>
      <w:numFmt w:val="lowerLetter"/>
      <w:start w:val="1"/>
    </w:lvl>
  </w:abstractNum>
  <w:abstractNum w:abstractNumId="216">
    <w:nsid w:val="34CC3ACF"/>
    <w:multiLevelType w:val="hybridMultilevel"/>
    <w:lvl w:ilvl="0">
      <w:lvlJc w:val="left"/>
      <w:lvlText w:val="(%1)"/>
      <w:numFmt w:val="lowerLetter"/>
      <w:start w:val="1"/>
    </w:lvl>
  </w:abstractNum>
  <w:abstractNum w:abstractNumId="217">
    <w:nsid w:val="4E556261"/>
    <w:multiLevelType w:val="hybridMultilevel"/>
    <w:lvl w:ilvl="0">
      <w:lvlJc w:val="left"/>
      <w:lvlText w:val="(%1)"/>
      <w:numFmt w:val="lowerLetter"/>
      <w:start w:val="1"/>
    </w:lvl>
  </w:abstractNum>
  <w:abstractNum w:abstractNumId="218">
    <w:nsid w:val="4C672FC9"/>
    <w:multiLevelType w:val="hybridMultilevel"/>
    <w:lvl w:ilvl="0">
      <w:lvlJc w:val="left"/>
      <w:lvlText w:val="%1"/>
      <w:numFmt w:val="decimal"/>
      <w:start w:val="1"/>
    </w:lvl>
    <w:lvl w:ilvl="1">
      <w:lvlJc w:val="left"/>
      <w:lvlText w:val="(%2)"/>
      <w:numFmt w:val="lowerLetter"/>
      <w:start w:val="3"/>
    </w:lvl>
  </w:abstractNum>
  <w:abstractNum w:abstractNumId="219">
    <w:nsid w:val="52A311C3"/>
    <w:multiLevelType w:val="hybridMultilevel"/>
    <w:lvl w:ilvl="0">
      <w:lvlJc w:val="left"/>
      <w:lvlText w:val="%1."/>
      <w:numFmt w:val="decimal"/>
      <w:start w:val="8"/>
    </w:lvl>
    <w:lvl w:ilvl="1">
      <w:lvlJc w:val="left"/>
      <w:lvlText w:val="%2"/>
      <w:numFmt w:val="lowerLetter"/>
      <w:start w:val="1"/>
    </w:lvl>
  </w:abstractNum>
  <w:abstractNum w:abstractNumId="220">
    <w:nsid w:val="44EF6B80"/>
    <w:multiLevelType w:val="hybridMultilevel"/>
    <w:lvl w:ilvl="0">
      <w:lvlJc w:val="left"/>
      <w:lvlText w:val="%1."/>
      <w:numFmt w:val="decimal"/>
      <w:start w:val="9"/>
    </w:lvl>
  </w:abstractNum>
  <w:abstractNum w:abstractNumId="221">
    <w:nsid w:val="12FCDE5E"/>
    <w:multiLevelType w:val="hybridMultilevel"/>
    <w:lvl w:ilvl="0">
      <w:lvlJc w:val="left"/>
      <w:lvlText w:val="(%1)"/>
      <w:numFmt w:val="lowerLetter"/>
      <w:start w:val="1"/>
    </w:lvl>
  </w:abstractNum>
  <w:abstractNum w:abstractNumId="222">
    <w:nsid w:val="4A1D606E"/>
    <w:multiLevelType w:val="hybridMultilevel"/>
    <w:lvl w:ilvl="0">
      <w:lvlJc w:val="left"/>
      <w:lvlText w:val="%1."/>
      <w:numFmt w:val="decimal"/>
      <w:start w:val="1"/>
    </w:lvl>
    <w:lvl w:ilvl="1">
      <w:lvlJc w:val="left"/>
      <w:lvlText w:val="(%2)"/>
      <w:numFmt w:val="lowerLetter"/>
      <w:start w:val="5"/>
    </w:lvl>
  </w:abstractNum>
  <w:abstractNum w:abstractNumId="223">
    <w:nsid w:val="4382503"/>
    <w:multiLevelType w:val="hybridMultilevel"/>
    <w:lvl w:ilvl="0">
      <w:lvlJc w:val="left"/>
      <w:lvlText w:val="%1."/>
      <w:numFmt w:val="decimal"/>
      <w:start w:val="6"/>
    </w:lvl>
  </w:abstractNum>
  <w:abstractNum w:abstractNumId="224">
    <w:nsid w:val="59B76E28"/>
    <w:multiLevelType w:val="hybridMultilevel"/>
    <w:lvl w:ilvl="0">
      <w:lvlJc w:val="left"/>
      <w:lvlText w:val="%1."/>
      <w:numFmt w:val="decimal"/>
      <w:start w:val="7"/>
    </w:lvl>
  </w:abstractNum>
  <w:abstractNum w:abstractNumId="225">
    <w:nsid w:val="4252C2DA"/>
    <w:multiLevelType w:val="hybridMultilevel"/>
    <w:lvl w:ilvl="0">
      <w:lvlJc w:val="left"/>
      <w:lvlText w:val="%1."/>
      <w:numFmt w:val="decimal"/>
      <w:start w:val="14"/>
    </w:lvl>
  </w:abstractNum>
  <w:abstractNum w:abstractNumId="226">
    <w:nsid w:val="6A92EF4C"/>
    <w:multiLevelType w:val="hybridMultilevel"/>
    <w:lvl w:ilvl="0">
      <w:lvlJc w:val="left"/>
      <w:lvlText w:val="%1."/>
      <w:numFmt w:val="decimal"/>
      <w:start w:val="17"/>
    </w:lvl>
  </w:abstractNum>
  <w:abstractNum w:abstractNumId="227">
    <w:nsid w:val="41ED20D7"/>
    <w:multiLevelType w:val="hybridMultilevel"/>
    <w:lvl w:ilvl="0">
      <w:lvlJc w:val="left"/>
      <w:lvlText w:val="%1)"/>
      <w:numFmt w:val="decimal"/>
      <w:start w:val="1"/>
    </w:lvl>
  </w:abstractNum>
  <w:abstractNum w:abstractNumId="228">
    <w:nsid w:val="E6B3F6A"/>
    <w:multiLevelType w:val="hybridMultilevel"/>
    <w:lvl w:ilvl="0">
      <w:lvlJc w:val="left"/>
      <w:lvlText w:val="%1."/>
      <w:numFmt w:val="decimal"/>
      <w:start w:val="1"/>
    </w:lvl>
    <w:lvl w:ilvl="1">
      <w:lvlJc w:val="left"/>
      <w:lvlText w:val="(%2)"/>
      <w:numFmt w:val="lowerLetter"/>
      <w:start w:val="1"/>
    </w:lvl>
  </w:abstractNum>
  <w:abstractNum w:abstractNumId="229">
    <w:nsid w:val="3EB21819"/>
    <w:multiLevelType w:val="hybridMultilevel"/>
    <w:lvl w:ilvl="0">
      <w:lvlJc w:val="left"/>
      <w:lvlText w:val="(%1)"/>
      <w:numFmt w:val="lowerLetter"/>
      <w:start w:val="1"/>
    </w:lvl>
  </w:abstractNum>
  <w:abstractNum w:abstractNumId="230">
    <w:nsid w:val="41531DED"/>
    <w:multiLevelType w:val="hybridMultilevel"/>
    <w:lvl w:ilvl="0">
      <w:lvlJc w:val="left"/>
      <w:lvlText w:val="(%1)"/>
      <w:numFmt w:val="lowerLetter"/>
      <w:start w:val="7"/>
    </w:lvl>
  </w:abstractNum>
  <w:abstractNum w:abstractNumId="231">
    <w:nsid w:val="6353CD2"/>
    <w:multiLevelType w:val="hybridMultilevel"/>
    <w:lvl w:ilvl="0">
      <w:lvlJc w:val="left"/>
      <w:lvlText w:val="%1."/>
      <w:numFmt w:val="upperLetter"/>
      <w:start w:val="1"/>
    </w:lvl>
  </w:abstractNum>
  <w:abstractNum w:abstractNumId="232">
    <w:nsid w:val="683CAAD3"/>
    <w:multiLevelType w:val="hybridMultilevel"/>
    <w:lvl w:ilvl="0">
      <w:lvlJc w:val="left"/>
      <w:lvlText w:val="%1"/>
      <w:numFmt w:val="lowerRoman"/>
      <w:start w:val="1"/>
    </w:lvl>
    <w:lvl w:ilvl="1">
      <w:lvlJc w:val="left"/>
      <w:lvlText w:val="%2."/>
      <w:numFmt w:val="decimal"/>
      <w:start w:val="1"/>
    </w:lvl>
  </w:abstractNum>
  <w:abstractNum w:abstractNumId="233">
    <w:nsid w:val="313C7C99"/>
    <w:multiLevelType w:val="hybridMultilevel"/>
    <w:lvl w:ilvl="0">
      <w:lvlJc w:val="left"/>
      <w:lvlText w:val="(%1)"/>
      <w:numFmt w:val="lowerRoman"/>
      <w:start w:val="2"/>
    </w:lvl>
    <w:lvl w:ilvl="1">
      <w:lvlJc w:val="left"/>
      <w:lvlText w:val="%2."/>
      <w:numFmt w:val="decimal"/>
      <w:start w:val="4"/>
    </w:lvl>
  </w:abstractNum>
  <w:abstractNum w:abstractNumId="234">
    <w:nsid w:val="519EB94C"/>
    <w:multiLevelType w:val="hybridMultilevel"/>
    <w:lvl w:ilvl="0">
      <w:lvlJc w:val="left"/>
      <w:lvlText w:val="(%1)"/>
      <w:numFmt w:val="lowerLetter"/>
      <w:start w:val="1"/>
    </w:lvl>
  </w:abstractNum>
  <w:abstractNum w:abstractNumId="235">
    <w:nsid w:val="39DF2579"/>
    <w:multiLevelType w:val="hybridMultilevel"/>
    <w:lvl w:ilvl="0">
      <w:lvlJc w:val="left"/>
      <w:lvlText w:val="(%1)"/>
      <w:numFmt w:val="lowerLetter"/>
      <w:start w:val="2"/>
    </w:lvl>
  </w:abstractNum>
  <w:abstractNum w:abstractNumId="236">
    <w:nsid w:val="126E008B"/>
    <w:multiLevelType w:val="hybridMultilevel"/>
    <w:lvl w:ilvl="0">
      <w:lvlJc w:val="left"/>
      <w:lvlText w:val="(%1)"/>
      <w:numFmt w:val="lowerLetter"/>
      <w:start w:val="9"/>
    </w:lvl>
  </w:abstractNum>
  <w:abstractNum w:abstractNumId="237">
    <w:nsid w:val="34DFBC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8">
    <w:nsid w:val="1F9EC322"/>
    <w:multiLevelType w:val="hybridMultilevel"/>
    <w:lvl w:ilvl="0">
      <w:lvlJc w:val="left"/>
      <w:lvlText w:val="(%1)"/>
      <w:numFmt w:val="lowerRoman"/>
      <w:start w:val="5"/>
    </w:lvl>
  </w:abstractNum>
  <w:abstractNum w:abstractNumId="239">
    <w:nsid w:val="3410ED56"/>
    <w:multiLevelType w:val="hybridMultilevel"/>
    <w:lvl w:ilvl="0">
      <w:lvlJc w:val="left"/>
      <w:lvlText w:val="%1"/>
      <w:numFmt w:val="decimal"/>
      <w:start w:val="1"/>
    </w:lvl>
    <w:lvl w:ilvl="1">
      <w:lvlJc w:val="left"/>
      <w:lvlText w:val="(%2)"/>
      <w:numFmt w:val="lowerLetter"/>
      <w:start w:val="4"/>
    </w:lvl>
  </w:abstractNum>
  <w:abstractNum w:abstractNumId="240">
    <w:nsid w:val="23C049A"/>
    <w:multiLevelType w:val="hybridMultilevel"/>
    <w:lvl w:ilvl="0">
      <w:lvlJc w:val="left"/>
      <w:lvlText w:val="%1."/>
      <w:numFmt w:val="decimal"/>
      <w:start w:val="2"/>
    </w:lvl>
    <w:lvl w:ilvl="1">
      <w:lvlJc w:val="left"/>
      <w:lvlText w:val="%2"/>
      <w:numFmt w:val="lowerLetter"/>
      <w:start w:val="1"/>
    </w:lvl>
  </w:abstractNum>
  <w:abstractNum w:abstractNumId="241">
    <w:nsid w:val="5BDA35D4"/>
    <w:multiLevelType w:val="hybridMultilevel"/>
    <w:lvl w:ilvl="0">
      <w:lvlJc w:val="left"/>
      <w:lvlText w:val="%1."/>
      <w:numFmt w:val="decimal"/>
      <w:start w:val="5"/>
    </w:lvl>
    <w:lvl w:ilvl="1">
      <w:lvlJc w:val="left"/>
      <w:lvlText w:val="(%2)"/>
      <w:numFmt w:val="lowerLetter"/>
      <w:start w:val="1"/>
    </w:lvl>
  </w:abstractNum>
  <w:abstractNum w:abstractNumId="242">
    <w:nsid w:val="496FB218"/>
    <w:multiLevelType w:val="hybridMultilevel"/>
    <w:lvl w:ilvl="0">
      <w:lvlJc w:val="left"/>
      <w:lvlText w:val="(%1)"/>
      <w:numFmt w:val="lowerLetter"/>
      <w:start w:val="6"/>
    </w:lvl>
  </w:abstractNum>
  <w:abstractNum w:abstractNumId="243">
    <w:nsid w:val="680EA5D1"/>
    <w:multiLevelType w:val="hybridMultilevel"/>
    <w:lvl w:ilvl="0">
      <w:lvlJc w:val="left"/>
      <w:lvlText w:val="%1."/>
      <w:numFmt w:val="decimal"/>
      <w:start w:val="8"/>
    </w:lvl>
    <w:lvl w:ilvl="1">
      <w:lvlJc w:val="left"/>
      <w:lvlText w:val="(%2)"/>
      <w:numFmt w:val="lowerLetter"/>
      <w:start w:val="1"/>
    </w:lvl>
  </w:abstractNum>
  <w:abstractNum w:abstractNumId="244">
    <w:nsid w:val="4A9554FE"/>
    <w:multiLevelType w:val="hybridMultilevel"/>
    <w:lvl w:ilvl="0">
      <w:lvlJc w:val="left"/>
      <w:lvlText w:val="%1"/>
      <w:numFmt w:val="decimal"/>
      <w:start w:val="1"/>
    </w:lvl>
    <w:lvl w:ilvl="1">
      <w:lvlJc w:val="left"/>
      <w:lvlText w:val="(%2)"/>
      <w:numFmt w:val="lowerLetter"/>
      <w:start w:val="2"/>
    </w:lvl>
  </w:abstractNum>
  <w:abstractNum w:abstractNumId="245">
    <w:nsid w:val="392EDBE4"/>
    <w:multiLevelType w:val="hybridMultilevel"/>
    <w:lvl w:ilvl="0">
      <w:lvlJc w:val="left"/>
      <w:lvlText w:val="%1."/>
      <w:numFmt w:val="decimal"/>
      <w:start w:val="9"/>
    </w:lvl>
    <w:lvl w:ilvl="1">
      <w:lvlJc w:val="left"/>
      <w:lvlText w:val="(%2)"/>
      <w:numFmt w:val="lowerLetter"/>
      <w:start w:val="1"/>
    </w:lvl>
  </w:abstractNum>
  <w:abstractNum w:abstractNumId="246">
    <w:nsid w:val="3D1A2DD9"/>
    <w:multiLevelType w:val="hybridMultilevel"/>
    <w:lvl w:ilvl="0">
      <w:lvlJc w:val="left"/>
      <w:lvlText w:val="(%1)"/>
      <w:numFmt w:val="lowerLetter"/>
      <w:start w:val="3"/>
    </w:lvl>
  </w:abstractNum>
  <w:abstractNum w:abstractNumId="247">
    <w:nsid w:val="7F618FCD"/>
    <w:multiLevelType w:val="hybridMultilevel"/>
    <w:lvl w:ilvl="0">
      <w:lvlJc w:val="left"/>
      <w:lvlText w:val="%1."/>
      <w:numFmt w:val="decimal"/>
      <w:start w:val="10"/>
    </w:lvl>
    <w:lvl w:ilvl="1">
      <w:lvlJc w:val="left"/>
      <w:lvlText w:val="(%2)"/>
      <w:numFmt w:val="lowerLetter"/>
      <w:start w:val="1"/>
    </w:lvl>
  </w:abstractNum>
  <w:abstractNum w:abstractNumId="248">
    <w:nsid w:val="7843E45"/>
    <w:multiLevelType w:val="hybridMultilevel"/>
    <w:lvl w:ilvl="0">
      <w:lvlJc w:val="left"/>
      <w:lvlText w:val="%1."/>
      <w:numFmt w:val="decimal"/>
      <w:start w:val="12"/>
    </w:lvl>
  </w:abstractNum>
  <w:abstractNum w:abstractNumId="249">
    <w:nsid w:val="9815DA3"/>
    <w:multiLevelType w:val="hybridMultilevel"/>
    <w:lvl w:ilvl="0">
      <w:lvlJc w:val="left"/>
      <w:lvlText w:val="%1."/>
      <w:numFmt w:val="decimal"/>
      <w:start w:val="18"/>
    </w:lvl>
  </w:abstractNum>
  <w:abstractNum w:abstractNumId="250">
    <w:nsid w:val="5204A191"/>
    <w:multiLevelType w:val="hybridMultilevel"/>
    <w:lvl w:ilvl="0">
      <w:lvlJc w:val="left"/>
      <w:lvlText w:val="%1."/>
      <w:numFmt w:val="decimal"/>
      <w:start w:val="20"/>
    </w:lvl>
  </w:abstractNum>
  <w:abstractNum w:abstractNumId="251">
    <w:nsid w:val="4C73A9C6"/>
    <w:multiLevelType w:val="hybridMultilevel"/>
    <w:lvl w:ilvl="0">
      <w:lvlJc w:val="left"/>
      <w:lvlText w:val="%1."/>
      <w:numFmt w:val="decimal"/>
      <w:start w:val="21"/>
    </w:lvl>
  </w:abstractNum>
  <w:abstractNum w:abstractNumId="252">
    <w:nsid w:val="1C7E3C01"/>
    <w:multiLevelType w:val="hybridMultilevel"/>
    <w:lvl w:ilvl="0">
      <w:lvlJc w:val="left"/>
      <w:lvlText w:val="%1)"/>
      <w:numFmt w:val="decimal"/>
      <w:start w:val="1"/>
    </w:lvl>
  </w:abstractNum>
  <w:abstractNum w:abstractNumId="253">
    <w:nsid w:val="1C2201FF"/>
    <w:multiLevelType w:val="hybridMultilevel"/>
    <w:lvl w:ilvl="0">
      <w:lvlJc w:val="left"/>
      <w:lvlText w:val="%1)"/>
      <w:numFmt w:val="decimal"/>
      <w:start w:val="1"/>
    </w:lvl>
  </w:abstractNum>
  <w:abstractNum w:abstractNumId="254">
    <w:nsid w:val="50ABCEC9"/>
    <w:multiLevelType w:val="hybridMultilevel"/>
    <w:lvl w:ilvl="0">
      <w:lvlJc w:val="left"/>
      <w:lvlText w:val="%1)"/>
      <w:numFmt w:val="decimal"/>
      <w:start w:val="1"/>
    </w:lvl>
    <w:lvl w:ilvl="1">
      <w:lvlJc w:val="left"/>
      <w:lvlText w:val="%2."/>
      <w:numFmt w:val="decimal"/>
      <w:start w:val="1"/>
    </w:lvl>
  </w:abstractNum>
  <w:abstractNum w:abstractNumId="255">
    <w:nsid w:val="7635AA2A"/>
    <w:multiLevelType w:val="hybridMultilevel"/>
    <w:lvl w:ilvl="0">
      <w:lvlJc w:val="left"/>
      <w:lvlText w:val="%1)"/>
      <w:numFmt w:val="decimal"/>
      <w:start w:val="5"/>
    </w:lvl>
    <w:lvl w:ilvl="1">
      <w:lvlJc w:val="left"/>
      <w:lvlText w:val="%2."/>
      <w:numFmt w:val="decimal"/>
      <w:start w:val="1"/>
    </w:lvl>
  </w:abstractNum>
  <w:abstractNum w:abstractNumId="256">
    <w:nsid w:val="5E74C4D9"/>
    <w:multiLevelType w:val="hybridMultilevel"/>
    <w:lvl w:ilvl="0">
      <w:lvlJc w:val="left"/>
      <w:lvlText w:val="%1)"/>
      <w:numFmt w:val="decimal"/>
      <w:start w:val="6"/>
    </w:lvl>
  </w:abstractNum>
  <w:abstractNum w:abstractNumId="257">
    <w:nsid w:val="3B3EBE15"/>
    <w:multiLevelType w:val="hybridMultilevel"/>
    <w:lvl w:ilvl="0">
      <w:lvlJc w:val="left"/>
      <w:lvlText w:val="%1)"/>
      <w:numFmt w:val="decimal"/>
      <w:start w:val="1"/>
    </w:lvl>
  </w:abstractNum>
  <w:abstractNum w:abstractNumId="258">
    <w:nsid w:val="3822CB01"/>
    <w:multiLevelType w:val="hybridMultilevel"/>
    <w:lvl w:ilvl="0">
      <w:lvlJc w:val="left"/>
      <w:lvlText w:val="%1)"/>
      <w:numFmt w:val="decimal"/>
      <w:start w:val="4"/>
    </w:lvl>
  </w:abstractNum>
  <w:abstractNum w:abstractNumId="259">
    <w:nsid w:val="6CE00443"/>
    <w:multiLevelType w:val="hybridMultilevel"/>
    <w:lvl w:ilvl="0">
      <w:lvlJc w:val="left"/>
      <w:lvlText w:val="%1)"/>
      <w:numFmt w:val="decimal"/>
      <w:start w:val="5"/>
    </w:lvl>
  </w:abstractNum>
  <w:abstractNum w:abstractNumId="260">
    <w:nsid w:val="79F0D62F"/>
    <w:multiLevelType w:val="hybridMultilevel"/>
    <w:lvl w:ilvl="0">
      <w:lvlJc w:val="left"/>
      <w:lvlText w:val="%1)"/>
      <w:numFmt w:val="decimal"/>
      <w:start w:val="1"/>
    </w:lvl>
  </w:abstractNum>
  <w:abstractNum w:abstractNumId="261">
    <w:nsid w:val="7975E8EE"/>
    <w:multiLevelType w:val="hybridMultilevel"/>
    <w:lvl w:ilvl="0">
      <w:lvlJc w:val="left"/>
      <w:lvlText w:val="%1)"/>
      <w:numFmt w:val="decimal"/>
      <w:start w:val="1"/>
    </w:lvl>
  </w:abstractNum>
  <w:abstractNum w:abstractNumId="262">
    <w:nsid w:val="73154115"/>
    <w:multiLevelType w:val="hybridMultilevel"/>
    <w:lvl w:ilvl="0">
      <w:lvlJc w:val="left"/>
      <w:lvlText w:val="%1)"/>
      <w:numFmt w:val="decimal"/>
      <w:start w:val="5"/>
    </w:lvl>
  </w:abstractNum>
  <w:abstractNum w:abstractNumId="263">
    <w:nsid w:val="622D8102"/>
    <w:multiLevelType w:val="hybridMultilevel"/>
    <w:lvl w:ilvl="0">
      <w:lvlJc w:val="left"/>
      <w:lvlText w:val="%1)"/>
      <w:numFmt w:val="decimal"/>
      <w:start w:val="1"/>
    </w:lvl>
  </w:abstractNum>
  <w:abstractNum w:abstractNumId="264">
    <w:nsid w:val="2AB26587"/>
    <w:multiLevelType w:val="hybridMultilevel"/>
    <w:lvl w:ilvl="0">
      <w:lvlJc w:val="left"/>
      <w:lvlText w:val="%1)"/>
      <w:numFmt w:val="decimal"/>
      <w:start w:val="1"/>
    </w:lvl>
  </w:abstractNum>
  <w:abstractNum w:abstractNumId="265">
    <w:nsid w:val="44B3FA61"/>
    <w:multiLevelType w:val="hybridMultilevel"/>
    <w:lvl w:ilvl="0">
      <w:lvlJc w:val="left"/>
      <w:lvlText w:val="%1)"/>
      <w:numFmt w:val="decimal"/>
      <w:start w:val="1"/>
    </w:lvl>
  </w:abstractNum>
  <w:abstractNum w:abstractNumId="266">
    <w:nsid w:val="1C0CA67C"/>
    <w:multiLevelType w:val="hybridMultilevel"/>
    <w:lvl w:ilvl="0">
      <w:lvlJc w:val="left"/>
      <w:lvlText w:val="%1)"/>
      <w:numFmt w:val="decimal"/>
      <w:start w:val="1"/>
    </w:lvl>
  </w:abstractNum>
  <w:abstractNum w:abstractNumId="267">
    <w:nsid w:val="3D206613"/>
    <w:multiLevelType w:val="hybridMultilevel"/>
    <w:lvl w:ilvl="0">
      <w:lvlJc w:val="left"/>
      <w:lvlText w:val="%1)"/>
      <w:numFmt w:val="decimal"/>
      <w:start w:val="3"/>
    </w:lvl>
  </w:abstractNum>
  <w:abstractNum w:abstractNumId="268">
    <w:nsid w:val="7993B662"/>
    <w:multiLevelType w:val="hybridMultilevel"/>
    <w:lvl w:ilvl="0">
      <w:lvlJc w:val="left"/>
      <w:lvlText w:val="%1)"/>
      <w:numFmt w:val="decimal"/>
      <w:start w:val="1"/>
    </w:lvl>
  </w:abstractNum>
  <w:abstractNum w:abstractNumId="269">
    <w:nsid w:val="3BAB699E"/>
    <w:multiLevelType w:val="hybridMultilevel"/>
    <w:lvl w:ilvl="0">
      <w:lvlJc w:val="left"/>
      <w:lvlText w:val="%1)"/>
      <w:numFmt w:val="decimal"/>
      <w:start w:val="1"/>
    </w:lvl>
  </w:abstractNum>
  <w:abstractNum w:abstractNumId="270">
    <w:nsid w:val="71315369"/>
    <w:multiLevelType w:val="hybridMultilevel"/>
    <w:lvl w:ilvl="0">
      <w:lvlJc w:val="left"/>
      <w:lvlText w:val="•"/>
      <w:numFmt w:val="bullet"/>
      <w:start w:val="1"/>
    </w:lvl>
  </w:abstractNum>
  <w:abstractNum w:abstractNumId="271">
    <w:nsid w:val="7BCFBAFC"/>
    <w:multiLevelType w:val="hybridMultilevel"/>
    <w:lvl w:ilvl="0">
      <w:lvlJc w:val="left"/>
      <w:lvlText w:val="•"/>
      <w:numFmt w:val="bullet"/>
      <w:start w:val="1"/>
    </w:lvl>
  </w:abstractNum>
  <w:abstractNum w:abstractNumId="272">
    <w:nsid w:val="17859F72"/>
    <w:multiLevelType w:val="hybridMultilevel"/>
    <w:lvl w:ilvl="0">
      <w:lvlJc w:val="left"/>
      <w:lvlText w:val="%1)"/>
      <w:numFmt w:val="decimal"/>
      <w:start w:val="1"/>
    </w:lvl>
  </w:abstractNum>
  <w:abstractNum w:abstractNumId="273">
    <w:nsid w:val="3AA10581"/>
    <w:multiLevelType w:val="hybridMultilevel"/>
    <w:lvl w:ilvl="0">
      <w:lvlJc w:val="left"/>
      <w:lvlText w:val="%1)"/>
      <w:numFmt w:val="decimal"/>
      <w:start w:val="1"/>
    </w:lvl>
  </w:abstractNum>
  <w:abstractNum w:abstractNumId="274">
    <w:nsid w:val="63DE60CD"/>
    <w:multiLevelType w:val="hybridMultilevel"/>
    <w:lvl w:ilvl="0">
      <w:lvlJc w:val="left"/>
      <w:lvlText w:val="•"/>
      <w:numFmt w:val="bullet"/>
      <w:start w:val="1"/>
    </w:lvl>
  </w:abstractNum>
  <w:abstractNum w:abstractNumId="275">
    <w:nsid w:val="621AF471"/>
    <w:multiLevelType w:val="hybridMultilevel"/>
    <w:lvl w:ilvl="0">
      <w:lvlJc w:val="left"/>
      <w:lvlText w:val="(%1)"/>
      <w:numFmt w:val="decimal"/>
      <w:start w:val="7"/>
    </w:lvl>
  </w:abstractNum>
  <w:abstractNum w:abstractNumId="276">
    <w:nsid w:val="73CFE165"/>
    <w:multiLevelType w:val="hybridMultilevel"/>
    <w:lvl w:ilvl="0">
      <w:lvlJc w:val="left"/>
      <w:lvlText w:val="(%1)"/>
      <w:numFmt w:val="decimal"/>
      <w:start w:val="2"/>
    </w:lvl>
  </w:abstractNum>
  <w:abstractNum w:abstractNumId="277">
    <w:nsid w:val="20F88EA6"/>
    <w:multiLevelType w:val="hybridMultilevel"/>
    <w:lvl w:ilvl="0">
      <w:lvlJc w:val="left"/>
      <w:lvlText w:val="%1."/>
      <w:numFmt w:val="decimal"/>
      <w:start w:val="1"/>
    </w:lvl>
  </w:abstractNum>
  <w:abstractNum w:abstractNumId="278">
    <w:nsid w:val="617C843E"/>
    <w:multiLevelType w:val="hybridMultilevel"/>
    <w:lvl w:ilvl="0">
      <w:lvlJc w:val="left"/>
      <w:lvlText w:val="(%1)"/>
      <w:numFmt w:val="lowerLetter"/>
      <w:start w:val="1"/>
    </w:lvl>
  </w:abstractNum>
  <w:abstractNum w:abstractNumId="279">
    <w:nsid w:val="7B541FAB"/>
    <w:multiLevelType w:val="hybridMultilevel"/>
    <w:lvl w:ilvl="0">
      <w:lvlJc w:val="left"/>
      <w:lvlText w:val="(%1)"/>
      <w:numFmt w:val="lowerLetter"/>
      <w:start w:val="3"/>
    </w:lvl>
  </w:abstractNum>
  <w:abstractNum w:abstractNumId="280">
    <w:nsid w:val="2A79EC49"/>
    <w:multiLevelType w:val="hybridMultilevel"/>
    <w:lvl w:ilvl="0">
      <w:lvlJc w:val="left"/>
      <w:lvlText w:val="(%1)"/>
      <w:numFmt w:val="lowerLetter"/>
      <w:start w:val="5"/>
    </w:lvl>
  </w:abstractNum>
  <w:abstractNum w:abstractNumId="281">
    <w:nsid w:val="338125CF"/>
    <w:multiLevelType w:val="hybridMultilevel"/>
    <w:lvl w:ilvl="0">
      <w:lvlJc w:val="left"/>
      <w:lvlText w:val="%1."/>
      <w:numFmt w:val="decimal"/>
      <w:start w:val="2"/>
    </w:lvl>
  </w:abstractNum>
  <w:abstractNum w:abstractNumId="282">
    <w:nsid w:val="47C7C971"/>
    <w:multiLevelType w:val="hybridMultilevel"/>
    <w:lvl w:ilvl="0">
      <w:lvlJc w:val="left"/>
      <w:lvlText w:val="(%1)"/>
      <w:numFmt w:val="lowerLetter"/>
      <w:start w:val="1"/>
    </w:lvl>
  </w:abstractNum>
  <w:abstractNum w:abstractNumId="283">
    <w:nsid w:val="46F8284B"/>
    <w:multiLevelType w:val="hybridMultilevel"/>
    <w:lvl w:ilvl="0">
      <w:lvlJc w:val="left"/>
      <w:lvlText w:val="(%1)"/>
      <w:numFmt w:val="lowerLetter"/>
      <w:start w:val="2"/>
    </w:lvl>
  </w:abstractNum>
  <w:abstractNum w:abstractNumId="284">
    <w:nsid w:val="4FA327CE"/>
    <w:multiLevelType w:val="hybridMultilevel"/>
    <w:lvl w:ilvl="0">
      <w:lvlJc w:val="left"/>
      <w:lvlText w:val="%1."/>
      <w:numFmt w:val="decimal"/>
      <w:start w:val="4"/>
    </w:lvl>
  </w:abstractNum>
  <w:abstractNum w:abstractNumId="285">
    <w:nsid w:val="1873983A"/>
    <w:multiLevelType w:val="hybridMultilevel"/>
    <w:lvl w:ilvl="0">
      <w:lvlJc w:val="left"/>
      <w:lvlText w:val="(%1)"/>
      <w:numFmt w:val="lowerLetter"/>
      <w:start w:val="1"/>
    </w:lvl>
  </w:abstractNum>
  <w:abstractNum w:abstractNumId="286">
    <w:nsid w:val="3D2DD275"/>
    <w:multiLevelType w:val="hybridMultilevel"/>
    <w:lvl w:ilvl="0">
      <w:lvlJc w:val="left"/>
      <w:lvlText w:val="%1."/>
      <w:numFmt w:val="decimal"/>
      <w:start w:val="6"/>
    </w:lvl>
  </w:abstractNum>
  <w:abstractNum w:abstractNumId="287">
    <w:nsid w:val="2E17ECA7"/>
    <w:multiLevelType w:val="hybridMultilevel"/>
    <w:lvl w:ilvl="0">
      <w:lvlJc w:val="left"/>
      <w:lvlText w:val="%1"/>
      <w:numFmt w:val="lowerRoman"/>
      <w:start w:val="1"/>
    </w:lvl>
    <w:lvl w:ilvl="1">
      <w:lvlJc w:val="left"/>
      <w:lvlText w:val="(%2)"/>
      <w:numFmt w:val="lowerLetter"/>
      <w:start w:val="1"/>
    </w:lvl>
  </w:abstractNum>
  <w:abstractNum w:abstractNumId="288">
    <w:nsid w:val="53B2564F"/>
    <w:multiLevelType w:val="hybridMultilevel"/>
    <w:lvl w:ilvl="0">
      <w:lvlJc w:val="left"/>
      <w:lvlText w:val="(%1)"/>
      <w:numFmt w:val="lowerRoman"/>
      <w:start w:val="4"/>
    </w:lvl>
    <w:lvl w:ilvl="1">
      <w:lvlJc w:val="left"/>
      <w:lvlText w:val="(%2)"/>
      <w:numFmt w:val="lowerLetter"/>
      <w:start w:val="2"/>
    </w:lvl>
  </w:abstractNum>
  <w:abstractNum w:abstractNumId="289">
    <w:nsid w:val="75509D76"/>
    <w:multiLevelType w:val="hybridMultilevel"/>
    <w:lvl w:ilvl="0">
      <w:lvlJc w:val="left"/>
      <w:lvlText w:val="%1."/>
      <w:numFmt w:val="decimal"/>
      <w:start w:val="7"/>
    </w:lvl>
  </w:abstractNum>
  <w:abstractNum w:abstractNumId="290">
    <w:nsid w:val="1AF7F0EA"/>
    <w:multiLevelType w:val="hybridMultilevel"/>
    <w:lvl w:ilvl="0">
      <w:lvlJc w:val="left"/>
      <w:lvlText w:val="(%1)"/>
      <w:numFmt w:val="lowerLetter"/>
      <w:start w:val="1"/>
    </w:lvl>
  </w:abstractNum>
  <w:abstractNum w:abstractNumId="291">
    <w:nsid w:val="4DA32C7E"/>
    <w:multiLevelType w:val="hybridMultilevel"/>
    <w:lvl w:ilvl="0">
      <w:lvlJc w:val="left"/>
      <w:lvlText w:val="%1."/>
      <w:numFmt w:val="decimal"/>
      <w:start w:val="10"/>
    </w:lvl>
  </w:abstractNum>
  <w:abstractNum w:abstractNumId="292">
    <w:nsid w:val="6EC68664"/>
    <w:multiLevelType w:val="hybridMultilevel"/>
    <w:lvl w:ilvl="0">
      <w:lvlJc w:val="left"/>
      <w:lvlText w:val="(%1)"/>
      <w:numFmt w:val="lowerLetter"/>
      <w:start w:val="1"/>
    </w:lvl>
  </w:abstractNum>
  <w:abstractNum w:abstractNumId="293">
    <w:nsid w:val="E0D31FF"/>
    <w:multiLevelType w:val="hybridMultilevel"/>
    <w:lvl w:ilvl="0">
      <w:lvlJc w:val="left"/>
      <w:lvlText w:val="(%1)"/>
      <w:numFmt w:val="lowerLetter"/>
      <w:start w:val="2"/>
    </w:lvl>
  </w:abstractNum>
  <w:abstractNum w:abstractNumId="294">
    <w:nsid w:val="2FD0AD81"/>
    <w:multiLevelType w:val="hybridMultilevel"/>
    <w:lvl w:ilvl="0">
      <w:lvlJc w:val="left"/>
      <w:lvlText w:val="%1"/>
      <w:numFmt w:val="lowerLetter"/>
      <w:start w:val="1"/>
    </w:lvl>
    <w:lvl w:ilvl="1">
      <w:lvlJc w:val="left"/>
      <w:lvlText w:val="(%2)"/>
      <w:numFmt w:val="lowerLetter"/>
      <w:start w:val="7"/>
    </w:lvl>
  </w:abstractNum>
  <w:abstractNum w:abstractNumId="295">
    <w:nsid w:val="1978EBEB"/>
    <w:multiLevelType w:val="hybridMultilevel"/>
    <w:lvl w:ilvl="0">
      <w:lvlJc w:val="left"/>
      <w:lvlText w:val="(%1)"/>
      <w:numFmt w:val="lowerLetter"/>
      <w:start w:val="9"/>
    </w:lvl>
    <w:lvl w:ilvl="1">
      <w:lvlJc w:val="left"/>
      <w:lvlText w:val="%2"/>
      <w:numFmt w:val="lowerLetter"/>
      <w:start w:val="1"/>
    </w:lvl>
  </w:abstractNum>
  <w:abstractNum w:abstractNumId="296">
    <w:nsid w:val="52C12C61"/>
    <w:multiLevelType w:val="hybridMultilevel"/>
    <w:lvl w:ilvl="0">
      <w:lvlJc w:val="left"/>
      <w:lvlText w:val="(%1)"/>
      <w:numFmt w:val="lowerLetter"/>
      <w:start w:val="8"/>
    </w:lvl>
  </w:abstractNum>
  <w:abstractNum w:abstractNumId="297">
    <w:nsid w:val="4BDD53FD"/>
    <w:multiLevelType w:val="hybridMultilevel"/>
    <w:lvl w:ilvl="0">
      <w:lvlJc w:val="left"/>
      <w:lvlText w:val="%1."/>
      <w:numFmt w:val="upperLetter"/>
      <w:start w:val="9"/>
    </w:lvl>
  </w:abstractNum>
  <w:abstractNum w:abstractNumId="298">
    <w:nsid w:val="569951FE"/>
    <w:multiLevelType w:val="hybridMultilevel"/>
    <w:lvl w:ilvl="0">
      <w:lvlJc w:val="left"/>
      <w:lvlText w:val="%1."/>
      <w:numFmt w:val="upperLetter"/>
      <w:start w:val="61"/>
    </w:lvl>
  </w:abstractNum>
  <w:abstractNum w:abstractNumId="299">
    <w:nsid w:val="4C54E2C3"/>
    <w:multiLevelType w:val="hybridMultilevel"/>
    <w:lvl w:ilvl="0">
      <w:lvlJc w:val="left"/>
      <w:lvlText w:val="(%1)"/>
      <w:numFmt w:val="lowerRoman"/>
      <w:start w:val="3"/>
    </w:lvl>
  </w:abstractNum>
  <w:abstractNum w:abstractNumId="300">
    <w:nsid w:val="788BD9B"/>
    <w:multiLevelType w:val="hybridMultilevel"/>
    <w:lvl w:ilvl="0">
      <w:lvlJc w:val="left"/>
      <w:lvlText w:val="(%1)"/>
      <w:numFmt w:val="decimal"/>
      <w:start w:val="1"/>
    </w:lvl>
  </w:abstractNum>
  <w:abstractNum w:abstractNumId="301">
    <w:nsid w:val="47CAA567"/>
    <w:multiLevelType w:val="hybridMultilevel"/>
    <w:lvl w:ilvl="0">
      <w:lvlJc w:val="left"/>
      <w:lvlText w:val="(%1)"/>
      <w:numFmt w:val="decimal"/>
      <w:start w:val="2"/>
    </w:lvl>
  </w:abstractNum>
  <w:abstractNum w:abstractNumId="302">
    <w:nsid w:val="48249DBF"/>
    <w:multiLevelType w:val="hybridMultilevel"/>
    <w:lvl w:ilvl="0">
      <w:lvlJc w:val="left"/>
      <w:lvlText w:val="(%1)"/>
      <w:numFmt w:val="decimal"/>
      <w:start w:val="1"/>
    </w:lvl>
  </w:abstractNum>
  <w:abstractNum w:abstractNumId="303">
    <w:nsid w:val="1F0E5D0D"/>
    <w:multiLevelType w:val="hybridMultilevel"/>
    <w:lvl w:ilvl="0">
      <w:lvlJc w:val="left"/>
      <w:lvlText w:val="(%1)"/>
      <w:numFmt w:val="lowerLetter"/>
      <w:start w:val="1"/>
    </w:lvl>
  </w:abstractNum>
  <w:abstractNum w:abstractNumId="304">
    <w:nsid w:val="26BAAE9"/>
    <w:multiLevelType w:val="hybridMultilevel"/>
    <w:lvl w:ilvl="0">
      <w:lvlJc w:val="left"/>
      <w:lvlText w:val="(%1)"/>
      <w:numFmt w:val="lowerLetter"/>
      <w:start w:val="9"/>
    </w:lvl>
  </w:abstractNum>
  <w:abstractNum w:abstractNumId="305">
    <w:nsid w:val="2C02FE8C"/>
    <w:multiLevelType w:val="hybridMultilevel"/>
    <w:lvl w:ilvl="0">
      <w:lvlJc w:val="left"/>
      <w:lvlText w:val="(%1)"/>
      <w:numFmt w:val="lowerLetter"/>
      <w:start w:val="17"/>
    </w:lvl>
  </w:abstractNum>
  <w:abstractNum w:abstractNumId="306">
    <w:nsid w:val="129517E"/>
    <w:multiLevelType w:val="hybridMultilevel"/>
    <w:lvl w:ilvl="0">
      <w:lvlJc w:val="left"/>
      <w:lvlText w:val="(%1)"/>
      <w:numFmt w:val="lowerLetter"/>
      <w:start w:val="19"/>
    </w:lvl>
  </w:abstractNum>
  <w:abstractNum w:abstractNumId="307">
    <w:nsid w:val="763B8C4E"/>
    <w:multiLevelType w:val="hybridMultilevel"/>
    <w:lvl w:ilvl="0">
      <w:lvlJc w:val="left"/>
      <w:lvlText w:val="(%1)"/>
      <w:numFmt w:val="lowerLetter"/>
      <w:start w:val="27"/>
    </w:lvl>
  </w:abstractNum>
  <w:abstractNum w:abstractNumId="308">
    <w:nsid w:val="4CFB8D32"/>
    <w:multiLevelType w:val="hybridMultilevel"/>
    <w:lvl w:ilvl="0">
      <w:lvlJc w:val="left"/>
      <w:lvlText w:val="(%1)"/>
      <w:numFmt w:val="lowerLetter"/>
      <w:start w:val="33"/>
    </w:lvl>
  </w:abstractNum>
  <w:abstractNum w:abstractNumId="309">
    <w:nsid w:val="62A5D5BD"/>
    <w:multiLevelType w:val="hybridMultilevel"/>
    <w:lvl w:ilvl="0">
      <w:lvlJc w:val="left"/>
      <w:lvlText w:val="(%1)"/>
      <w:numFmt w:val="lowerLetter"/>
      <w:start w:val="1"/>
    </w:lvl>
  </w:abstractNum>
  <w:abstractNum w:abstractNumId="310">
    <w:nsid w:val="718FABF9"/>
    <w:multiLevelType w:val="hybridMultilevel"/>
    <w:lvl w:ilvl="0">
      <w:lvlJc w:val="left"/>
      <w:lvlText w:val="(%1)"/>
      <w:numFmt w:val="lowerLetter"/>
      <w:start w:val="12"/>
    </w:lvl>
  </w:abstractNum>
  <w:abstractNum w:abstractNumId="311">
    <w:nsid w:val="7775797C"/>
    <w:multiLevelType w:val="hybridMultilevel"/>
    <w:lvl w:ilvl="0">
      <w:lvlJc w:val="left"/>
      <w:lvlText w:val="(%1)"/>
      <w:numFmt w:val="lowerLetter"/>
      <w:start w:val="14"/>
    </w:lvl>
  </w:abstractNum>
  <w:abstractNum w:abstractNumId="312">
    <w:nsid w:val="1626FB8C"/>
    <w:multiLevelType w:val="hybridMultilevel"/>
    <w:lvl w:ilvl="0">
      <w:lvlJc w:val="left"/>
      <w:lvlText w:val="%1."/>
      <w:numFmt w:val="decimal"/>
      <w:start w:val="1"/>
    </w:lvl>
  </w:abstractNum>
  <w:abstractNum w:abstractNumId="313">
    <w:nsid w:val="3957756A"/>
    <w:multiLevelType w:val="hybridMultilevel"/>
    <w:lvl w:ilvl="0">
      <w:lvlJc w:val="left"/>
      <w:lvlText w:val="%1."/>
      <w:numFmt w:val="upperLetter"/>
      <w:start w:val="1"/>
    </w:lvl>
    <w:lvl w:ilvl="1">
      <w:lvlJc w:val="left"/>
      <w:lvlText w:val="(%2)"/>
      <w:numFmt w:val="lowerRoman"/>
      <w:start w:val="1"/>
    </w:lvl>
  </w:abstractNum>
  <w:abstractNum w:abstractNumId="314">
    <w:nsid w:val="3E6DA1C7"/>
    <w:multiLevelType w:val="hybridMultilevel"/>
    <w:lvl w:ilvl="0">
      <w:lvlJc w:val="left"/>
      <w:lvlText w:val="%1."/>
      <w:numFmt w:val="upperLetter"/>
      <w:start w:val="5"/>
    </w:lvl>
  </w:abstractNum>
  <w:abstractNum w:abstractNumId="315">
    <w:nsid w:val="65CA235B"/>
    <w:multiLevelType w:val="hybridMultilevel"/>
    <w:lvl w:ilvl="0">
      <w:lvlJc w:val="left"/>
      <w:lvlText w:val="%1"/>
      <w:numFmt w:val="upperLetter"/>
      <w:start w:val="1"/>
    </w:lvl>
    <w:lvl w:ilvl="1">
      <w:lvlJc w:val="left"/>
      <w:lvlText w:val="(%2)"/>
      <w:numFmt w:val="lowerRoman"/>
      <w:start w:val="1"/>
    </w:lvl>
  </w:abstractNum>
  <w:abstractNum w:abstractNumId="316">
    <w:nsid w:val="51CB0DA4"/>
    <w:multiLevelType w:val="hybridMultilevel"/>
    <w:lvl w:ilvl="0">
      <w:lvlJc w:val="left"/>
      <w:lvlText w:val="%1."/>
      <w:numFmt w:val="upperLetter"/>
      <w:start w:val="6"/>
    </w:lvl>
    <w:lvl w:ilvl="1">
      <w:lvlJc w:val="left"/>
      <w:lvlText w:val="(%2)"/>
      <w:numFmt w:val="lowerRoman"/>
      <w:start w:val="1"/>
    </w:lvl>
  </w:abstractNum>
  <w:abstractNum w:abstractNumId="317">
    <w:nsid w:val="7B9B743C"/>
    <w:multiLevelType w:val="hybridMultilevel"/>
    <w:lvl w:ilvl="0">
      <w:lvlJc w:val="left"/>
      <w:lvlText w:val="%1"/>
      <w:numFmt w:val="upperLetter"/>
      <w:start w:val="1"/>
    </w:lvl>
    <w:lvl w:ilvl="1">
      <w:lvlJc w:val="left"/>
      <w:lvlText w:val="(%2)"/>
      <w:numFmt w:val="lowerRoman"/>
      <w:start w:val="2"/>
    </w:lvl>
  </w:abstractNum>
  <w:abstractNum w:abstractNumId="318">
    <w:nsid w:val="13E21002"/>
    <w:multiLevelType w:val="hybridMultilevel"/>
    <w:lvl w:ilvl="0">
      <w:lvlJc w:val="left"/>
      <w:lvlText w:val="%1."/>
      <w:numFmt w:val="upperLetter"/>
      <w:start w:val="12"/>
    </w:lvl>
    <w:lvl w:ilvl="1">
      <w:lvlJc w:val="left"/>
      <w:lvlText w:val="(%2)"/>
      <w:numFmt w:val="lowerRoman"/>
      <w:start w:val="1"/>
    </w:lvl>
  </w:abstractNum>
  <w:abstractNum w:abstractNumId="319">
    <w:nsid w:val="257D63F4"/>
    <w:multiLevelType w:val="hybridMultilevel"/>
    <w:lvl w:ilvl="0">
      <w:lvlJc w:val="left"/>
      <w:lvlText w:val="%1."/>
      <w:numFmt w:val="upperLetter"/>
      <w:start w:val="18"/>
    </w:lvl>
  </w:abstractNum>
  <w:abstractNum w:abstractNumId="320">
    <w:nsid w:val="70EC11B2"/>
    <w:multiLevelType w:val="hybridMultilevel"/>
    <w:lvl w:ilvl="0">
      <w:lvlJc w:val="left"/>
      <w:lvlText w:val="(%1)"/>
      <w:numFmt w:val="lowerRoman"/>
      <w:start w:val="1"/>
    </w:lvl>
  </w:abstractNum>
  <w:abstractNum w:abstractNumId="321">
    <w:nsid w:val="2EDA00E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2019-12-12T02:34:36Z</dcterms:created>
  <dcterms:modified xsi:type="dcterms:W3CDTF">2019-12-12T02:34:36Z</dcterms:modified>
</cp:coreProperties>
</file>