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-220345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8" w:lineRule="exact"/>
        <w:rPr>
          <w:sz w:val="24"/>
          <w:szCs w:val="24"/>
          <w:color w:val="auto"/>
        </w:rPr>
      </w:pPr>
    </w:p>
    <w:p>
      <w:pPr>
        <w:ind w:left="720" w:right="200" w:hanging="685"/>
        <w:spacing w:after="0" w:line="251"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-297815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9"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59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46-0484987</w:t>
            </w:r>
          </w:p>
        </w:tc>
      </w:tr>
      <w:tr>
        <w:trPr>
          <w:trHeight w:val="178"/>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80" w:type="dxa"/>
            <w:vAlign w:val="bottom"/>
          </w:tcPr>
          <w:p>
            <w:pPr>
              <w:jc w:val="center"/>
              <w:ind w:right="40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262255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5"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4">
            <w:col w:w="1620" w:space="720"/>
            <w:col w:w="5220" w:space="720"/>
            <w:col w:w="2000" w:space="720"/>
            <w:col w:w="420"/>
          </w:cols>
          <w:pgMar w:left="240" w:top="225" w:right="239" w:bottom="1440" w:gutter="0" w:footer="0" w:header="0"/>
          <w:type w:val="continuous"/>
        </w:sectPr>
      </w:pPr>
    </w:p>
    <w:p>
      <w:pPr>
        <w:spacing w:after="0" w:line="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63" w:lineRule="exact"/>
        <w:rPr>
          <w:sz w:val="24"/>
          <w:szCs w:val="24"/>
          <w:color w:val="auto"/>
        </w:rPr>
      </w:pPr>
    </w:p>
    <w:p>
      <w:pPr>
        <w:sectPr>
          <w:pgSz w:w="11900" w:h="16838" w:orient="portrait"/>
          <w:cols w:equalWidth="0" w:num="4">
            <w:col w:w="8580" w:space="160"/>
            <w:col w:w="260" w:space="100"/>
            <w:col w:w="160" w:space="180"/>
            <w:col w:w="1980"/>
          </w:cols>
          <w:pgMar w:left="240" w:top="225" w:right="2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260" w:type="dxa"/>
            <w:vAlign w:val="bottom"/>
          </w:tcPr>
          <w:p>
            <w:pPr>
              <w:spacing w:after="0"/>
              <w:rPr>
                <w:sz w:val="13"/>
                <w:szCs w:val="13"/>
                <w:color w:val="auto"/>
              </w:rPr>
            </w:pPr>
          </w:p>
        </w:tc>
        <w:tc>
          <w:tcPr>
            <w:tcW w:w="5500" w:type="dxa"/>
            <w:vAlign w:val="bottom"/>
            <w:gridSpan w:val="3"/>
          </w:tcPr>
          <w:p>
            <w:pPr>
              <w:jc w:val="center"/>
              <w:ind w:left="2799"/>
              <w:spacing w:after="0"/>
              <w:rPr>
                <w:sz w:val="20"/>
                <w:szCs w:val="20"/>
                <w:color w:val="auto"/>
              </w:rPr>
            </w:pPr>
            <w:r>
              <w:rPr>
                <w:rFonts w:ascii="Times New Roman" w:cs="Times New Roman" w:eastAsia="Times New Roman" w:hAnsi="Times New Roman"/>
                <w:sz w:val="14"/>
                <w:szCs w:val="14"/>
                <w:b w:val="1"/>
                <w:bCs w:val="1"/>
                <w:color w:val="auto"/>
              </w:rPr>
              <w:t>Outstanding at April 30, 2015</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920" w:type="dxa"/>
            <w:vAlign w:val="bottom"/>
            <w:gridSpan w:val="3"/>
          </w:tcPr>
          <w:p>
            <w:pPr>
              <w:jc w:val="center"/>
              <w:ind w:right="29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101,536,779</w:t>
            </w:r>
          </w:p>
        </w:tc>
        <w:tc>
          <w:tcPr>
            <w:tcW w:w="40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44"/>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March 31, 2015 (unaudited) and December 31, 2014</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(unaudited) – Three months ended March 31, 2015 and 2014</w:t>
              </w:r>
            </w:hyperlink>
          </w:p>
        </w:tc>
        <w:tc>
          <w:tcPr>
            <w:tcW w:w="104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 (Loss) (unaudited) – Three months ended March 31,</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2015 and 2014</w:t>
              </w:r>
            </w:hyperlink>
          </w:p>
        </w:tc>
        <w:tc>
          <w:tcPr>
            <w:tcW w:w="7320" w:type="dxa"/>
            <w:vAlign w:val="bottom"/>
            <w:tcBorders>
              <w:top w:val="single" w:sz="8" w:color="0000EE"/>
            </w:tcBorders>
            <w:gridSpan w:val="11"/>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Stockholders’ Equity (Deficit) (unaudited) – Three months ended March 31,</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2015</w:t>
              </w:r>
            </w:hyperlink>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 – Three months ended March 31, 2015 and 2014</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7</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 (unaudited)</w:t>
              </w:r>
            </w:hyperlink>
          </w:p>
        </w:tc>
        <w:tc>
          <w:tcPr>
            <w:tcW w:w="458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28</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1"/>
                <w:szCs w:val="21"/>
                <w:color w:val="auto"/>
              </w:rPr>
            </w:pPr>
          </w:p>
        </w:tc>
        <w:tc>
          <w:tcPr>
            <w:tcW w:w="300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39</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40</w:t>
              </w:r>
            </w:hyperlink>
          </w:p>
        </w:tc>
      </w:tr>
      <w:tr>
        <w:trPr>
          <w:trHeight w:val="588"/>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1A.</w:t>
              </w:r>
            </w:hyperlink>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45</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09"/>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20"/>
        </w:trPr>
        <w:tc>
          <w:tcPr>
            <w:tcW w:w="8340" w:type="dxa"/>
            <w:vAlign w:val="bottom"/>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1,641,908</w:t>
            </w:r>
          </w:p>
        </w:tc>
        <w:tc>
          <w:tcPr>
            <w:tcW w:w="120" w:type="dxa"/>
            <w:vAlign w:val="bottom"/>
          </w:tcPr>
          <w:p>
            <w:pPr>
              <w:spacing w:after="0"/>
              <w:rPr>
                <w:sz w:val="22"/>
                <w:szCs w:val="22"/>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2,182,164</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163,046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163,968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240,140</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290,757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237,957</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69,911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72,223</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53,262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49,847</w:t>
            </w: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2,382,852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2,782,331</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6,245,530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5,855,842</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977</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87,356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10,173</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112,772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112,367</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90,512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84,413</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226,416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212,515</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4,440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4,243</w:t>
            </w:r>
          </w:p>
        </w:tc>
      </w:tr>
      <w:tr>
        <w:trPr>
          <w:trHeight w:val="270"/>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9,151,680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9,062,861</w:t>
            </w:r>
          </w:p>
        </w:tc>
      </w:tr>
      <w:tr>
        <w:trPr>
          <w:trHeight w:val="190"/>
        </w:trPr>
        <w:tc>
          <w:tcPr>
            <w:tcW w:w="8340" w:type="dxa"/>
            <w:vAlign w:val="bottom"/>
            <w:shd w:val="clear" w:color="auto" w:fill="CCEEFF"/>
          </w:tcPr>
          <w:p>
            <w:pPr>
              <w:ind w:left="360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186,964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303,284</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150,937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land concession obligation</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30,825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30,814</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504,703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548,818</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138,580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137,269</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88,841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113,228</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63,745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107,318</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78,110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67,587</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4,847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4,847</w:t>
            </w: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1,247,552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1,313,165</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7,834,420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7,345,262</w:t>
            </w: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concession obligation</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15,993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15,987</w:t>
            </w: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173,369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152,131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27,498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25,225</w:t>
            </w: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9,298,832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8,851,770</w:t>
            </w:r>
          </w:p>
        </w:tc>
      </w:tr>
      <w:tr>
        <w:trPr>
          <w:trHeight w:val="19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1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par value $0.01; 400,000,000 shares authorized; 114,559,019 and 114,426,960 shares issued; 101,524,590</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and 101,439,297 shares outstanding, respectively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1,144</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at cost; 13,034,429 and 12,987,663 shares, respectively</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(1,152,393)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(1,145,481)</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957,636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948,566</w:t>
            </w: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2,505</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164,487</w:t>
            </w: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deficit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(28,779)</w:t>
            </w: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76,894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239,870</w:t>
            </w:r>
          </w:p>
        </w:tc>
      </w:tr>
      <w:tr>
        <w:trPr>
          <w:trHeight w:val="244"/>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equity (deficit)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(147,152)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211,091</w:t>
            </w:r>
          </w:p>
        </w:tc>
      </w:tr>
      <w:tr>
        <w:trPr>
          <w:trHeight w:val="237"/>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9,151,680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9,062,861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37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118" w:right="239" w:bottom="37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826,099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136,476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141,837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106,860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1,184,543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1,611,306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1,092,238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1,513,613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783,734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35,345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111,277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(benefit)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76,659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1,136,782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185,059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376,831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303,043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226,896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100,822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303,043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 securities, net of tax</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302,498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Wynn Resorts, Limited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226,511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STOCKHOLDERS’ EQUITY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Common stock</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Balances, January 1, 2015</w: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Net unrealized gain on investment securities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Issuance of restricted stock</w:t>
      </w:r>
    </w:p>
    <w:p>
      <w:pPr>
        <w:spacing w:after="0" w:line="121" w:lineRule="exact"/>
        <w:rPr>
          <w:sz w:val="20"/>
          <w:szCs w:val="20"/>
          <w:color w:val="auto"/>
        </w:rPr>
      </w:pPr>
    </w:p>
    <w:p>
      <w:pPr>
        <w:ind w:left="520" w:right="160"/>
        <w:spacing w:after="0"/>
        <w:rPr>
          <w:sz w:val="20"/>
          <w:szCs w:val="20"/>
          <w:color w:val="auto"/>
        </w:rPr>
      </w:pPr>
      <w:r>
        <w:rPr>
          <w:rFonts w:ascii="Times New Roman" w:cs="Times New Roman" w:eastAsia="Times New Roman" w:hAnsi="Times New Roman"/>
          <w:sz w:val="13"/>
          <w:szCs w:val="13"/>
          <w:color w:val="auto"/>
        </w:rPr>
        <w:t>Shares of subsidiary repurchased for share award plan</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Cash dividends declared</w:t>
      </w:r>
    </w:p>
    <w:p>
      <w:pPr>
        <w:spacing w:after="0" w:line="121" w:lineRule="exact"/>
        <w:rPr>
          <w:sz w:val="20"/>
          <w:szCs w:val="20"/>
          <w:color w:val="auto"/>
        </w:rPr>
      </w:pPr>
    </w:p>
    <w:p>
      <w:pPr>
        <w:ind w:left="520" w:right="44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Balances, March 31,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98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5"/>
              </w:rPr>
              <w:t>Total Wynn</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Resorts, Ltd.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5"/>
        </w:trPr>
        <w:tc>
          <w:tcPr>
            <w:tcW w:w="10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retained</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76"/>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equity (deficit)</w:t>
            </w: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equity (deficit)</w:t>
            </w:r>
          </w:p>
        </w:tc>
      </w:tr>
      <w:tr>
        <w:trPr>
          <w:trHeight w:val="254"/>
        </w:trPr>
        <w:tc>
          <w:tcPr>
            <w:tcW w:w="8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101,439,297</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1,144</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(1,145,481)</w:t>
            </w: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948,566</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2,505</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164,487</w:t>
            </w:r>
          </w:p>
        </w:tc>
        <w:tc>
          <w:tcPr>
            <w:tcW w:w="12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(28,779)</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239,870</w:t>
            </w:r>
          </w:p>
        </w:tc>
        <w:tc>
          <w:tcPr>
            <w:tcW w:w="120" w:type="dxa"/>
            <w:vAlign w:val="bottom"/>
          </w:tcPr>
          <w:p>
            <w:pPr>
              <w:spacing w:after="0"/>
              <w:rPr>
                <w:sz w:val="22"/>
                <w:szCs w:val="22"/>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211,091</w:t>
            </w:r>
          </w:p>
        </w:tc>
      </w:tr>
      <w:tr>
        <w:trPr>
          <w:trHeight w:val="270"/>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30,699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(13,902)</w:t>
            </w:r>
          </w:p>
        </w:tc>
      </w:tr>
      <w:tr>
        <w:trPr>
          <w:trHeight w:val="270"/>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r>
      <w:tr>
        <w:trPr>
          <w:trHeight w:val="270"/>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r>
      <w:tr>
        <w:trPr>
          <w:trHeight w:val="270"/>
        </w:trPr>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584</w:t>
            </w:r>
          </w:p>
        </w:tc>
      </w:tr>
      <w:tr>
        <w:trPr>
          <w:trHeight w:val="324"/>
        </w:trPr>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(6,912)</w:t>
            </w:r>
          </w:p>
        </w:tc>
      </w:tr>
      <w:tr>
        <w:trPr>
          <w:trHeight w:val="270"/>
        </w:trPr>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121,059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r>
      <w:tr>
        <w:trPr>
          <w:trHeight w:val="324"/>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r>
      <w:tr>
        <w:trPr>
          <w:trHeight w:val="270"/>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(152,274)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(347,649)</w:t>
            </w:r>
          </w:p>
        </w:tc>
      </w:tr>
      <w:tr>
        <w:trPr>
          <w:trHeight w:val="324"/>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348</w:t>
            </w:r>
          </w:p>
        </w:tc>
      </w:tr>
      <w:tr>
        <w:trPr>
          <w:trHeight w:val="280"/>
        </w:trPr>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8,137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10,762</w:t>
            </w:r>
          </w:p>
        </w:tc>
      </w:tr>
      <w:tr>
        <w:trPr>
          <w:trHeight w:val="237"/>
        </w:trPr>
        <w:tc>
          <w:tcPr>
            <w:tcW w:w="8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101,524,590</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1,146</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(1,152,393)</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957,636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1,953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(32,388)</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(224,046)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76,894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(147,152)</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-2005965</wp:posOffset>
            </wp:positionV>
            <wp:extent cx="69380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-1663065</wp:posOffset>
            </wp:positionV>
            <wp:extent cx="69380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-1320165</wp:posOffset>
            </wp:positionV>
            <wp:extent cx="693801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-942975</wp:posOffset>
            </wp:positionV>
            <wp:extent cx="693801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-565150</wp:posOffset>
            </wp:positionV>
            <wp:extent cx="693801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-187960</wp:posOffset>
            </wp:positionV>
            <wp:extent cx="69380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80"/>
            <w:col w:w="8520"/>
          </w:cols>
          <w:pgMar w:left="240" w:top="118"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0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303,043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82,866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76,659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write-offs of deferred financing costs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6,448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(benefit) for doubtful accounts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9,953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income of unconsolidated affiliates, net of distributions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Decrease (increase)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24"/>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13,941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Inventories and prepaid expenses and 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(193,248)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209,222</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(178,050)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or maturity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88,154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44,995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199,805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Deposits and purchase of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17,938</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(126,406)</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2,061,059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756,229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first mortgage notes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(1,422,374)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Shares of subsidiary repurchased for share award plan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612,797</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838,580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2,182,164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2,435,041</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end of period</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1,641,908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3,273,621</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117,305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116,698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capitalized into construction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property and equipment included in accounts and construction payables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4,205</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1">
            <w:col w:w="11420"/>
          </w:cols>
          <w:pgMar w:left="240" w:top="118"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0" w:gutter="0" w:footer="0" w:header="0"/>
          <w:type w:val="continuous"/>
        </w:sectPr>
      </w:pPr>
    </w:p>
    <w:bookmarkStart w:id="7" w:name="page8"/>
    <w:bookmarkEnd w:id="7"/>
    <w:p>
      <w:pPr>
        <w:jc w:val="center"/>
        <w:ind w:right="-1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48" w:right="1440"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tab/>
        <w:t>Organization and Basis of Presentation</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and operates the integrated Wynn Macau and Encore at Wynn Macau resort. In Las Vegas, Nevada, the Company owns 100% of and operates the integrated Wynn Las Vegas and Encore at Wynn Las Vegas resort.</w:t>
      </w:r>
    </w:p>
    <w:p>
      <w:pPr>
        <w:spacing w:after="0" w:line="180"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Macau resort of Wynn Macau and Encore at Wynn Macau features two luxury hotel towers with a total of 1,008 spacious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resort as its Macau Operations.</w:t>
      </w:r>
    </w:p>
    <w:p>
      <w:pPr>
        <w:spacing w:after="0" w:line="180"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Las Vegas resort of Wynn Las Vegas and Encore at Wynn Las Vegas features two luxury hotel towers with a total of 4,748 spacious guest rooms, suites and villas, approximately 186,000 square feet of casino space, 34 food and beverage outlets, an on-site 18-hole golf course, approximately 290,000 square feet of meeting and convention space, a Ferrari and Maserati dealership, approximately 99,000 square feet of retail space, as well as two showrooms, three nightclubs and a beach club. The Company refers to this resort as its Las Vegas Operations.</w:t>
      </w:r>
    </w:p>
    <w:p>
      <w:pPr>
        <w:spacing w:after="0" w:line="18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is currently constructing Wynn Palace, an integrated resort in the Cotai area of Macau, containing a 1,700-room hotel, performance lake, meeting space, casino, spa, retail offerings, and food and beverage outlets. The Company expects to open Wynn Palace in the first half of 2016.</w:t>
      </w:r>
    </w:p>
    <w:p>
      <w:pPr>
        <w:spacing w:after="0" w:line="16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an integrated resort in Everett, Massachusetts, outside of Boston. On January 2, 2015, the Company purchased 33 acres of land along the Mystic River, which will be the main site to build the Wynn resort in Massachusetts. The resort will contain a hotel, restaurants, casino, spa, premium retail offerings, meeting and convention space and a waterfront boardwalk.</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2015,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2014.</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118" w:right="3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$456.6 million and $1,156.3 million at March 31, 2015 and December 31, 2014, respectively, were invested in bank time deposits, money market funds and commercial paper. In addition, the Company held bank deposits and cash on hand of approximately $1,185.3 million and $1,025.9 million as of March 31, 2015 and December 31, 2014, respectively.</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3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At March 31, 2015, the Company’s current restricted cash of $163.0 million consisted of funds held for the purpose of redeeming the portion of the 2020 Notes (as defined and more fully discussed in Note 8 “Long-Term Debt”) that were not tendered in February 2015 in the cash tender offer. At March 31, 2015 and December 31, 2014, the Company’s non-current restricted cash consisted of cash held in trust in accordance with the Company's majority owned subsidiary's share award plan.</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and U.S. government agency bonds and commercial paper reported at fair value, with unrealized gains and losses, net of tax, reported in other comprehensive income (loss).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jc w:val="both"/>
        <w:ind w:right="480" w:firstLine="432"/>
        <w:spacing w:after="0" w:line="281"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2015 and December 31, 2014, approximately 84% and 85%,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6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w:t>
      </w:r>
    </w:p>
    <w:p>
      <w:pPr>
        <w:spacing w:after="0" w:line="1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advances commissions to its games promoters in Macau. These were previously supported primarily by held checks and recognized as cash and cash equivalents ($153.4 million as of December 31, 2014). Market conditions in Macau and other regional economic factors have impacted the liquidity of certain games promoters. As a result, the Company's advanced commissions to games promoters now are supported primarily with signed promissory notes. The advanced commissions are on terms requiring settlement within five business days of the month following the advance. The Company recognized advanced commissions of $139.3 million as casino receivables in the accompanying Condensed Consolidated Balance Sheet as of March 31, 2015 and assesses these advanced commissions in connection with the Company's evaluation of its bad debt reserve for casino receivables. Additionally, the amount presented in the accompanying Condensed Consolidated Balance Sheet has been offset by related commissions payable to games promoters of $51.7 million as of March 31, 2015.</w:t>
      </w: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the fair value of the Redemption Price Promissory Note (the “Redemption Note”) of approximately $1.94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8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games promoters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8"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16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5280" w:type="dxa"/>
            <w:vAlign w:val="bottom"/>
            <w:tcBorders>
              <w:bottom w:val="single" w:sz="8" w:color="CCEEFF"/>
            </w:tcBorders>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13,393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12,754</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4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29,494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31,042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4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90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47,306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47,592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38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38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9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46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Operations. These taxes totaled approximately $330.0 million and $550.2 million for the three months ended March 31, 2015 and 2014, respectively.</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456,620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164,848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164,848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251,324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251,324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6"/>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1,156,285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1,155,457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250,313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250,313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2015 the Company had no cash equivalents categorized as Level 2 deposits held in foreign currencies. As of December 31, 2014, approximately 19% of the Company’s cash equivalents categorized as Level 2 were deposits held in foreign currencies.</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jc w:val="both"/>
        <w:ind w:right="40" w:firstLine="432"/>
        <w:spacing w:after="0" w:line="255" w:lineRule="auto"/>
        <w:rPr>
          <w:sz w:val="20"/>
          <w:szCs w:val="20"/>
          <w:color w:val="auto"/>
        </w:rPr>
      </w:pPr>
      <w:r>
        <w:rPr>
          <w:rFonts w:ascii="Times New Roman" w:cs="Times New Roman" w:eastAsia="Times New Roman" w:hAnsi="Times New Roman"/>
          <w:sz w:val="18"/>
          <w:szCs w:val="18"/>
          <w:color w:val="auto"/>
        </w:rPr>
        <w:t>In April 2015, the Financial Accounting Standards Board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The effective date for this update is for financial statements issued for fiscal years beginning after December 15, 2015, and interim periods within those fiscal years. Early application is permitted.</w:t>
      </w:r>
    </w:p>
    <w:p>
      <w:pPr>
        <w:spacing w:after="0" w:line="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will adopt this standard effective January 1, 2016. The Company is currently assessing the impact the adoption of this standard will have on its consolidated financial statements.</w:t>
      </w:r>
    </w:p>
    <w:p>
      <w:pPr>
        <w:spacing w:after="0" w:line="180" w:lineRule="exact"/>
        <w:rPr>
          <w:sz w:val="20"/>
          <w:szCs w:val="20"/>
          <w:color w:val="auto"/>
        </w:rPr>
      </w:pPr>
    </w:p>
    <w:p>
      <w:pPr>
        <w:ind w:right="60" w:firstLine="432"/>
        <w:spacing w:after="0" w:line="271" w:lineRule="auto"/>
        <w:rPr>
          <w:sz w:val="20"/>
          <w:szCs w:val="20"/>
          <w:color w:val="auto"/>
        </w:rPr>
      </w:pPr>
      <w:r>
        <w:rPr>
          <w:rFonts w:ascii="Times New Roman" w:cs="Times New Roman" w:eastAsia="Times New Roman" w:hAnsi="Times New Roman"/>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7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Earnings Per Share</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80"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226,896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100,822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102,009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the Company recorded a net loss attributable to Wynn Resorts, Limited. Accordingly, the potential dilutive effect of stock options and restricted stock is anti-dilutive. As a result, basic EPS is equal to diluted EPS for this period. Stock options and restricted stock that could potentially dilute basic EPS in the future that were not included in the computation of diluted EPS were 1.8 million. There were no anti-dilutive stock options and restricted stock excluded from the calculation of diluted earnings for the three months ended March 31, 2014.</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(loss) gain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5 -</w:t>
        <w:tab/>
        <w:t>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216,469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216,370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204,045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203,899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33,953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46,414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251,428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251,324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250,479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250,313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32"/>
        <w:spacing w:after="0" w:line="313" w:lineRule="auto"/>
        <w:rPr>
          <w:sz w:val="20"/>
          <w:szCs w:val="20"/>
          <w:color w:val="auto"/>
        </w:rPr>
      </w:pPr>
      <w:r>
        <w:rPr>
          <w:rFonts w:ascii="Times New Roman" w:cs="Times New Roman" w:eastAsia="Times New Roman" w:hAnsi="Times New Roman"/>
          <w:sz w:val="18"/>
          <w:szCs w:val="18"/>
          <w:color w:val="auto"/>
        </w:rPr>
        <w:t>For investments with unrealized losses as of March 31, 2015 and December 31, 2014,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dates.</w:t>
      </w:r>
    </w:p>
    <w:p>
      <w:pPr>
        <w:spacing w:after="0" w:line="149"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these investment securities at March 31, 2015,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Borders>
              <w:bottom w:val="single" w:sz="8" w:color="CCEEFF"/>
            </w:tcBorders>
          </w:tcPr>
          <w:p>
            <w:pPr>
              <w:spacing w:after="0"/>
              <w:rPr>
                <w:sz w:val="16"/>
                <w:szCs w:val="16"/>
                <w:color w:val="auto"/>
              </w:rPr>
            </w:pPr>
          </w:p>
        </w:tc>
        <w:tc>
          <w:tcPr>
            <w:tcW w:w="5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5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6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163,968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5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87,356</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251,324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740" w:type="dxa"/>
            <w:vAlign w:val="bottom"/>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7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0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Receivables,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257,930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39,231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370,317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312,635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(74,678)</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290,757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237,957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780,678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734,625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3,947,468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3,883,626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126,491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1,759,445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1,749,288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interests in land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316,431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1,969,946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1,666,326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8,936,139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8,476,787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(2,620,945)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6,245,530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5,855,842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Construction in progress consists primarily of costs capitalized, including interest, for the construction of Wynn Palace.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5"/>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Term Loan Facilities, due July 31, 2017 and July 31, 2018; interest at LIBOR or HIBOR plus 1.75%—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2.50%, net of original issue discount of $3,563 at March 31, 2015 and $3,830 at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949,338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948,823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Revolving Credit Facility, due July 31, 2017, interest at LIBOR or HIBOR plus 1.75%—2.50%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393,657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132,524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w:t>
            </w:r>
          </w:p>
        </w:tc>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 Senior Notes, due October 15, 2021, including original issue premium of $4,982 at March 31, 2015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$5,141 at December 31, 2014</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1,354,982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1,355,141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7</w:t>
            </w:r>
          </w:p>
        </w:tc>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7/8% First Mortgage Notes, due May 1, 2020, net of original issue discount of $299 at March 31, 2015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$1,279 at December 31, 2014</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70,838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345,731</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7</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 First Mortgage Notes, due August 15, 2020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1,226,600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 First Mortgage Notes, due March 15, 2022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 Senior Notes, due May 30, 2023</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 Senior Notes, due March 1, 2025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1,936,443</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7,985,357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7,345,262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7,834,420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7,345,262</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Related Debt</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Company's credit facilities include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As of March 31, 2015, the Company had $1.16 billion of available borrowing capacity under the Wynn Macau Senior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Corporate Related Debt</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22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February 10, 2015, Wynn Las Vegas, LLC and Wynn Las Vegas Capital Corp., an indirect wholly owned subsidiary of Wynn Resorts, Limited (together, the “Issuers”) commenced a cash tender offer for any and all of the outstanding aggregate principal amounts of the 7 3/4% first mortgage notes due August 15, 2020 (the “7 3/4% 2020 Notes”) and the 7 7/8% first mortgage notes due May 1, 2020 (the “7 7/8% 2020 Notes” and together with the 7 3/4% 2020 Notes, the “2020 Notes”). Wynn Las Vegas, LLC accepted for purchase valid tenders with respect to approximately $305.8 million of the $377.0 million aggregate principal amount of the 7 7/8% 2020 Notes and approximately $1,146.5 million of the $1,226.6 million aggregate principal amount of the 7 3/4% 2020 Notes. The note holders who validly tendered their 2020 Notes received the total consideration of $1,073.82 for each $1,000 principal amount of 7 3/4% 2020 Notes and $1,054.21 for each $1,000 principal amount of 7 7/8% 2020 Notes. The premium portion of the aggregate total consideration was approximately $101.2 million and recorded as a loss on extinguishment of debt in the accompanying Condensed Consolidated Statements of Comprehensive Loss. The Company satisfied and discharged the indentures under which the 2020 Notes were issued and redeemed the untendered 7 7/8% 2020 Notes on May 1, 2015 and will redeem the untendered 7 3/4% 2020 Notes on August 1, 2015.</w:t>
      </w: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As part of the cash tender offer of the 7 7/8% 2020 Notes, Wynn Resorts tendered the $30.0 million principal amount it held of its wholly owned subsidiary Wynn Las Vegas,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in connection with this transaction, the Company expensed $17.2 million of unamortized debt issue costs and original issue discount related to the</w:t>
      </w:r>
    </w:p>
    <w:p>
      <w:pPr>
        <w:spacing w:after="0" w:line="27"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2020 Notes and incurred other fees of approximately $0.1 million that are included in loss on extinguishment of debt in the accompanying Condensed Consolidated Statements of Operations.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1/2% Senior Notes due 2025</w:t>
      </w:r>
    </w:p>
    <w:p>
      <w:pPr>
        <w:spacing w:after="0" w:line="227" w:lineRule="exact"/>
        <w:rPr>
          <w:sz w:val="20"/>
          <w:szCs w:val="20"/>
          <w:color w:val="auto"/>
        </w:rPr>
      </w:pPr>
    </w:p>
    <w:p>
      <w:pPr>
        <w:ind w:right="34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Las Vegas Capital Corp., which was a co-issuer) and U.S. Bank National Association, as trustee. The 2025 Notes were issued at par. The Company used the net proceeds from the 2025 Notes to cover the cost of purchasing the 2020 Notes tendered in the cash tender offer. The Company will use the remaining net proceeds to redeem the 2020 Notes not tendered and for general corporate purposes. In connection with the issuance of the 2025 Notes, the Company capitalized approximately $25.1 million of financing costs.</w:t>
      </w:r>
    </w:p>
    <w:p>
      <w:pPr>
        <w:spacing w:after="0" w:line="13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31"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2025 Notes are the Issuers’ senior unsecured obligations and rank pari passu in right of payment with the Issuers’ outstanding 7 7/8% 2020 Notes, 7 3/4% 2020 Notes, the 5 3/8% First Mortgage Notes due March 15, 2022 and the 4 1/4% Senior Notes due May 30, 2023 (together, the “Existing Notes”). The 2025 Notes are unsecured (except by the first priority pledge by Wynn Resorts Holdings, LLC of its equity interests in Wynn Las Vegas, LLC), effectiveness of which is subject to the prior approval of the Nevada gaming authorities. Such equity interests in Wynn Las Vegas also secure the Existing Notes. If Wynn Resorts, Limited receives an investment grade rating from one or more ratings agencies, the first priority pledge securing the 2025 Notes will be released.</w:t>
      </w:r>
    </w:p>
    <w:p>
      <w:pPr>
        <w:spacing w:after="0" w:line="134"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2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2025 Indenture contains covenants limiting the Issuers’ and all of the Issuers' subsidiaries' (as guarantors), other than Wynn Las Vegas Capital Corp.,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2"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Las Vegas Capital Corp., all 2025 Notes then outstanding will become due and payable immediately without further action or notice.</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Company's credit facilities include a $375 million senior secured revolving credit facility and an $875 million delay draw senior secured term loan facility (together, the “Wynn America Credit Facilities”). As of March 31, 2015, there were no</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300" w:right="258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amounts drawn under the Wynn America Credit Facilities, however, there were outstanding letters of credit totaling $8.9 million reducing the available borrowing capacity to $1.24 billion.</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2015, management believes the Company was in compliance with all debt covenants.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March 31, 2015 and December 31, 2014, was approximately $6.0 billion and $5.4 billion, respectively, compared to its carrying value of $6.0 billion and $5.4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Interest Rate Swaps</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 (decrease) in swap fair value in the accompanying Condensed Consolidated Statements of Operations, as the interest rate swaps do not qualify for hedge accounting.</w:t>
      </w:r>
    </w:p>
    <w:p>
      <w:pPr>
        <w:spacing w:after="0" w:line="18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“Summary of Significant Accounting Policies” to determine fair value.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March 31, 2015 and December 31, 2014, the interest rate swaps were recorded as an asset of $1.3 million and $5.9 million, respectively, and included in deposits and other assets.</w:t>
      </w:r>
    </w:p>
    <w:p>
      <w:pPr>
        <w:spacing w:after="0" w:line="18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currently has three interest rate swap agreements intended to hedge a portion of the underlying interest rate risk on borrowings under the Wynn Macau Senior Term Loan. Under two of the swap agreements, the Company pays a fixed interest rate (excluding the applicable interest margin) of</w:t>
      </w:r>
    </w:p>
    <w:p>
      <w:pPr>
        <w:ind w:right="20"/>
        <w:spacing w:after="0" w:line="255" w:lineRule="auto"/>
        <w:rPr>
          <w:sz w:val="20"/>
          <w:szCs w:val="20"/>
          <w:color w:val="auto"/>
        </w:rPr>
      </w:pPr>
      <w:r>
        <w:rPr>
          <w:rFonts w:ascii="Times New Roman" w:cs="Times New Roman" w:eastAsia="Times New Roman" w:hAnsi="Times New Roman"/>
          <w:sz w:val="18"/>
          <w:szCs w:val="18"/>
          <w:color w:val="auto"/>
        </w:rPr>
        <w:t>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8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Under the third swap agreement, the Company pays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In addition, effective January 1, 2015, Mr. Wynn also reimburses the Company for personal usage of aircraft (subject to a $250,000 credit per calendar year) pursuant to a new time sharing agreement. Mr. Wynn and other officers and directors have deposits with the Company to prepay any such items, which are replenished on an ongoing basis as needed. Mr. Wynn and the</w:t>
      </w:r>
    </w:p>
    <w:p>
      <w:pPr>
        <w:spacing w:after="0" w:line="3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118" w:right="29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officers and directors had a net deposit balance with the Company of approximately $0.5 million and $0.6 million as of March 31, 2015 and December 31, 2014, respectively.</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Villa Lease</w:t>
      </w:r>
    </w:p>
    <w:p>
      <w:pPr>
        <w:spacing w:after="0" w:line="227"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Mr. Wynn currently leases a villa at Wynn Las Vegas for use as his personal residence. The lease, including each amendment and restatement, was approved by the Audit Committee of the Board of Directors of Wynn Resorts. Beginning in November 2013, pursuant to the 2013 Second Amended and Restated Agreement of Lease, dated as of November 7, 2013 and amended as of February 25, 2015 (the “SW Lease”), Mr. Wynn pays the Company annual rent for the villa at its fair market value of the accommodations. Pursuant to the SW Lease, Wynn Las Vegas pays for all capital improvements to the villa. The fair value is based on independent third-party expert opinions of value, which was $525,000 per year through February 28, 2015 and $559,295 per year from March 1, 2015 through February 28, 2017. The rental value for the villa will be re-determined every 2 years during the term of the SW Lease, by the Audit Committee. Certain services for, and maintenance of, the villa are included in the annual rent.</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Aircraft Purchase Option Agreement</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On January 3, 2013, the Company and Mr. Wynn entered into an agreement pursuant to which Mr. Wynn agreed to terminate a previously granted option to purchase approximately two acres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22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Property Charges and Other</w:t>
      </w:r>
    </w:p>
    <w:p>
      <w:pPr>
        <w:spacing w:after="0" w:line="229"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Property charges and other for the three months ended March 31, 2015 and 2014 were $2.5 million and $9.9 million, respectively. During the three months ended March 31, 2015, property charges and other primarily consisted of miscellaneous renovations and abandonments at the Company's resorts. During the three months ended March 31, 2014, the Company incurred property charges primarily associated with the renovation of approximately 27,000 square feet of our casino space at Wynn Macau into new VIP gaming rooms. These new VIP gaming rooms opened in February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229" w:lineRule="exact"/>
        <w:rPr>
          <w:sz w:val="20"/>
          <w:szCs w:val="20"/>
          <w:color w:val="auto"/>
        </w:rPr>
      </w:pPr>
    </w:p>
    <w:p>
      <w:pPr>
        <w:ind w:right="200" w:firstLine="432"/>
        <w:spacing w:after="0" w:line="275" w:lineRule="auto"/>
        <w:rPr>
          <w:sz w:val="20"/>
          <w:szCs w:val="20"/>
          <w:color w:val="auto"/>
        </w:rPr>
      </w:pPr>
      <w:r>
        <w:rPr>
          <w:rFonts w:ascii="Times New Roman" w:cs="Times New Roman" w:eastAsia="Times New Roman" w:hAnsi="Times New Roman"/>
          <w:sz w:val="18"/>
          <w:szCs w:val="18"/>
          <w:color w:val="auto"/>
        </w:rPr>
        <w:t>On March 31, 2015, Wynn Macau, Limited paid a dividend of HK$1.05 per share for a total of $702.6 million. The Company’s share of this dividend was $507.1 million with a reduction of $195.5 million to noncontrolling interest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relating both to stock options and nonvested stock is allocated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1,256</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2,639</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3,921</w:t>
            </w:r>
          </w:p>
        </w:tc>
      </w:tr>
      <w:tr>
        <w:trPr>
          <w:trHeight w:val="243"/>
        </w:trPr>
        <w:tc>
          <w:tcPr>
            <w:tcW w:w="7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5,535</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9,456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Cotai Development and Land Concession Contract</w:t>
      </w:r>
    </w:p>
    <w:p>
      <w:pPr>
        <w:spacing w:after="0" w:line="22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Company is currently constructing Wynn Palace, an integrated resort containing a 1,700-room hotel, performance lake, meeting space, casino, spa, retail offerings, and food and beverage outlets in the Cotai area of Macau.</w:t>
      </w:r>
    </w:p>
    <w:p>
      <w:pPr>
        <w:spacing w:after="0" w:line="16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In September 2011, Wynn Resorts (Macau) S.A. (“Wynn Macau SA”) and Palo Real Estate Company Limited (“Palo”),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both March 31, 2015 and December 31, 2014, the Company has recorded this obligation with $30.8 million included as a current liability and $16.0 million included as a long-term liability. The Company also is required to make annual lease payments of $0.8 million during the resort construction period and annual payments of approximately $1.1 million once the development is completed.</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July 29, 2013, Wynn Macau SA and Palo, each an indirect subsidiary of Wynn Macau, Limited,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 $20.0 billion (approximately $2.6 billion). The general contractor has notified the Company that it will not achieve the early completion milestone on January 25, 2016. However, the general contractor stated it is on schedule to complete the project on or before the substantial completion date. The Company continues to expect to open the property in the first half of 2016.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89"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2015, the Company has incurred approximately $2.2 billion of the approximately $4.1 billion in total project budget costs. The total project budget includes all construction costs, capitalized interest, pre-opening expenses, land costs and financing fees.</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100" w:firstLine="432"/>
        <w:spacing w:after="0" w:line="269" w:lineRule="auto"/>
        <w:rPr>
          <w:sz w:val="20"/>
          <w:szCs w:val="20"/>
          <w:color w:val="auto"/>
        </w:rPr>
      </w:pPr>
      <w:r>
        <w:rPr>
          <w:rFonts w:ascii="Times New Roman" w:cs="Times New Roman" w:eastAsia="Times New Roman" w:hAnsi="Times New Roman"/>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4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0"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8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85" w:lineRule="exact"/>
        <w:rPr>
          <w:sz w:val="20"/>
          <w:szCs w:val="20"/>
          <w:color w:val="auto"/>
        </w:rPr>
      </w:pPr>
    </w:p>
    <w:p>
      <w:pPr>
        <w:ind w:right="100" w:firstLine="432"/>
        <w:spacing w:after="0" w:line="281" w:lineRule="auto"/>
        <w:rPr>
          <w:sz w:val="20"/>
          <w:szCs w:val="20"/>
          <w:color w:val="auto"/>
        </w:rPr>
      </w:pPr>
      <w:r>
        <w:rPr>
          <w:rFonts w:ascii="Times New Roman" w:cs="Times New Roman" w:eastAsia="Times New Roman" w:hAnsi="Times New Roman"/>
          <w:sz w:val="17"/>
          <w:szCs w:val="17"/>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w:t>
      </w: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February 13, 2015, the Company issued a check for the interest payment due at that time to the clerk of the court for deposit into the clerk’s trust account.</w:t>
      </w:r>
    </w:p>
    <w:p>
      <w:pPr>
        <w:spacing w:after="0" w:line="176"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with closing on August 1, 2016.</w:t>
      </w:r>
    </w:p>
    <w:p>
      <w:pPr>
        <w:spacing w:after="0" w:line="19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w:t>
      </w:r>
    </w:p>
    <w:p>
      <w:pPr>
        <w:spacing w:after="0" w:line="162"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The trial is scheduled to begin on February 6, 2017.</w:t>
      </w:r>
    </w:p>
    <w:p>
      <w:pPr>
        <w:spacing w:after="0" w:line="17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lawsuit is currently in the discovery phase of litigation.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the Company's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 (3) stayed the claims asserted by the Company against Mr. Okada pending the resolution of the Redemption Action.</w:t>
      </w:r>
    </w:p>
    <w:p>
      <w:pPr>
        <w:spacing w:after="0" w:line="18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Management has determined that based on proceedings to date, it is currently unable to determine the probability of the outcome of this action or the range of reasonably possible loss,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The Company has not received any target letter or subpoena in connection with such an investigation. The Company intends to cooperate fully with the government in response to any inquiry related to the donation to the University of Macau.</w:t>
      </w:r>
    </w:p>
    <w:p>
      <w:pPr>
        <w:spacing w:after="0" w:line="18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right="20"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Appeals for the Ninth Circuit. The Federal Plaintiffs' opening brief was filed on September 19, 2014. The Company filed a response on December 18, 2014 and the Federal Plaintiffs filed a reply brief on January 30, 2015.</w:t>
      </w:r>
    </w:p>
    <w:p>
      <w:pPr>
        <w:spacing w:after="0" w:line="16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40"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jc w:val="both"/>
        <w:ind w:right="80" w:firstLine="432"/>
        <w:spacing w:after="0" w:line="313" w:lineRule="auto"/>
        <w:rPr>
          <w:sz w:val="20"/>
          <w:szCs w:val="20"/>
          <w:color w:val="auto"/>
        </w:rPr>
      </w:pPr>
      <w:r>
        <w:rPr>
          <w:rFonts w:ascii="Times New Roman" w:cs="Times New Roman" w:eastAsia="Times New Roman" w:hAnsi="Times New Roman"/>
          <w:sz w:val="17"/>
          <w:szCs w:val="17"/>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13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On October 16, 2014, the City of Revere, the host community to the unsuccessful bidder for the same license, and the International Brotherhood of Electrical Workers, Local 103, filed a complaint against the MGC and each of the five gaming commissioners in Suffolk Superior Court. On December 4, 2014, the City of Somerville, a surrounding community to the proposed site upon which Wynn MA will develop and construct an integrated resort, filed a similar complaint against the MGC and each of the five gaming commissioners in Suffolk Superior Court. The complaints challenge the MGC's decision and allege that the MGC failed to follow statutory requirements outlined in the Gaming Act. The complaints (1) seek to appeal the administrative decision, (2) assert that certiorari provides a remedy to correct errors in proceedings by an agency such as the MGC, (3) challenge the constitutionality of that section of the gaming law which bars judicial review of the Commission's decision to deny an applicant a gaming license, and (4) allege violations of the open meeting law requirements.</w:t>
      </w:r>
    </w:p>
    <w:p>
      <w:pPr>
        <w:spacing w:after="0" w:line="185"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the Wynn resort in Massachusetts.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MA is not named in the complaints. The MGC is in the process of retaining private legal representation at its own non-taxpayer-funded expense.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and 2014, the Company recorded a tax expense of $3.2 million and $2.6 million, respectively. The Company’s income tax expense for the three months ended March 31, 2015 and 2014 is primarily related to an increase in the domestic valuation allowance for U.S. foreign tax credits (“FTCs”) that are not expected to provide a U.S. tax benefit in future years.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FTCs should be sufficient to eliminate any U.S. tax provision relating to such repatriation. The Company has not provided deferred U.S. income taxes or foreign withholding taxes on temporary differences as these amounts are permanently reinvested. For the three months ended March 31, 2015 and 2014, the Company recognized income tax benefits related to excess tax deductions associated with stock compensation costs of $0.3 million and $2.4 million, respectively.</w:t>
      </w:r>
    </w:p>
    <w:p>
      <w:pPr>
        <w:spacing w:after="0" w:line="18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Company assesses the recoverability of its deferred tax asset for FTCs and the appropriateness for a valuation allowance on a quarterly basis. The Company considers factors such as its three year cumulative pre-tax book income, the reversal of taxable timing differences, and expectations regarding the occurrence of U.S. source income versus foreign source income within the FTCs carryforward period. Historically, the Company has recorded a partial valuation allowance on FTCs. If, based on future results and reviews of these factors, the Company was to conclude that the deferred tax asset is not recoverable and an additional valuation allowance is necessary, there could be a significant impact on its effective tax rate.</w:t>
      </w:r>
    </w:p>
    <w:p>
      <w:pPr>
        <w:spacing w:after="0" w:line="143"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Wynn Macau SA has received a 5-year exemption from Macau’s Complementary Tax on casino gaming profits through December 31, 2015. Accordingly, the Company was exempted from the payment of $13.8 million and $31.6 million in such taxes during each of the three months ended March 31, 2015 and 2014, respectively. The Company’s non-gaming profits remain subject to the Macau Complementary Tax and casino winnings remain subject to the Macau Special Gaming tax and other levies together totaling 39% in accordance with its concession agreement.</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December 2014, the Company received notification that for the 2015 tax year it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reviews the results of operations for each of its operating segments. Wynn Macau and Encore at Wynn Macau are managed as a single integrated resort and aggregated as one reportable segment (“Macau Operations”).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w:t>
      </w: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projects under development are Wynn Palace and the Wynn resort in Massachusetts. In the following tables, the assets of the Wynn resort in Massachusetts are included in Corporate and Other. Other Macau primarily represents cash and investment securities held at the Company's Macau holding company. The following tables present the Company's segment information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705,357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1,132,698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386,881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380,915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1,092,238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1,513,613</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Adjusted Property EBITDA (1)</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212,342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384,328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110,288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323,019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494,616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76,659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23,890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137,960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117,785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185,059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376,831</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non-operating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305,652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303,043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hanging="652"/>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w:t>
      </w:r>
    </w:p>
    <w:p>
      <w:pPr>
        <w:sectPr>
          <w:pgSz w:w="11900" w:h="16838" w:orient="portrait"/>
          <w:cols w:equalWidth="0" w:num="1">
            <w:col w:w="11420"/>
          </w:cols>
          <w:pgMar w:left="240" w:top="118" w:right="239" w:bottom="1440" w:gutter="0" w:footer="0" w:header="0"/>
        </w:sect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1,414,179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1,520,098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2,219,439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1,854,521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974,170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Macau</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3,901,509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4,348,789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3,457,992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3,472,931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1,792,179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1,241,141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9,151,680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9,062,861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28, 2015, the Company announced a cash dividend of $0.50 per share, payable on May 21, 2015 to stockholders of record as of May 11, 2015.</w:t>
      </w:r>
    </w:p>
    <w:p>
      <w:pPr>
        <w:spacing w:after="0" w:line="22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the untendered 7 7/8% 2020 Notes principal amount of $71.1 million. The redemption price was equal to 103.938% of the aggregate principal amount of the 7 7/8% 2020 Notes plus accrued and unpaid interest on May 1, 2015. The Company expensed $2.8 million associated with the premium of the redemption price and $1.1 million of unamortized financing costs and original issue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2014.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the Macau Special Administrative Region of the People’s Republic of China (“Macau”), we own 72% of Wynn Macau, Limited and operate Wynn Macau and Encore at Wynn Macau. We refer to the integrated Wynn Macau and Encore at Wynn Macau resort as Wynn Macau | Encore or as our Macau Operations. In Las Vegas, Nevada, we own 100% of and operate Wynn Las Vegas and Encore at Wynn Las Vegas, which we refer to as Wynn Las Vegas | Encore or our Las Vegas Operations. We are developing Wynn Palace, an integrated casino resort in the Cotai area of Macau. In addition, we are developing an integrated casino resort in Everett, Massachusetts.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We operate Wynn Macau | Encore under a 20-year casino concession agreement granted by the Macau government in June 2002. We lease from the Macau government approximately 16 acres of land in downtown Macau's inner harbor where Wynn Macau | Encore is located.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Wynn Macau | Encore features the following as of April 15, 2015:</w:t>
      </w:r>
    </w:p>
    <w:p>
      <w:pPr>
        <w:spacing w:after="0" w:line="279" w:lineRule="exact"/>
        <w:rPr>
          <w:sz w:val="20"/>
          <w:szCs w:val="20"/>
          <w:color w:val="auto"/>
        </w:rPr>
      </w:pPr>
    </w:p>
    <w:p>
      <w:pPr>
        <w:ind w:left="1300" w:right="2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497 table games and 706 slot machines,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spacious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eight restaurants;</w:t>
      </w:r>
    </w:p>
    <w:p>
      <w:pPr>
        <w:spacing w:after="0" w:line="117"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Richard Mille, Roger Dubuis, Rolex, Tiffany, Vacheron Constantin, Van Cleef &amp; Arpels, Versace, Vertu, and others;</w:t>
      </w:r>
    </w:p>
    <w:p>
      <w:pPr>
        <w:spacing w:after="0" w:line="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space for lounges and meeting facilities;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Rotunda show featuring a Chinese zodiac-inspired ceiling along with gold “prosperity tree” and “dragon of fortune” attractions.</w:t>
      </w:r>
    </w:p>
    <w:p>
      <w:pPr>
        <w:spacing w:after="0" w:line="27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response to our evaluation of our Macau Operations and the reactions of our guests, we have made and expect to continue to make enhancements and refinements to Wynn Macau | Encore. In February 2015, we completed the renovation of approximately 27,000 square feet of our casino space at Wynn Macau for new VIP gaming rooms.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Wynn Las Vegas | Encore features the following as of April 15, 2015:</w:t>
      </w:r>
    </w:p>
    <w:p>
      <w:pPr>
        <w:spacing w:after="0" w:line="387" w:lineRule="exact"/>
        <w:rPr>
          <w:sz w:val="20"/>
          <w:szCs w:val="20"/>
          <w:color w:val="auto"/>
        </w:rPr>
      </w:pPr>
    </w:p>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with 237 table games and 1,856 slot machines, private gaming salons, a sky casino, a poker room, and a race and sports book;</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spacious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food and beverage outlets featuring signature chefs;</w:t>
      </w:r>
    </w:p>
    <w:p>
      <w:pPr>
        <w:spacing w:after="0" w:line="117" w:lineRule="exact"/>
        <w:rPr>
          <w:rFonts w:ascii="Times New Roman" w:cs="Times New Roman" w:eastAsia="Times New Roman" w:hAnsi="Times New Roman"/>
          <w:sz w:val="18"/>
          <w:szCs w:val="18"/>
          <w:color w:val="auto"/>
        </w:rPr>
      </w:pPr>
    </w:p>
    <w:p>
      <w:pPr>
        <w:jc w:val="both"/>
        <w:ind w:left="1300" w:right="4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6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designed theater presenting “Le Rêve-The Dream,” a water-based theatrical production and a theater presenting “Steve Wynn's Showstoppers,” a Broadway-style entertainment production;</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and two full service spas and salons;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Wedding chapel.</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are currently constructing Wynn Palace, an integrated resort containing a 1,700-room hotel, performance lake, meeting space, casino, spa, retail offerings and food and beverage outlets in the Cotai area of Macau. In July 2013, we signed a $2.6 billion guaranteed maximum price (“GMP”) contract for the project's construction. The total project budget, including construction costs, capitalized interest, pre-opening expenses, land costs and financing fees, is approximately $4.1 billion. As of March 31, 2015, we have invested approximately $2.2 billion in the project. We expect to open Wynn Palace on Cotai in the first half of 2016.</w:t>
      </w:r>
    </w:p>
    <w:p>
      <w:pPr>
        <w:spacing w:after="0" w:line="18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an integrated resort in Everett, Massachusetts, outside of Boston. On January 2, 2015, the Company purchased 33 acres of land along the Mystic River, which will be the main site to build the Wynn resort in Massachusetts. The resort will contain a hotel, restaurants, casino, spa, premium retail offerings, meeting and convention space and a waterfront boardwalk.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a Condensed Statement of Operations is presented. Below are definitions of these key operating measures discussed:</w:t>
      </w:r>
    </w:p>
    <w:p>
      <w:pPr>
        <w:spacing w:after="0" w:line="162"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is the amount of cash and net markers issued that are deposited in a gaming table’s drop box.</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drop or turnover that is retained and recorded as casino revenue.</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w:t>
      </w:r>
    </w:p>
    <w:p>
      <w:pPr>
        <w:spacing w:after="0" w:line="9" w:lineRule="exact"/>
        <w:rPr>
          <w:rFonts w:ascii="Times New Roman" w:cs="Times New Roman" w:eastAsia="Times New Roman" w:hAnsi="Times New Roman"/>
          <w:sz w:val="18"/>
          <w:szCs w:val="18"/>
          <w:color w:val="auto"/>
        </w:rPr>
      </w:pPr>
    </w:p>
    <w:p>
      <w:pPr>
        <w:ind w:left="900" w:right="460" w:hanging="325"/>
        <w:spacing w:after="0" w:line="25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ind w:left="900" w:hanging="325"/>
        <w:spacing w:after="0" w:line="25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 at our resorts.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18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measurement base used in the mass market casino in Macau is not the same as that used in the VIP casino. In our mass market casino in Macau, customers may purchase cash chips at either the gaming tables or at the casino cage. The cash used to purchase the cash chips at the gaming tables is deposited into the gaming table’s drop box. This is the base of measurement that we use for calculating win percentage in our mass market casino. We do not report an expected range for the win percentage in our mass market casino as chips purchased at the casino cage are excluded from table games drop and distort our expected win percentage. Because of the large number of chip purchases occurring at the casino cage, we believe the relevant indicator of volumes in the mass market segment should be table games win.</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measurements in our VIP casino and the mass market casino are not comparable as the mass market casino tracks the initial purchase of chips at the gaming table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first quarter 2015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5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36"/>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360" w:type="dxa"/>
            <w:vAlign w:val="bottom"/>
            <w:tcBorders>
              <w:bottom w:val="single" w:sz="8" w:color="auto"/>
            </w:tcBorders>
            <w:vMerge w:val="continue"/>
          </w:tcPr>
          <w:p>
            <w:pPr>
              <w:spacing w:after="0"/>
              <w:rPr>
                <w:sz w:val="11"/>
                <w:szCs w:val="11"/>
                <w:color w:val="auto"/>
              </w:rPr>
            </w:pPr>
          </w:p>
        </w:tc>
        <w:tc>
          <w:tcPr>
            <w:tcW w:w="5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7"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1"/>
                <w:szCs w:val="11"/>
                <w:color w:val="auto"/>
              </w:rPr>
            </w:pPr>
          </w:p>
        </w:tc>
        <w:tc>
          <w:tcPr>
            <w:tcW w:w="900" w:type="dxa"/>
            <w:vAlign w:val="bottom"/>
          </w:tcPr>
          <w:p>
            <w:pPr>
              <w:jc w:val="right"/>
              <w:ind w:right="136"/>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5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1,092,238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1,513,613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226,896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323,019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494,616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2015, our net loss attributable to Wynn Resorts, Limited was $44.6 million, a decrease of 119.7% over the same period of 2014, resulting in diluted net loss per share of $0.44. The reduction in net income (loss) attributable to Wynn Resorts, Limited was driven by a decrease in casino revenues from our Macau Operations and $116.2 million in losses from the extinguishment of debt related to the purchase of first mortgage notes due 2020 pursuant to a cash tender offer. Adjusted Property EBITDA decreased year-over-year by 34.7%, from $494.6 million for the three months ended March 31, 2014 to $323.0 million for the same period of 2015. Our results reflect continued weak VIP gaming operations performance, with reduction in turnover of 52.4% for three months ended March 31, 2015 compared to the same period in 2014. The VIP turnover reduction is a result of the current market conditions in Macau as well as regional economic factors on games promoters and our premium customers.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March 31, 2015 compared to the three months ended March 31, 2014.</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705,357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1,132,698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386,881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380,915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1,092,238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1,513,613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Net revenues decreased 27.8%, or $421.4 million, to $1,092.2 million for the three months ended March 31, 2015, from $1,513.6 million for the same period in 2014. The decline is primarily due to a $406.5 million decrease in casino revenues from our Macau Operations.</w:t>
      </w:r>
    </w:p>
    <w:p>
      <w:pPr>
        <w:spacing w:after="0" w:line="162" w:lineRule="exact"/>
        <w:rPr>
          <w:sz w:val="20"/>
          <w:szCs w:val="20"/>
          <w:color w:val="auto"/>
        </w:rPr>
      </w:pPr>
    </w:p>
    <w:p>
      <w:pPr>
        <w:jc w:val="both"/>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826,099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1,226,133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266,139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287,480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1,092,238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1,513,613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Casino revenues were 75.6% of total net revenues for the three months ended March 31, 2015 compared to 81.0% for the same period of 2014, while non-casino revenues were 24.4% of total net revenues compared to 19.0% for the same period of 2014. The significant decline in casino revenues from our Macau Operations has affected the mix of casino and non-casino revenues.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Casino revenues decreased 32.6%, or $400.0 million, to $826.1 million for the three months ended March 31, 2015, from $1,226.1 million in the same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2014. The decline is primarily due to our Macau Operations, which experienced a year-over-year decrease in casino revenues of 38.0%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$1,070.9 million to $664.3 million. Our VIP gaming operations drove the Macau Operations casino revenue reduction, with $17.1 billion in VIP turnover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March 31, 2015 compared to $36.0 billion for the same period of 2014.</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664,320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1,070,854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17,127,666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35,997,716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(18,870,050)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Drop (1)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591,866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692,459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279,560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300,709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 (1)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1,039,615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1,398,890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69,437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161,779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155,279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573,612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647,436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135,679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133,734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762,184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743,798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48,417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45,501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1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purchase mass market casino gaming chips at either the gaming tables or the casino cage. Chips purchased at the casino cage are excluded from table games drop and will increase the expected win percentage. Because of the large number of chip purchases occurring at the casino cage in our Macau mass market casino, we believe the relevant indicator of volumes in the mass market casino should be actual table games win.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decreased 7.4%, or $21.3 million, to $266.1 million for the three months ended March 31, 2015, from $287.5 million for the same period of 2014, driven by a $16.5 million decrease in entertainment, retail and other revenues.</w:t>
      </w:r>
    </w:p>
    <w:p>
      <w:pPr>
        <w:spacing w:after="0" w:line="175"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8"/>
          <w:szCs w:val="18"/>
          <w:color w:val="auto"/>
        </w:rPr>
        <w:t>Room revenues decreased 3.2%, or $4.4 million, to $132.1 million for the three months ended March 31, 2015, from $136.5 million in the same period of 2014. Our Las Vegas Operations accounted for $3.4 million of the decrease, while Macau Operations accounted for $1.0 million of the decrease. The decrease in our Las Vegas Operations is primarily a result of a year-over-year decrease in occupancy of 4.8 percentage points partially offset by the impact of a 2.9% increase in ADR to $283 for the three months ended March 31, 2015.</w:t>
      </w:r>
    </w:p>
    <w:p>
      <w:pPr>
        <w:sectPr>
          <w:pgSz w:w="11900" w:h="16838" w:orient="portrait"/>
          <w:cols w:equalWidth="0" w:num="1">
            <w:col w:w="11420"/>
          </w:cols>
          <w:pgMar w:left="240" w:top="118" w:right="239" w:bottom="1440" w:gutter="0" w:footer="0" w:header="0"/>
        </w:sectPr>
      </w:pPr>
    </w:p>
    <w:p>
      <w:pPr>
        <w:spacing w:after="0" w:line="3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Percent Change (a)</w:t>
            </w:r>
          </w:p>
        </w:tc>
      </w:tr>
      <w:tr>
        <w:trPr>
          <w:trHeight w:val="249"/>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32,415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33,404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99,640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103,072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93"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decreased 4.1%, or $5.8 million, to $136.0 million, for the three months ended March 31, 2015, from $141.8 million for the same period of 2014 primarily as a result of a decrease in revenue from restaurants at our Macau Operations.</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decreased 15.4%, or $16.5 million, to $90.4 million, for the three months ended March 31, 2015, from $106.9 million for the same period of 2014. The decrease is primarily due to a decline in revenue from retail shops at our Macau Operations.</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Promotional allowances decreased 5.5%, or $5.4 million, to $92.3 million for the three months ended March 31, 2015, from $97.7 million for the same period of 2014. As a percentage of total casino revenues, promotional allowances were 11.2% for the three months ended March 31, 2015 compared to 8.0% for the same period of 2014. The increase in percentage of total casino revenues is primarily the result of a new customer loyalty program initiated at our Macau Operations in the second quarter of 2014.</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decreased 20.2%, or $229.6 million, to $907.2 million for the three months ended March 31, 2015, from $1,136.8 million for the same period of 2014, mainly from a decrease in casino expenses.</w:t>
      </w:r>
    </w:p>
    <w:p>
      <w:pPr>
        <w:spacing w:after="0" w:line="16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Casino expenses decreased 33.1%, or $259.7 million, to $524.1 million for the three months ended March 31, 2015, from $783.7 million for the same period of 2014, primarily due to lower gaming taxes with a 39.0% gross win tax incurred at our Macau Operations. The decline in gaming taxes was commensurate with the 38.0% decrease in casino revenues at our Macau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 expenses were relatively flat with $36.7 million for the three months ended March 31, 2015 compared to $35.3 million for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7"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were relatively flat with $76.4 million for the three months ended March 31, 2015 compared to $75.0 million for the same period of 2014.</w:t>
      </w:r>
    </w:p>
    <w:p>
      <w:pPr>
        <w:spacing w:after="0" w:line="162" w:lineRule="exact"/>
        <w:rPr>
          <w:sz w:val="20"/>
          <w:szCs w:val="20"/>
          <w:color w:val="auto"/>
        </w:rPr>
      </w:pPr>
    </w:p>
    <w:p>
      <w:pPr>
        <w:ind w:right="500" w:firstLine="432"/>
        <w:spacing w:after="0" w:line="313" w:lineRule="auto"/>
        <w:rPr>
          <w:sz w:val="20"/>
          <w:szCs w:val="20"/>
          <w:color w:val="auto"/>
        </w:rPr>
      </w:pPr>
      <w:r>
        <w:rPr>
          <w:rFonts w:ascii="Times New Roman" w:cs="Times New Roman" w:eastAsia="Times New Roman" w:hAnsi="Times New Roman"/>
          <w:sz w:val="17"/>
          <w:szCs w:val="17"/>
          <w:color w:val="auto"/>
        </w:rPr>
        <w:t>Entertainment, retail and other expenses decreased 9.5%, or $4.2 million to $40.3 million for the three months ended March 31, 2015, from $44.5 million in the same period of 2014, mainly from a reduction in merchandise cost at Wynn Macau associated with the decline in retail shop revenues.</w:t>
      </w:r>
    </w:p>
    <w:p>
      <w:pPr>
        <w:spacing w:after="0" w:line="138"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9.8%, or $10.9 million, to $122.2 million for the three months ended March 31, 2015, from $111.3 million in the same period of 2014. The majority of the increase is attributable to a $7.0 million</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increase from charitable contributions and other corporate related expenses and a $3.3 million increase in advertising expenses and other administrative expenses from our Las Vegas Operations.</w:t>
      </w:r>
    </w:p>
    <w:p>
      <w:pPr>
        <w:spacing w:after="0" w:line="162"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increased $8.8 million from a benefit of $2.7 million for three months ended March 31, 2014 to a provision of $6.1 million for the same period of 2015. We experienced a benefit during the three months ended March 31, 2014 due to increased casino accounts receivable collections from our Macau Operations.</w:t>
      </w:r>
    </w:p>
    <w:p>
      <w:pPr>
        <w:spacing w:after="0" w:line="176" w:lineRule="exact"/>
        <w:rPr>
          <w:sz w:val="20"/>
          <w:szCs w:val="20"/>
          <w:color w:val="auto"/>
        </w:rPr>
      </w:pPr>
    </w:p>
    <w:p>
      <w:pPr>
        <w:ind w:right="20" w:firstLine="432"/>
        <w:spacing w:after="0" w:line="289" w:lineRule="auto"/>
        <w:rPr>
          <w:sz w:val="20"/>
          <w:szCs w:val="20"/>
          <w:color w:val="auto"/>
        </w:rPr>
      </w:pPr>
      <w:r>
        <w:rPr>
          <w:rFonts w:ascii="Times New Roman" w:cs="Times New Roman" w:eastAsia="Times New Roman" w:hAnsi="Times New Roman"/>
          <w:sz w:val="17"/>
          <w:szCs w:val="17"/>
          <w:color w:val="auto"/>
        </w:rPr>
        <w:t>Pre-opening costs were $16.1 million for the three months ended March 31, 2015, compared to $3.1 million for the same period of 2014 and were associated with the design and planning for our development projects. We expect our pre-opening costs to increase in the future as the construction and development of Wynn Palace progresses toward the expected completion in the first half of 2016 and with development for the Wynn resort in Massachusetts.</w:t>
      </w:r>
    </w:p>
    <w:p>
      <w:pPr>
        <w:spacing w:after="0" w:line="158"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8.1%, or $6.2 million, to $82.9 million for the three months ended March 31, 2015, from $76.7 million for the same period of 2014. The increase is primarily due to additional depreciation associated with equipment additions at our Las Vegas nightclubs and building improvements, including our new VIP gaming rooms, at our Macau Operations.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Interest expense, net of amounts capitalized, increased 3.6%, or $2.7 million, to $78.0 million for the three months ended March 31, 2015, from $75.3 million for the same period in 2014, attributable to a $7.9 million increase in interest expense, which was primarily offset by a $5.2 million increase in capitalized interest. In February 2015, we issued $1.8 billion of 5 1/2% senior notes due 2025 and used the proceeds for the purchase of $305.8 million of 7 3/4% first mortgage notes due 2020 and $1,146.5 million of 7 7/8% first mortgage notes due 2020 pursuant to a cash tender offer. In March 2014, we issued $750 million of 5 1/4% senior notes due 2021. These financing activities increased the Company's long-term debt resulting in higher interest expense incurred during the three months ended March 31, 2015 compared to the same period of 2014. We expect that capitalized interest will continue to increase with the ongoing borrowings and construction costs related to Wynn Palace and the Wynn resort in Massachusetts.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2015, we recognized $116.2 million in loss from extinguishment of debt compared to $1.5 million for the same period of 2014. The majority of the losses during the three months ended March 31, 2015 are in connection with the cash tender offer discussed above. We paid $101.2 million in consideration to holders who tendered their first mortgage notes due 2020. Additionally, we expensed $17.2 million of unamortized financing costs and original issue discount and incurred other fees of approximately $0.1 million related to the cash tender offer.</w:t>
      </w:r>
    </w:p>
    <w:p>
      <w:pPr>
        <w:spacing w:after="0" w:line="140"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We incurred a loss of $4.6 million and a gain of $0.8 million for the three months ended March 31, 2015 and 2014 respectively, from the change in the fair value of our interest rate swaps. For further information on our interest rate swaps, see Item 3 — “Quantitative and Qualitative Disclosures about Market Risk.”</w:t>
      </w:r>
    </w:p>
    <w:p>
      <w:pPr>
        <w:spacing w:after="0" w:line="176"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$1.7 million for the three months ended March 31, 2015, compared to $4.8 million for the three months ended March 31, 2014. During 2015 and 2014,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and 2014, we recorded a tax expense of $3.2 million and $2.6 million, respectively. Our income tax expense in the current year and in the prior year is primarily related to an increase in the domestic valuation allowance for U.S. foreign tax credits (“FTCs”) that are not expected to provide a U.S. tax benefit in future years.</w:t>
      </w:r>
    </w:p>
    <w:p>
      <w:pPr>
        <w:spacing w:after="0" w:line="12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Since June 30, 2010, we have no longer considered our portion of the tax earnings and profits of Wynn Macau, Limited to be permanently invested. No additional U.S. tax provision has been made with respect to amounts not considered permanently invested as we anticipate that U.S. FTCs should be sufficient to eliminate any U.S. tax provision relating to repatriation. We have not provided deferred U.S. income taxes or foreign withholding taxes on temporary differences as these amounts are permanently reinvested. For the three months ended March 31, 2015 and 2014, we recognized income tax benefits related to excess tax deductions associated with stock compensation costs of $0.3 million and $2.4 million, respectively.</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Wynn Resorts (Macau) S.A. has received a 5-year exemption from Macau’s 12% Complementary Tax on casino gaming profits through December 31, 2015. Accordingly, we were exempt from the payment of $13.8 million and $31.6 million in such taxes during the three months ended March 31, 2015 and 2014, respectively. Our non-gaming profits remain subject to the Macau Complementary Tax and casino winnings remain subject to the Macau Special Gaming tax and other levies together totaling 39% in accordance with our concession agreement.</w:t>
      </w:r>
    </w:p>
    <w:p>
      <w:pPr>
        <w:spacing w:after="0" w:line="126"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In December 2014, we received notification that for the 2015 tax year we had been accepted for the Compliance Maintenance phase of the Internal Revenue Service (“IRS”) Compliance Assurance Program (“CAP”). CAP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$30.7 million for the three months ended March 31, 2015, compared to $76.1 million for the three months ended March 31, 2014. These amounts represent the noncontrolling interests' share of net income from Wynn Macau,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1—“Notes to Condensed Consolidated Financial Statements”, Note 16 “Segment Information.” That footnote also presents a reconciliation of Adjusted Property EBITDA to net income (loss).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212,342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384,328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110,677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110,288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323,019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494,616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at our Macau Operations decreased year-over-year by 44.7% for the three months ended March 31, 2015 primarily due to the decline in VIP turnover.</w:t>
      </w:r>
    </w:p>
    <w:p>
      <w:pPr>
        <w:spacing w:after="0" w:line="16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at our Las Vegas Operations was relatively flat with $110.7 million for the three months ended March 31, 2015 compared to $110.3 million for the three months ended March 31, 2014.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Net cash used in operations for the three months ended March 31, 2015 was $15.0 million compared to $209.2 million provided by operations for the three months ended March 31, 2014. The reduction was primarily due to lower operating income that was driven by stronger operating results in the prior year and from the change in ordinary working capital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2015 was $521.6 million compared to net cash provided by investing activities of $17.9 million for the same period in 2014. Capital expenditures, net of construction payables and retention, were $495.7 million and $178.1 million for the three months ended March 31, 2015 and 2014, respectively, with the increase primarily associated with Wynn Palace construction. During the three months ended March 31, 2014, we were provided $199.8 million of proceeds from restricted cash which we applied to payment of certain Wynn Palace related construction and development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40" w:firstLine="432"/>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2015 was $3.4 million compared to net cash provided by financing activities of $612.8 million for the three months ended March 31, 2014. During the three months ended March 31, 2015, we issued $1.8 billion of 5 1/2% senior notes due 2025 with proceeds used for the purchase of $1.5 billion of our first mortgage notes due 2020 pursuant to a cash tender offer. In connection with the cash tender offer, we restricted funds of $163.0 million for the purpose of redeeming the portion of the first mortgage notes due 2020 that were not tendered.</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2015, the proceeds from the issuance were also offset by payments of $124.8 million in financing costs primarily in connection with the senior notes issuance and first mortgage notes cash tender offer, as well as $346.8 million in dividends. During the three months ended March 31, 2014, we were provided proceeds of $756.2 million from the issuance of senior notes, partially offset by the payment of dividends of $126.4 million and open market repurchases of $12.0 million in principal of first mortgage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As of March 31, 2015, we had approximately $1,641.9 million of cash and cash equivalents and $251.3 million of available-for-sale investments in domestic debt securities. Cash and cash equivalents include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 Macau, Limited and its subsidiaries held $512.4 million in cash, of which we own 72%. If our portion of this cash was repatriated to the U.S. on March 31, 2015, it would not be subject to U.S. tax in the year of repatriation. Wynn Resorts, Limited (including its subsidiaries other than Wynn Las Vegas and Wynn Macau), which is not a guarantor of the debt of its subsidiaries, held $986.5 million and $251.3 million of cash and available-for-sale investments, respectively. Wynn Las Vegas, LLC held cash balances of $143.0 million.</w:t>
      </w:r>
    </w:p>
    <w:p>
      <w:pPr>
        <w:spacing w:after="0" w:line="18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the funding of our development projects, debt service and retirement, general corporate purposes and enhancements to our operating resorts. We intend to primarily fund our development projects with the available borrowing capacity under our bank credit facilities.</w:t>
      </w:r>
    </w:p>
    <w:p>
      <w:pPr>
        <w:spacing w:after="0" w:line="176"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The Company's Wynn Macau credit facilities include a $950 million equivalent fully funded senior secured term loan facility and a $1.55 billion equivalent senior secured revolving credit facility (together, the “Wynn Macau Credit Facilities”).</w:t>
      </w: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Borrowings under the Wynn Macau Credit Facilities, which consist of both Hong Kong and United States dollar tranches, will be used to fund the design, development, construction and pre-opening expenses of Wynn Palace, and for general corporate purposes. As of March 31, 2015, the Company had $1.16 billion of available borrowing capacity under the senior secured revolving credit facility.</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Company's Wynn America credit facilities include a $375 million senior secured revolving credit facility and an $875 million delay draw senior secured term loan facility entered into by Wynn America, LLC in November 2014 (together, the “Wynn America Credit Facilities”). Borrowings under the Wynn America Credit Facilities will be used to fund the design, development, construction and pre-opening expenses of the Wynn resort in Massachusetts and for other general corporate purposes. As of March 31, 2015, there were no amounts drawn under the Wynn America Credit Facilities, however there were outstanding letters of credit totaling $8.9 million reducing the available borrowing capacity to $1.24 billion.</w:t>
      </w:r>
    </w:p>
    <w:p>
      <w:pPr>
        <w:spacing w:after="0" w:line="18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bank credit facilities and our existing cash balances will be sufficient to satisfy our currently anticipated cash requirements through at least the next 12 months. If any additional financing becomes necessary, we cannot provide assurance that future borrowings will be available on terms as favorable as currently exist, or at all.</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2015, we had outstanding letters of credit totaling $8.9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three months ended March 31, 2015 to our contractual obligations or off balance sheet arrangements as disclosed in our Annual Report on Form 10-K for the year ended December 31, 2014, except as discussed above under “Financing Activities.”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Wynn Las Vegas, LLC, Wynn America, LLC and Wynn Resorts (Macau) S.A.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Macau Credit Facilities contain similar restrictions, including a specified leverage ratio, which must be met in order to pay dividends and Wynn Macau is presently able to pay dividends in accordance with the Wynn Macau Credit Facilities.</w:t>
      </w:r>
    </w:p>
    <w:p>
      <w:pPr>
        <w:spacing w:after="0" w:line="18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Limited's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8"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might be made using a variety of methods, which may include open market purchases, privately negotiated transactions, or by any combination of those methods, in compliance with applicable securities laws and regulations.</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80"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88"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On February 18, 2012, the Board of Directors of Wynn Resorts determined that Aruze USA, Inc., Universal Entertainment Corporation and Mr. Kazuo Okada are “unsuitable” under the provision of our articles of incorporation and redeemed and canceled all of Aruze USA, Inc.’s, 24,549,222 shares of Wynn Resorts’ common stock. Pursuant to our articles of incorporation, we issued the Redemption Note to Aruze USA, Inc. in redemption of the shares. For additional information on the redemption and the Redemption Note, see Item 1—“Notes to Condensed Consolidated Financial Statements”, Note 14 “Commitments and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2014. There has been no material change to these policies for the three months ended March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1—“Notes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2014 and other factors we describe from time to time in our periodic filings with the Securities and Exchange Commission (“SEC”), such as:</w:t>
      </w:r>
    </w:p>
    <w:p>
      <w:pPr>
        <w:spacing w:after="0" w:line="180" w:lineRule="exact"/>
        <w:rPr>
          <w:sz w:val="20"/>
          <w:szCs w:val="20"/>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which may impact levels of travel, leisure and consumer spending;</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960" w:right="640" w:hanging="655"/>
        <w:spacing w:after="0" w:line="261"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games promoters;</w:t>
      </w:r>
    </w:p>
    <w:p>
      <w:pPr>
        <w:spacing w:after="0" w:line="9" w:lineRule="exact"/>
        <w:rPr>
          <w:rFonts w:ascii="Times New Roman" w:cs="Times New Roman" w:eastAsia="Times New Roman" w:hAnsi="Times New Roman"/>
          <w:sz w:val="18"/>
          <w:szCs w:val="18"/>
          <w:color w:val="auto"/>
        </w:rPr>
      </w:pPr>
    </w:p>
    <w:p>
      <w:pPr>
        <w:ind w:left="1960" w:right="20" w:hanging="655"/>
        <w:spacing w:after="0" w:line="25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in Macau and government labor policies, unexpected cost increases, environmental regulation and our ability to secure federal, state and local permits and approvals necessary for our construction projects);</w:t>
      </w:r>
    </w:p>
    <w:p>
      <w:pPr>
        <w:spacing w:after="0" w:line="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stricter smoking regulations in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960" w:right="100" w:hanging="655"/>
        <w:spacing w:after="0" w:line="25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pay us dividends and distributions;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certain jurisdictions; and</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w:t>
      </w:r>
    </w:p>
    <w:p>
      <w:pPr>
        <w:spacing w:after="0" w:line="20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Condensed Consolidated Statements of Operations, as the swaps do not qualify for hedge accounting.</w:t>
      </w:r>
    </w:p>
    <w:p>
      <w:pPr>
        <w:spacing w:after="0" w:line="18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in exchange for receipts on the same</w:t>
      </w:r>
    </w:p>
    <w:p>
      <w:pPr>
        <w:spacing w:after="0" w:line="3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amount at a variable interest rate based on the applicable HIBOR at the time of payment. These interest rate swaps fix the all-in interest rate on such amounts at 2.48% to 3.23%. These interest rate swap agreements mature in July 2017.</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80"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2015 and December 31, 2014, we recorded an asset of $1.3 million and $5.9 million, respectively, for our interest rate swaps in deposits and other assets.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2015, approximately 93% of our long-term debt was based on fixed rates, including the notional amounts related to interest rate swaps.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borrowings as of March 31, 2015, an assumed 1% change in the variable rates would cause our annual interest cost to change by $5.9 million.</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76"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The amount of our cash balances that are denominated in foreign currencies, primarily the Hong Kong dollar, can change significantly, representing approximately 22% of our March 31, 2015 cash balances. Based on our balances at March 31, 2015, an assumed 1% change in the dollar/Hong Kong dollar exchange rate would cause a foreign currency transaction gain/loss of approximately $3.0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40" w:firstLine="440"/>
        <w:spacing w:after="0" w:line="253" w:lineRule="auto"/>
        <w:tabs>
          <w:tab w:leader="none" w:pos="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40"/>
        <w:spacing w:after="0" w:line="267"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There were no changes in our internal control over financial reporting (as such term is defined in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20"/>
          </w:cols>
          <w:pgMar w:left="24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76"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In July 2014, Wynn Resorts (Macau) S.A. (“Wynn Macau SA”), an indirect subsidiary of Wynn Macau, Limited, was contacted by the Macau Commission Against Corruption of Macau (“CCAC”) requesting certain information related to its land in the Cotai area of Macau. Wynn Macau SA is cooperating with CCAC's request.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2014. There were no material changes to those risk factors during the three months ended March 31, 2015.</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Dividend Restrictions</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Wynn Las Vegas, LLC, Wynn America, LLC and Wynn Macau SA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Macau Credit Facilities contain similar restrictions, including a specified leverage ratio, which must be met in order to pay dividends and Wynn Macau is presently able to pay dividends in accordance with the Wynn Macau Credit Facilities.</w:t>
      </w:r>
    </w:p>
    <w:p>
      <w:pPr>
        <w:spacing w:after="0" w:line="14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On February 3, 2015, we announced a cash dividend of $1.50 per share under our Board approved quarterly cash dividend program. The cash dividend was paid on February 23, 2015 to stockholders of record as of February 13, 2015.</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March 4, 2015, the Wynn Macau, Limited Board of Directors approved a dividend of HK$1.05 per share that was paid on March 31, 2015.</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28, 2015 we announced a cash dividend of $0.50 per share, payable on May 21, 2015 to stockholders of record as of May 11, 2015.</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January 2015, we repurchased 45,717 shares in satisfaction of tax withholding obligations on vested restricted stock, at an average price of $147.65 per share, for a total expenditure of $6.8 million.</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February 2015, we repurchased 1,049 shares of tax withholding obligation on vested restricted stock, at an average price of $154.33 per share, for a total expenditure of $0.2 million.</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8"/>
          <w:szCs w:val="18"/>
          <w:color w:val="auto"/>
        </w:rPr>
        <w:t>*3.1</w:t>
        <w:tab/>
        <w:t>Third Amended and Restated Articles of Incorporation of the Registrant.</w:t>
      </w:r>
    </w:p>
    <w:p>
      <w:pPr>
        <w:spacing w:after="0" w:line="77" w:lineRule="exact"/>
        <w:rPr>
          <w:sz w:val="20"/>
          <w:szCs w:val="20"/>
          <w:color w:val="auto"/>
        </w:rPr>
      </w:pPr>
    </w:p>
    <w:p>
      <w:pPr>
        <w:ind w:left="680"/>
        <w:spacing w:after="0"/>
        <w:tabs>
          <w:tab w:leader="none" w:pos="1060" w:val="left"/>
        </w:tabs>
        <w:rPr>
          <w:sz w:val="20"/>
          <w:szCs w:val="20"/>
          <w:color w:val="auto"/>
        </w:rPr>
      </w:pPr>
      <w:r>
        <w:rPr>
          <w:rFonts w:ascii="Times New Roman" w:cs="Times New Roman" w:eastAsia="Times New Roman" w:hAnsi="Times New Roman"/>
          <w:sz w:val="18"/>
          <w:szCs w:val="18"/>
          <w:color w:val="auto"/>
        </w:rPr>
        <w:t>3.2</w:t>
        <w:tab/>
        <w:t>Seventh Amended and Restated Bylaws of the Registrant, as amended. (1)</w:t>
      </w:r>
    </w:p>
    <w:p>
      <w:pPr>
        <w:spacing w:after="0" w:line="63" w:lineRule="exact"/>
        <w:rPr>
          <w:sz w:val="20"/>
          <w:szCs w:val="20"/>
          <w:color w:val="auto"/>
        </w:rPr>
      </w:pPr>
    </w:p>
    <w:p>
      <w:pPr>
        <w:ind w:left="1080" w:right="30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4.1</w:t>
        <w:tab/>
        <w:t>Indenture, dated February 18, 2015, among Wynn Las Vegas, LLC, Wynn Las Vegas Capital Corp., the Guarantors named therein and U.S. Bank National Association, as trustee. (2)</w:t>
      </w:r>
    </w:p>
    <w:p>
      <w:pPr>
        <w:spacing w:after="0" w:line="2" w:lineRule="exact"/>
        <w:rPr>
          <w:sz w:val="20"/>
          <w:szCs w:val="20"/>
          <w:color w:val="auto"/>
        </w:rPr>
      </w:pPr>
    </w:p>
    <w:p>
      <w:pPr>
        <w:ind w:left="1080" w:right="32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4.2</w:t>
        <w:tab/>
        <w:t>Supplemental Indenture, dated as of February 18, 2015, to Indenture, dated as of April 28, 2010, among Wynn Las Vegas, LLC, Wynn Las Vegas Capital Corp., the Guarantors named therein and U.S. Bank National Association, as trustee. (3)</w:t>
      </w:r>
    </w:p>
    <w:p>
      <w:pPr>
        <w:spacing w:after="0" w:line="2" w:lineRule="exact"/>
        <w:rPr>
          <w:sz w:val="20"/>
          <w:szCs w:val="20"/>
          <w:color w:val="auto"/>
        </w:rPr>
      </w:pPr>
    </w:p>
    <w:p>
      <w:pPr>
        <w:ind w:left="1080" w:right="26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4.3</w:t>
        <w:tab/>
        <w:t>Supplemental Indenture, dated as of February 18, 2015, to Indenture, dated as of August 4, 2010, among Wynn Las Vegas, LLC, Wynn Las Vegas Capital Corp., the Guarantors named therein and U.S. Bank National Association, as trustee. (3)</w:t>
      </w:r>
    </w:p>
    <w:p>
      <w:pPr>
        <w:spacing w:after="0" w:line="2" w:lineRule="exact"/>
        <w:rPr>
          <w:sz w:val="20"/>
          <w:szCs w:val="20"/>
          <w:color w:val="auto"/>
        </w:rPr>
      </w:pPr>
    </w:p>
    <w:p>
      <w:pPr>
        <w:ind w:left="1080" w:right="22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4.4</w:t>
        <w:tab/>
        <w:t>Supplemental Indenture, dated as of February 18, 2015, to Indenture, dated as of March 12, 2012, among Wynn Las Vegas, LLC, Wynn Las Vegas Capital Corp., the Guarantors named therein and U.S. Bank National Association, as trustee. (3)</w:t>
      </w:r>
    </w:p>
    <w:p>
      <w:pPr>
        <w:spacing w:after="0" w:line="2" w:lineRule="exact"/>
        <w:rPr>
          <w:sz w:val="20"/>
          <w:szCs w:val="20"/>
          <w:color w:val="auto"/>
        </w:rPr>
      </w:pPr>
    </w:p>
    <w:p>
      <w:pPr>
        <w:ind w:left="1080" w:right="36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4.5</w:t>
        <w:tab/>
        <w:t>Supplemental Indenture, dated as of February 18, 2015, to Indenture, dated as of May 22, 2013, among Wynn Las Vegas, LLC, Wynn Las Vegas Capital Corp., the Guarantors named therein and U.S. Bank National Association, as trustee. (3)</w:t>
      </w:r>
    </w:p>
    <w:p>
      <w:pPr>
        <w:spacing w:after="0" w:line="2"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Seventh Amendment to Employment Agreement, dated as of January 15, 2015, between Wynn Resorts, Limited and Stephen A. Wynn. (3)</w:t>
      </w:r>
    </w:p>
    <w:p>
      <w:pPr>
        <w:spacing w:after="0" w:line="63"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Second Amendment to Employment Agreement, dated as of February 24, 2015, by and between Wynn Resorts, Limited and Stephen Cootey.</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w:t>
      </w:r>
    </w:p>
    <w:p>
      <w:pPr>
        <w:spacing w:after="0" w:line="45" w:lineRule="exact"/>
        <w:rPr>
          <w:sz w:val="20"/>
          <w:szCs w:val="20"/>
          <w:color w:val="auto"/>
        </w:rPr>
      </w:pPr>
    </w:p>
    <w:p>
      <w:pPr>
        <w:ind w:left="1080" w:right="420" w:hanging="489"/>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10.3</w:t>
        <w:tab/>
        <w:t>First Amendment to 2013 Second Amended and Restated Agreement of Lease, dated as of February 25, 2015, by and between Wynn Las Vegas, LLC and Stephen A. Wynn. (3)</w:t>
      </w:r>
    </w:p>
    <w:p>
      <w:pPr>
        <w:spacing w:after="0" w:line="2" w:lineRule="exact"/>
        <w:rPr>
          <w:sz w:val="20"/>
          <w:szCs w:val="20"/>
          <w:color w:val="auto"/>
        </w:rPr>
      </w:pPr>
    </w:p>
    <w:p>
      <w:pPr>
        <w:ind w:left="1080" w:right="520" w:hanging="489"/>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10.4</w:t>
        <w:tab/>
        <w:t>Termination Agreement to the Aircraft Time Sharing Agreement, dated as of January 15, 2015, by and between Las Vegas Jet, LLC and Stephen A. Wynn. (3)</w:t>
      </w:r>
    </w:p>
    <w:p>
      <w:pPr>
        <w:spacing w:after="0" w:line="2"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Aircraft Time Sharing Agreement, dated January 15, 2015, by and between Wynn Resorts, Limited and Stephen A. Wynn. (3)</w:t>
      </w:r>
    </w:p>
    <w:p>
      <w:pPr>
        <w:spacing w:after="0" w:line="63" w:lineRule="exact"/>
        <w:rPr>
          <w:sz w:val="20"/>
          <w:szCs w:val="20"/>
          <w:color w:val="auto"/>
        </w:rPr>
      </w:pPr>
    </w:p>
    <w:p>
      <w:pPr>
        <w:ind w:left="1080" w:right="460" w:hanging="489"/>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10.6</w:t>
        <w:tab/>
        <w:t>Termination Agreement, dated February 26, 2015, to Management Agreement, dated as of December 14, 2004, by and among Wynn Las Vegas, LLC, certain Wynn Las Vegas-related entities named therein, and Wynn Resorts, Limited. (3)</w:t>
      </w:r>
    </w:p>
    <w:p>
      <w:pPr>
        <w:spacing w:after="0" w:line="2" w:lineRule="exact"/>
        <w:rPr>
          <w:sz w:val="20"/>
          <w:szCs w:val="20"/>
          <w:color w:val="auto"/>
        </w:rPr>
      </w:pPr>
    </w:p>
    <w:p>
      <w:pPr>
        <w:ind w:left="1080" w:right="420" w:hanging="489"/>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10.7</w:t>
        <w:tab/>
        <w:t>Management Fee and Corporate Allocation Agreement, dated as of February 26, 2015, by and between Wynn Las Vegas, LLC and Wynn Resorts, Limited. (3)</w:t>
      </w:r>
    </w:p>
    <w:p>
      <w:pPr>
        <w:spacing w:after="0" w:line="2" w:lineRule="exact"/>
        <w:rPr>
          <w:sz w:val="20"/>
          <w:szCs w:val="20"/>
          <w:color w:val="auto"/>
        </w:rPr>
      </w:pPr>
    </w:p>
    <w:p>
      <w:pPr>
        <w:ind w:left="1080" w:right="18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*10.8</w:t>
        <w:tab/>
        <w:t>2015 Intellectual Property License Agreement, dated as of February 26, 2015, by and between Wynn Resorts Holdings, LLC, Wynn Resorts, Limited and Wynn Las Vegas, LLC.</w:t>
      </w:r>
    </w:p>
    <w:p>
      <w:pPr>
        <w:spacing w:after="0" w:line="2" w:lineRule="exact"/>
        <w:rPr>
          <w:sz w:val="20"/>
          <w:szCs w:val="20"/>
          <w:color w:val="auto"/>
        </w:rPr>
      </w:pPr>
    </w:p>
    <w:p>
      <w:pPr>
        <w:ind w:left="1080" w:right="46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*10.9</w:t>
        <w:tab/>
        <w:t>Termination Agreement, dated February 26, 2015, to Management Agreement, dated as of December 14, 2004, by and among Wynn Las Vegas, LLC, certain Wynn Las Vegas-related entities named therein, and Wynn Resorts, Limited.</w:t>
      </w:r>
    </w:p>
    <w:p>
      <w:pPr>
        <w:spacing w:after="0" w:line="2" w:lineRule="exact"/>
        <w:rPr>
          <w:sz w:val="20"/>
          <w:szCs w:val="20"/>
          <w:color w:val="auto"/>
        </w:rPr>
      </w:pPr>
    </w:p>
    <w:p>
      <w:pPr>
        <w:ind w:left="1080" w:right="364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*31.1</w:t>
        <w:tab/>
        <w:t>Certification of Chief Executive Officer of Periodic Report Pursuant to Rule 13a – 14(a) and Rule 15d – 14(a).</w:t>
      </w:r>
    </w:p>
    <w:p>
      <w:pPr>
        <w:spacing w:after="0" w:line="1" w:lineRule="exact"/>
        <w:rPr>
          <w:sz w:val="20"/>
          <w:szCs w:val="20"/>
          <w:color w:val="auto"/>
        </w:rPr>
      </w:pPr>
    </w:p>
    <w:p>
      <w:pPr>
        <w:ind w:left="1080" w:right="370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*31.2</w:t>
        <w:tab/>
        <w:t>Certification of Chief Financial Officer of Periodic Report Pursuant to Rule 13a – 14(a) and Rule 15d – 14(a).</w:t>
      </w:r>
    </w:p>
    <w:p>
      <w:pPr>
        <w:spacing w:after="0" w:line="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18 U.S.C. Section 1350.</w:t>
      </w:r>
    </w:p>
    <w:p>
      <w:pPr>
        <w:spacing w:after="0" w:line="63" w:lineRule="exact"/>
        <w:rPr>
          <w:sz w:val="20"/>
          <w:szCs w:val="20"/>
          <w:color w:val="auto"/>
        </w:rPr>
      </w:pPr>
    </w:p>
    <w:p>
      <w:pPr>
        <w:ind w:left="1080" w:hanging="539"/>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Quarterly Report on Form 10-Q for the quarter ended March 31, 2015, filed with the SEC on May 8, 2015 formatted in Extensible Business Reporting Language (XBRL): (i) the Condensed Consolidated Balance Sheets at March 31, 2015 and December 31, 2014, (ii) the Condensed Consolidated Statements of Operations for the three months ended March 31, 2015 and 2014, (iii) the Condensed Consolidated Statements of Comprehensive Income (Loss) for the three months ended March 31, 2015 and 2014,</w:t>
      </w:r>
    </w:p>
    <w:p>
      <w:pPr>
        <w:spacing w:after="0" w:line="3" w:lineRule="exact"/>
        <w:rPr>
          <w:sz w:val="20"/>
          <w:szCs w:val="20"/>
          <w:color w:val="auto"/>
        </w:rPr>
      </w:pPr>
    </w:p>
    <w:p>
      <w:pPr>
        <w:ind w:left="1080" w:right="100" w:hanging="5"/>
        <w:spacing w:after="0" w:line="290" w:lineRule="auto"/>
        <w:tabs>
          <w:tab w:leader="none" w:pos="13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Condensed Consolidated Statements of Cash Flows for the three months ended March 31, 2015 and 2014, (v) the Condensed Consolidated Statement of Stockholders’ Equity (Deficit) at March 31, 2015 and (vi)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18" w:right="27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0"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Quarterly Report on Form 10-Q filed by the Registrant on August 8, 2014 and incorporated herein by reference.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February 18, 2015 and incorporated herein by reference.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Annual Report on Form 10-K filed by the Registrant on March 2, 2015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20"/>
          </w:cols>
          <w:pgMar w:left="24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May 8,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80"/>
          </w:cols>
          <w:pgMar w:left="240" w:top="118" w:right="8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AMENDED AND RESTATED ARTICLES OF INCORPORATION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20"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Pursuant to the provisions of Nevada Revised Statutes 78.390 and 78.403, the undersigned officer of Wynn Resorts, Limited, a Nevada corporation, does hereby certify as follows:</w:t>
      </w:r>
    </w:p>
    <w:p>
      <w:pPr>
        <w:spacing w:after="0" w:line="158" w:lineRule="exact"/>
        <w:rPr>
          <w:sz w:val="20"/>
          <w:szCs w:val="20"/>
          <w:color w:val="auto"/>
        </w:rPr>
      </w:pPr>
    </w:p>
    <w:p>
      <w:pPr>
        <w:ind w:right="140" w:firstLine="656"/>
        <w:spacing w:after="0" w:line="263" w:lineRule="auto"/>
        <w:tabs>
          <w:tab w:leader="none" w:pos="14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board of directors of the corporation has duly adopted resolutions proposing to amend and restate the articles of incorporation of the corporation as set forth below, declaring such amendment and restatement to be advisable and in the best interests of the corporation.</w:t>
      </w:r>
    </w:p>
    <w:p>
      <w:pPr>
        <w:spacing w:after="0" w:line="208" w:lineRule="exact"/>
        <w:rPr>
          <w:rFonts w:ascii="Times New Roman" w:cs="Times New Roman" w:eastAsia="Times New Roman" w:hAnsi="Times New Roman"/>
          <w:sz w:val="18"/>
          <w:szCs w:val="18"/>
          <w:color w:val="auto"/>
        </w:rPr>
      </w:pPr>
    </w:p>
    <w:p>
      <w:pPr>
        <w:ind w:right="200" w:firstLine="656"/>
        <w:spacing w:after="0" w:line="284" w:lineRule="auto"/>
        <w:tabs>
          <w:tab w:leader="none" w:pos="14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amendment and restatement of the articles of incorporation as set forth below has been approved the holders of a majority of the voting power of the stockholders of the corporation, which is sufficient for approval thereof.</w:t>
      </w:r>
    </w:p>
    <w:p>
      <w:pPr>
        <w:spacing w:after="0" w:line="185"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This certificate sets forth the text of the articles of incorporation of the corporation as amended and restated in their entirety to this date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AMENDED AND RESTATED ARTICLES OF INCORPORATION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w:t>
      </w: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name of the corporation is Wynn Resorts, Limited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CAPITAL STOCK</w:t>
      </w:r>
    </w:p>
    <w:p>
      <w:pPr>
        <w:spacing w:after="0" w:line="236"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 The aggregate number of shares which the Corporation shall have authority to issue is four hundred and forty million (440,000,000) shares, consisting of two classes to be designated, respectively, “Common Stock” and “Preferred Stock,” with all of such shares having a par value of $.01 per share. The total number of shares of Common Stock that the Corporation shall have authority to issue is four hundred million (400,000,000) shares. The total number of shares of Preferred Stock that the Corporation shall have authority to issue is forty million (40,000,000) shares. The Preferred Stock may be issued in one or more series, each series to be appropriately designated by a distinguishing letter or title, prior to the issuance of any shares thereof. The voting powers, designations, preferences, limitations, restrictions, and relative, participating, optional and other rights, and the</w:t>
      </w:r>
    </w:p>
    <w:p>
      <w:pPr>
        <w:sectPr>
          <w:pgSz w:w="11900" w:h="16838" w:orient="portrait"/>
          <w:cols w:equalWidth="0" w:num="1">
            <w:col w:w="11420"/>
          </w:cols>
          <w:pgMar w:left="240" w:top="576" w:right="239" w:bottom="1440" w:gutter="0" w:footer="0" w:header="0"/>
        </w:sectPr>
      </w:pPr>
    </w:p>
    <w:bookmarkStart w:id="47" w:name="page48"/>
    <w:bookmarkEnd w:id="47"/>
    <w:p>
      <w:pPr>
        <w:ind w:right="40"/>
        <w:spacing w:after="0" w:line="271" w:lineRule="auto"/>
        <w:rPr>
          <w:sz w:val="20"/>
          <w:szCs w:val="20"/>
          <w:color w:val="auto"/>
        </w:rPr>
      </w:pPr>
      <w:r>
        <w:rPr>
          <w:rFonts w:ascii="Times New Roman" w:cs="Times New Roman" w:eastAsia="Times New Roman" w:hAnsi="Times New Roman"/>
          <w:sz w:val="22"/>
          <w:szCs w:val="22"/>
          <w:color w:val="auto"/>
        </w:rPr>
        <w:t>qualifications, limitations, or restrictions thereof, of the Preferred Stock shall hereinafter be prescribed by resolution of the board of directors pursuant to Section 3 of this Article II.</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100" w:firstLine="1305"/>
        <w:spacing w:after="0" w:line="257" w:lineRule="auto"/>
        <w:tabs>
          <w:tab w:leader="none" w:pos="21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Dividend Rate</w:t>
      </w:r>
      <w:r>
        <w:rPr>
          <w:rFonts w:ascii="Times New Roman" w:cs="Times New Roman" w:eastAsia="Times New Roman" w:hAnsi="Times New Roman"/>
          <w:sz w:val="22"/>
          <w:szCs w:val="22"/>
          <w:color w:val="auto"/>
        </w:rPr>
        <w:t>. Subject to the rights of holders of any Preferred Stock having preference as to dividends and except as otherwise provided by these Articles of Incorporation, as amended from time to time (hereinafter, the “</w:t>
      </w:r>
      <w:r>
        <w:rPr>
          <w:rFonts w:ascii="Times New Roman" w:cs="Times New Roman" w:eastAsia="Times New Roman" w:hAnsi="Times New Roman"/>
          <w:sz w:val="22"/>
          <w:szCs w:val="22"/>
          <w:u w:val="single" w:color="auto"/>
          <w:color w:val="auto"/>
        </w:rPr>
        <w:t>Articles</w:t>
      </w:r>
      <w:r>
        <w:rPr>
          <w:rFonts w:ascii="Times New Roman" w:cs="Times New Roman" w:eastAsia="Times New Roman" w:hAnsi="Times New Roman"/>
          <w:sz w:val="22"/>
          <w:szCs w:val="22"/>
          <w:color w:val="auto"/>
        </w:rPr>
        <w:t>”) or the NRS, the holders of Common Stock shall be entitled to receive dividends when, as and if declared by the board of directors out of assets legally available therefor.</w:t>
      </w:r>
    </w:p>
    <w:p>
      <w:pPr>
        <w:spacing w:after="0" w:line="212" w:lineRule="exact"/>
        <w:rPr>
          <w:rFonts w:ascii="Times New Roman" w:cs="Times New Roman" w:eastAsia="Times New Roman" w:hAnsi="Times New Roman"/>
          <w:sz w:val="18"/>
          <w:szCs w:val="18"/>
          <w:color w:val="auto"/>
        </w:rPr>
      </w:pPr>
    </w:p>
    <w:p>
      <w:pPr>
        <w:jc w:val="both"/>
        <w:ind w:right="120" w:firstLine="1305"/>
        <w:spacing w:after="0" w:line="263" w:lineRule="auto"/>
        <w:tabs>
          <w:tab w:leader="none" w:pos="21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provided by the NRS, the holders of the issued and outstanding shares of Common Stock shall be entitled to one vote for each share of Common Stock. No holder of shares of Common Stock shall have the right to cumulate votes.</w:t>
      </w:r>
    </w:p>
    <w:p>
      <w:pPr>
        <w:spacing w:after="0" w:line="208" w:lineRule="exact"/>
        <w:rPr>
          <w:rFonts w:ascii="Times New Roman" w:cs="Times New Roman" w:eastAsia="Times New Roman" w:hAnsi="Times New Roman"/>
          <w:sz w:val="18"/>
          <w:szCs w:val="18"/>
          <w:color w:val="auto"/>
        </w:rPr>
      </w:pPr>
    </w:p>
    <w:p>
      <w:pPr>
        <w:ind w:right="60" w:firstLine="1305"/>
        <w:spacing w:after="0" w:line="249" w:lineRule="auto"/>
        <w:tabs>
          <w:tab w:leader="none" w:pos="21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Liquidation Rights</w:t>
      </w:r>
      <w:r>
        <w:rPr>
          <w:rFonts w:ascii="Times New Roman" w:cs="Times New Roman" w:eastAsia="Times New Roman" w:hAnsi="Times New Roman"/>
          <w:sz w:val="22"/>
          <w:szCs w:val="22"/>
          <w:color w:val="auto"/>
        </w:rPr>
        <w:t>. In the event of liquidation, dissolution, or winding up of the affairs of the Corporation, whether voluntary or involuntary, subject to the prior rights of holders of Preferred Stock to share ratably in the Corporation’s assets, the Common Stock and any shares of Preferred Stock which are not entitled to any preference in liquidation shall share equally and ratably in the Corporation’s assets available for distribution after giving effect to any liquidation preference of any shares of Preferred Stock. A merger, conversion, exchange or consolidation of the Corporation with or into any other person or sale or transfer of all or any part of the assets of the Corporation (which shall not in fact result in the liquidation of the Corporation and the distribution of assets to stockholders) shall not be deemed to be a voluntary or involuntary liquidation, dissolution or winding up of the affairs of the Corporation.</w:t>
      </w:r>
    </w:p>
    <w:p>
      <w:pPr>
        <w:spacing w:after="0" w:line="223" w:lineRule="exact"/>
        <w:rPr>
          <w:rFonts w:ascii="Times New Roman" w:cs="Times New Roman" w:eastAsia="Times New Roman" w:hAnsi="Times New Roman"/>
          <w:sz w:val="18"/>
          <w:szCs w:val="18"/>
          <w:color w:val="auto"/>
        </w:rPr>
      </w:pPr>
    </w:p>
    <w:p>
      <w:pPr>
        <w:ind w:right="440" w:firstLine="1305"/>
        <w:spacing w:after="0" w:line="284" w:lineRule="auto"/>
        <w:tabs>
          <w:tab w:leader="none" w:pos="21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Conversion, Redemption, or Preemptive Rights</w:t>
      </w:r>
      <w:r>
        <w:rPr>
          <w:rFonts w:ascii="Times New Roman" w:cs="Times New Roman" w:eastAsia="Times New Roman" w:hAnsi="Times New Roman"/>
          <w:sz w:val="22"/>
          <w:szCs w:val="22"/>
          <w:color w:val="auto"/>
        </w:rPr>
        <w:t>. The holders of Common Stock shall not have any conversion, redemption, or preemptive rights.</w:t>
      </w:r>
    </w:p>
    <w:p>
      <w:pPr>
        <w:spacing w:after="0" w:line="184" w:lineRule="exact"/>
        <w:rPr>
          <w:rFonts w:ascii="Times New Roman" w:cs="Times New Roman" w:eastAsia="Times New Roman" w:hAnsi="Times New Roman"/>
          <w:sz w:val="18"/>
          <w:szCs w:val="18"/>
          <w:color w:val="auto"/>
        </w:rPr>
      </w:pPr>
    </w:p>
    <w:p>
      <w:pPr>
        <w:ind w:right="940" w:firstLine="1305"/>
        <w:spacing w:after="0" w:line="284" w:lineRule="auto"/>
        <w:tabs>
          <w:tab w:leader="none" w:pos="21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Consideration for Shares</w:t>
      </w:r>
      <w:r>
        <w:rPr>
          <w:rFonts w:ascii="Times New Roman" w:cs="Times New Roman" w:eastAsia="Times New Roman" w:hAnsi="Times New Roman"/>
          <w:sz w:val="22"/>
          <w:szCs w:val="22"/>
          <w:color w:val="auto"/>
        </w:rPr>
        <w:t>. The Common Stock authorized by this Article shall be issued for such consideration as shall be fixed, from time to time, by the board of directors.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firstLine="1305"/>
        <w:spacing w:after="0" w:line="258" w:lineRule="auto"/>
        <w:tabs>
          <w:tab w:leader="none" w:pos="159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w:t>
      </w:r>
      <w:r>
        <w:rPr>
          <w:rFonts w:ascii="Times New Roman" w:cs="Times New Roman" w:eastAsia="Times New Roman" w:hAnsi="Times New Roman"/>
          <w:sz w:val="21"/>
          <w:szCs w:val="21"/>
          <w:color w:val="auto"/>
        </w:rPr>
        <w:t>. The board of directors is hereby vested with the authority from time to time to provide by resolution for the issuance of shares of Preferred Stock in one or more series not exceeding the aggregate number of shares of Preferred Stock authorized by these Articles, and to prescribe with respect to each such series the voting powers, if any, designations, preferences, and relative, participating, optional, or other special rights, and the qualifications, limitations, or restrictions relating thereto, including, without limiting the generality of the foregoing: the voting rights relating to the shares of Preferred Stock of any series (which voting rights, if any, may be full or limited, may vary over time, and may be applicable generally or only upon any stated fact or event); the rate of dividends (which may be cumulative or noncumulative), the condition or time for payment of dividends and the preference or relation of such dividends to dividends payable on any other class or series of capital stock; the rights of holders of Preferred Stock of any series in the event of liquidation, dissolution, or winding up of the affairs of the Corporation; the rights, if any, of holders of Preferred Stock of any series to convert or exchange such shares of Preferred Stock of such series for shares of any other class or series of capital stock or for any other securities, property, or assets of the Corporation or any subsidiary (including the determination of the price or prices or the rate or rates applicable to such rights to convert or exchange</w:t>
      </w:r>
    </w:p>
    <w:p>
      <w:pPr>
        <w:sectPr>
          <w:pgSz w:w="11900" w:h="16838" w:orient="portrait"/>
          <w:cols w:equalWidth="0" w:num="1">
            <w:col w:w="11420"/>
          </w:cols>
          <w:pgMar w:left="240" w:top="585" w:right="239" w:bottom="1440" w:gutter="0" w:footer="0" w:header="0"/>
        </w:sectPr>
      </w:pPr>
    </w:p>
    <w:bookmarkStart w:id="48" w:name="page49"/>
    <w:bookmarkEnd w:id="48"/>
    <w:p>
      <w:pPr>
        <w:spacing w:after="0" w:line="245" w:lineRule="auto"/>
        <w:rPr>
          <w:sz w:val="20"/>
          <w:szCs w:val="20"/>
          <w:color w:val="auto"/>
        </w:rPr>
      </w:pPr>
      <w:r>
        <w:rPr>
          <w:rFonts w:ascii="Times New Roman" w:cs="Times New Roman" w:eastAsia="Times New Roman" w:hAnsi="Times New Roman"/>
          <w:sz w:val="22"/>
          <w:szCs w:val="22"/>
          <w:color w:val="auto"/>
        </w:rPr>
        <w:t>and the adjustment thereof, the time or times during which the right to convert or exchange shall be applicable, and the time or times during which a particular price or rate shall be applicable); whether the shares of any series of Preferred Stock shall be subject to redemption by the Corporation (in addition to any right of redemption pursuant to Article VII of these Articles) and if subject to redemption, the times, prices, rates, adjustments and other terms and conditions of such redemption. The powers, designations, preferences, limitations, restrictions and relative rights may be made dependent upon any fact or event which may be ascertained outside the Articles or the resolution if the manner in which the fact or event may operate on such series is stated in the Articles or resolution. As used in this section “fact or event” includes, without limitation, the existence of a fact or occurrence of an event, including, without limitation, a determination or action by a person, government, governmental agency or political subdivision of a government. The board of directors is further authorized to increase or decrease (but not below the number of such shares of such series then outstanding) the number of shares of any series subsequent to the issuance of shares of that series. Unless the board of directors provides to the contrary in the resolution which fixes the characteristics of a series of Preferred Stock, neither the consent by series, or otherwise, of the holders of any outstanding Preferred Stock nor the consent of the holders of any outstanding Common Stock shall be required for the issuance of any new series of Preferred Stock regardless of whether the rights and preferences of the new series of Preferred Stock are senior or superior, in any way, to the outstanding series of Preferred Stock or the Common Stock.</w:t>
      </w:r>
    </w:p>
    <w:p>
      <w:pPr>
        <w:spacing w:after="0" w:line="232" w:lineRule="exact"/>
        <w:rPr>
          <w:sz w:val="20"/>
          <w:szCs w:val="20"/>
          <w:color w:val="auto"/>
        </w:rPr>
      </w:pPr>
    </w:p>
    <w:p>
      <w:pPr>
        <w:ind w:firstLine="656"/>
        <w:spacing w:after="0" w:line="249" w:lineRule="auto"/>
        <w:tabs>
          <w:tab w:leader="none" w:pos="95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Before the Corporation shall issue any shares of Preferred Stock of any series, a certificate of designation setting forth a copy of the resolution or resolutions of the board of directors, and establishing the voting powers, designations, preferences, the relative, participating, optional, or other rights, if any, and the qualifications, limitations, and restrictions, if any, relating to the shares of Preferred Stock of such series, and the number of shares of Preferred Stock of such series authorized by the board of directors to be issued shall be made and signed by an officer of the corporation and filed in the manner prescribed by the NRS.</w:t>
      </w:r>
    </w:p>
    <w:p>
      <w:pPr>
        <w:spacing w:after="0" w:line="221"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Non-Assessment of Stock</w:t>
      </w:r>
      <w:r>
        <w:rPr>
          <w:rFonts w:ascii="Times New Roman" w:cs="Times New Roman" w:eastAsia="Times New Roman" w:hAnsi="Times New Roman"/>
          <w:sz w:val="22"/>
          <w:szCs w:val="22"/>
          <w:color w:val="auto"/>
        </w:rPr>
        <w:t>. The capital stock of the Corporation, after the amount of the subscription price has been fully paid, shall not be assessable for any purpose, and no stock issued as fully paid shall ever be assessable or assessed, and the Articles shall not be amended in this particular. No stockholder of the Corporation is individually liable for the debts or liabilities of the Corporation.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ACTION OF STOCKHOLDERS</w:t>
      </w:r>
    </w:p>
    <w:p>
      <w:pPr>
        <w:spacing w:after="0" w:line="23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Prior to the completion of the initial public offering of the Corporation, the stockholders may take action by written consent in lieu of a meeting. After the completion of the initial public offering of the Corporation, the stockholders may not in any circumstance take action by written consent.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DIRECTORS AND OFFICERS</w:t>
      </w:r>
    </w:p>
    <w:p>
      <w:pPr>
        <w:spacing w:after="0" w:line="23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of Directors</w:t>
      </w:r>
      <w:r>
        <w:rPr>
          <w:rFonts w:ascii="Times New Roman" w:cs="Times New Roman" w:eastAsia="Times New Roman" w:hAnsi="Times New Roman"/>
          <w:sz w:val="22"/>
          <w:szCs w:val="22"/>
          <w:color w:val="auto"/>
        </w:rPr>
        <w:t>. The members of the governing board of the Corporation are styled as directors. The board of directors of the Corporation shall be elected in such manner as shall be provided in the bylaws of the Corporation. The board of directors shall consist of at least one (1) individual and not more than thirteen (13) individuals. The number of directors may be changed from time to time in such manner as shall be provided in the bylaws of the Corporation.</w:t>
      </w:r>
    </w:p>
    <w:p>
      <w:pPr>
        <w:sectPr>
          <w:pgSz w:w="11900" w:h="16838" w:orient="portrait"/>
          <w:cols w:equalWidth="0" w:num="1">
            <w:col w:w="11380"/>
          </w:cols>
          <w:pgMar w:left="240" w:top="585" w:right="279" w:bottom="1440" w:gutter="0" w:footer="0" w:header="0"/>
        </w:sectPr>
      </w:pPr>
    </w:p>
    <w:bookmarkStart w:id="49" w:name="page50"/>
    <w:bookmarkEnd w:id="49"/>
    <w:p>
      <w:pPr>
        <w:ind w:right="40"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Classified Board</w:t>
      </w:r>
      <w:r>
        <w:rPr>
          <w:rFonts w:ascii="Times New Roman" w:cs="Times New Roman" w:eastAsia="Times New Roman" w:hAnsi="Times New Roman"/>
          <w:sz w:val="22"/>
          <w:szCs w:val="22"/>
          <w:color w:val="auto"/>
        </w:rPr>
        <w:t>. Upon the effectiveness of the Corporation’s registration statement on Form S-1 with respect to its initial public offering of common stock, the directors shall be classified, with respect to the time for which they shall hold their respective offices, by dividing them into three classes, to be known as “Class I,” “Class II” and “Class III.” Directors of Class I shall hold office until the next annual meeting of stockholders after such effectiveness and until their successors are elected and qualified, directors of Class II shall hold office until the second annual meeting of stockholders after such effectiveness and until their successors are elected and qualified and directors of Class III shall hold office until the third annual meeting of stockholders after such effectiveness and until their successors are elected and qualified. At each annual meeting of stockholders following such effectiveness,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235" w:lineRule="exact"/>
        <w:rPr>
          <w:sz w:val="20"/>
          <w:szCs w:val="20"/>
          <w:color w:val="auto"/>
        </w:rPr>
      </w:pPr>
    </w:p>
    <w:p>
      <w:pPr>
        <w:jc w:val="both"/>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Payment of Expenses</w:t>
      </w:r>
      <w:r>
        <w:rPr>
          <w:rFonts w:ascii="Times New Roman" w:cs="Times New Roman" w:eastAsia="Times New Roman" w:hAnsi="Times New Roman"/>
          <w:sz w:val="21"/>
          <w:szCs w:val="21"/>
          <w:color w:val="auto"/>
        </w:rPr>
        <w:t>. In addition to any other rights of indemnification permitted by the laws of the State of Nevada or as may be provided for by the Corporation in its bylaws or by agreement, the expenses of officers and directors incurred in defending any threatened, pending, or completed action, suit or proceeding (including without limitation, an action, suit or proceeding by or in the right of the Corporation), whether civil, criminal, administrative or investigative, involving alleged acts or omissions of such officer or director in his or her capacity as an officer or director of the Corporation or member, manager, or managing member of a predecessor limited liability company or affiliate of such limited liability company or while serving in any capacity at the request of the Corporation as a director, officer, employee, agent, member, manager, managing member, partner, or fiduciary of, or in any other capacity for, another corporation or any partnership, joint venture, trust, or other enterprise, shall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the officer or director to repay the amount if it is ultimately determined by a court of competent jurisdiction that he or she is not entitled to be indemnified by the Corporation. To the extent that an officer or director is successful on the merits in defense of any such action, suit or proceeding, or in the defense of any claim, issue or matter therein, the Corporation shall indemnify him or her against expenses, including attorneys’ fees, actually and reasonably incurred by him or her in connection with the defense. Notwithstanding anything to the contrary contained herein or in the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hereof).</w:t>
      </w:r>
    </w:p>
    <w:p>
      <w:pPr>
        <w:sectPr>
          <w:pgSz w:w="11900" w:h="16838" w:orient="portrait"/>
          <w:cols w:equalWidth="0" w:num="1">
            <w:col w:w="11400"/>
          </w:cols>
          <w:pgMar w:left="240" w:top="585" w:right="259" w:bottom="1440" w:gutter="0" w:footer="0" w:header="0"/>
        </w:sectPr>
      </w:pPr>
    </w:p>
    <w:bookmarkStart w:id="50" w:name="page51"/>
    <w:bookmarkEnd w:id="50"/>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Repeal And Conflicts</w:t>
      </w:r>
      <w:r>
        <w:rPr>
          <w:rFonts w:ascii="Times New Roman" w:cs="Times New Roman" w:eastAsia="Times New Roman" w:hAnsi="Times New Roman"/>
          <w:sz w:val="22"/>
          <w:szCs w:val="22"/>
          <w:color w:val="auto"/>
        </w:rPr>
        <w:t>. Any repeal or modification of Sections 3 or 4 above approved by the stockholders of the Corporation shall be prospective only, and shall not adversely affect any limitation on the liability of a director or officer of the Corporation existing as of the time of such repeal or modification. In the event of any conflict between Sections 3 or 4 above and any other Article of the Articles, the terms and provisions of Sections 3 or 4 above shall control.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VOTING ON CERTAIN TRANSACTIONS</w:t>
      </w:r>
    </w:p>
    <w:p>
      <w:pPr>
        <w:spacing w:after="0" w:line="23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 of Articles</w:t>
      </w:r>
      <w:r>
        <w:rPr>
          <w:rFonts w:ascii="Times New Roman" w:cs="Times New Roman" w:eastAsia="Times New Roman" w:hAnsi="Times New Roman"/>
          <w:sz w:val="22"/>
          <w:szCs w:val="22"/>
          <w:color w:val="auto"/>
        </w:rPr>
        <w:t xml:space="preserve">. The Corporation reserves the right to amend, alter, change or repeal any provision contained in the Articles, in the manner now or hereafter prescribed by the NRS, and all rights conferred on stockholders herein are granted subject to this reservation;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alteration, change or repeal may be made to: (a) Article III, (b) Sections 2, 3 and 4 of Article IV, or (c) this Article V without the affirmative vote of the holders of at least sixty-six and two-thirds percent (66⅔%) of the issued and outstanding shares of stock of the Corporation entitled to vote in the election of directors excluding stock entitled to vote only upon the happening of a fact or event unless such fact or event shall have occurred, considered for the purposes of this section as one class.</w:t>
      </w:r>
    </w:p>
    <w:p>
      <w:pPr>
        <w:spacing w:after="0" w:line="22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Additional Vote Required</w:t>
      </w:r>
      <w:r>
        <w:rPr>
          <w:rFonts w:ascii="Times New Roman" w:cs="Times New Roman" w:eastAsia="Times New Roman" w:hAnsi="Times New Roman"/>
          <w:sz w:val="22"/>
          <w:szCs w:val="22"/>
          <w:color w:val="auto"/>
        </w:rPr>
        <w:t>. Any affirmative vote required by this Article V shall be in addition to the vote of the holders of any class or series of stock of the Corporation otherwise required by law, the Articles, the resolutions of the board of directors providing for the issuance of such class or series and any agreement between the Corporation and any securities exchange or over-the-counter market upon which the Corporation’s shares are listed or designated for trading.</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COMBINATIONS WITH INTERESTED STOCKHOLDERS</w:t>
      </w:r>
    </w:p>
    <w:p>
      <w:pPr>
        <w:spacing w:after="0" w:line="23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At such time, if any, as the Corporation becomes a “resident domestic corporation,” as that term is defined in NRS 78.427, the Corporation shall not be subject to, or governed by, any of the provisions in NRS 78.411 to 78.444, inclusive, as may be amended from time to time, or any successor statutes.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VII</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COMPLIANCE WITH GAMING LAWS</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Article VII, the following terms shall have the meanings specified below:</w:t>
      </w:r>
    </w:p>
    <w:p>
      <w:pPr>
        <w:spacing w:after="0" w:line="236" w:lineRule="exact"/>
        <w:rPr>
          <w:sz w:val="20"/>
          <w:szCs w:val="20"/>
          <w:color w:val="auto"/>
        </w:rPr>
      </w:pPr>
    </w:p>
    <w:p>
      <w:pPr>
        <w:ind w:right="100" w:firstLine="1305"/>
        <w:spacing w:after="0" w:line="247" w:lineRule="auto"/>
        <w:tabs>
          <w:tab w:leader="none" w:pos="15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 Person who, directly or indirectly, through one or more intermediaries, controls, is controlled by or is under common control with, a specified Person. For the purpose of this Section 1(a) of Article VII,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22"/>
          <w:szCs w:val="22"/>
          <w:u w:val="single" w:color="auto"/>
          <w:color w:val="auto"/>
        </w:rPr>
        <w:t>Affiliated Companies</w:t>
      </w:r>
      <w:r>
        <w:rPr>
          <w:rFonts w:ascii="Times New Roman" w:cs="Times New Roman" w:eastAsia="Times New Roman" w:hAnsi="Times New Roman"/>
          <w:sz w:val="22"/>
          <w:szCs w:val="22"/>
          <w:color w:val="auto"/>
        </w:rPr>
        <w:t>” shall mean those partnerships, corporations, limited liability companies, trusts or other entities that are Affiliates of the Corporation, including, without limitation, subsidiaries, holding companies and intermediary companies (as those and similar terms are defined in the Gaming Laws of the applicable Gaming Jurisdictions) that are registered or licensed under applicable Gaming Laws.</w:t>
      </w:r>
    </w:p>
    <w:p>
      <w:pPr>
        <w:spacing w:after="0" w:line="226" w:lineRule="exact"/>
        <w:rPr>
          <w:rFonts w:ascii="Times New Roman" w:cs="Times New Roman" w:eastAsia="Times New Roman" w:hAnsi="Times New Roman"/>
          <w:sz w:val="22"/>
          <w:szCs w:val="22"/>
          <w:color w:val="auto"/>
        </w:rPr>
      </w:pPr>
    </w:p>
    <w:p>
      <w:pPr>
        <w:ind w:right="560" w:firstLine="1305"/>
        <w:spacing w:after="0" w:line="271" w:lineRule="auto"/>
        <w:tabs>
          <w:tab w:leader="none" w:pos="160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Gaming Activities</w:t>
      </w:r>
      <w:r>
        <w:rPr>
          <w:rFonts w:ascii="Times New Roman" w:cs="Times New Roman" w:eastAsia="Times New Roman" w:hAnsi="Times New Roman"/>
          <w:sz w:val="22"/>
          <w:szCs w:val="22"/>
          <w:color w:val="auto"/>
        </w:rPr>
        <w:t>” shall mean the conduct of gaming and gambling activities, or the use of gaming devices, equipment and supplies in the operation of a casino or other</w:t>
      </w:r>
    </w:p>
    <w:p>
      <w:pPr>
        <w:sectPr>
          <w:pgSz w:w="11900" w:h="16838" w:orient="portrait"/>
          <w:cols w:equalWidth="0" w:num="1">
            <w:col w:w="11360"/>
          </w:cols>
          <w:pgMar w:left="240" w:top="585" w:right="299" w:bottom="1440" w:gutter="0" w:footer="0" w:header="0"/>
        </w:sectPr>
      </w:pPr>
    </w:p>
    <w:bookmarkStart w:id="51" w:name="page52"/>
    <w:bookmarkEnd w:id="51"/>
    <w:p>
      <w:pPr>
        <w:ind w:right="640"/>
        <w:spacing w:after="0" w:line="271" w:lineRule="auto"/>
        <w:rPr>
          <w:sz w:val="20"/>
          <w:szCs w:val="20"/>
          <w:color w:val="auto"/>
        </w:rPr>
      </w:pPr>
      <w:r>
        <w:rPr>
          <w:rFonts w:ascii="Times New Roman" w:cs="Times New Roman" w:eastAsia="Times New Roman" w:hAnsi="Times New Roman"/>
          <w:sz w:val="22"/>
          <w:szCs w:val="22"/>
          <w:color w:val="auto"/>
        </w:rPr>
        <w:t>enterprise, including, without limitation, race books, sports pools, slot machines, gaming devices, gaming tables, cards, dice, gaming chips, player tracking systems, cashless wagering systems and associated equipment and supplies.</w:t>
      </w:r>
    </w:p>
    <w:p>
      <w:pPr>
        <w:spacing w:after="0" w:line="198" w:lineRule="exact"/>
        <w:rPr>
          <w:sz w:val="20"/>
          <w:szCs w:val="20"/>
          <w:color w:val="auto"/>
        </w:rPr>
      </w:pPr>
    </w:p>
    <w:p>
      <w:pPr>
        <w:ind w:right="20" w:firstLine="1305"/>
        <w:spacing w:after="0" w:line="257" w:lineRule="auto"/>
        <w:tabs>
          <w:tab w:leader="none" w:pos="159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Authorities</w:t>
      </w:r>
      <w:r>
        <w:rPr>
          <w:rFonts w:ascii="Times New Roman" w:cs="Times New Roman" w:eastAsia="Times New Roman" w:hAnsi="Times New Roman"/>
          <w:sz w:val="22"/>
          <w:szCs w:val="22"/>
          <w:color w:val="auto"/>
        </w:rPr>
        <w:t>” shall mean all international, foreign, federal, state, local and other regulatory and licensing bodies and agencies with authority over Gaming within any Gaming Jurisdiction. “</w:t>
      </w:r>
      <w:r>
        <w:rPr>
          <w:rFonts w:ascii="Times New Roman" w:cs="Times New Roman" w:eastAsia="Times New Roman" w:hAnsi="Times New Roman"/>
          <w:sz w:val="22"/>
          <w:szCs w:val="22"/>
          <w:u w:val="single" w:color="auto"/>
          <w:color w:val="auto"/>
        </w:rPr>
        <w:t>Gaming Jurisdiction</w:t>
      </w:r>
      <w:r>
        <w:rPr>
          <w:rFonts w:ascii="Times New Roman" w:cs="Times New Roman" w:eastAsia="Times New Roman" w:hAnsi="Times New Roman"/>
          <w:sz w:val="22"/>
          <w:szCs w:val="22"/>
          <w:color w:val="auto"/>
        </w:rPr>
        <w:t>” shall mean all jurisdictions, domestic and foreign, and their political subdivisions, in which Gaming Activities are lawfully conducted.</w:t>
      </w:r>
    </w:p>
    <w:p>
      <w:pPr>
        <w:spacing w:after="0" w:line="213" w:lineRule="exact"/>
        <w:rPr>
          <w:rFonts w:ascii="Times New Roman" w:cs="Times New Roman" w:eastAsia="Times New Roman" w:hAnsi="Times New Roman"/>
          <w:sz w:val="22"/>
          <w:szCs w:val="22"/>
          <w:color w:val="auto"/>
        </w:rPr>
      </w:pPr>
    </w:p>
    <w:p>
      <w:pPr>
        <w:ind w:right="180" w:firstLine="1305"/>
        <w:spacing w:after="0" w:line="257" w:lineRule="auto"/>
        <w:tabs>
          <w:tab w:leader="none" w:pos="160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Laws</w:t>
      </w:r>
      <w:r>
        <w:rPr>
          <w:rFonts w:ascii="Times New Roman" w:cs="Times New Roman" w:eastAsia="Times New Roman" w:hAnsi="Times New Roman"/>
          <w:sz w:val="22"/>
          <w:szCs w:val="22"/>
          <w:color w:val="auto"/>
        </w:rPr>
        <w:t>” shall mean all laws, statutes, ordinances and regulations pursuant to which any Gaming Authority possesses regulatory and licensing authority over Gaming within any Gaming Jurisdiction, and all orders, decrees, rules and regulations promulgated by such Gaming Authority thereunder.</w:t>
      </w:r>
    </w:p>
    <w:p>
      <w:pPr>
        <w:spacing w:after="0" w:line="213" w:lineRule="exact"/>
        <w:rPr>
          <w:rFonts w:ascii="Times New Roman" w:cs="Times New Roman" w:eastAsia="Times New Roman" w:hAnsi="Times New Roman"/>
          <w:sz w:val="22"/>
          <w:szCs w:val="22"/>
          <w:color w:val="auto"/>
        </w:rPr>
      </w:pPr>
    </w:p>
    <w:p>
      <w:pPr>
        <w:ind w:right="640" w:firstLine="1305"/>
        <w:spacing w:after="0" w:line="257" w:lineRule="auto"/>
        <w:tabs>
          <w:tab w:leader="none" w:pos="159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Licenses</w:t>
      </w:r>
      <w:r>
        <w:rPr>
          <w:rFonts w:ascii="Times New Roman" w:cs="Times New Roman" w:eastAsia="Times New Roman" w:hAnsi="Times New Roman"/>
          <w:sz w:val="22"/>
          <w:szCs w:val="22"/>
          <w:color w:val="auto"/>
        </w:rPr>
        <w:t>” shall mean all licenses, permits, approvals, authorizations, registrations, findings of suitability, franchises, concessions and entitlements issued by a Gaming Authority necessary for or relating to the conduct of Gaming Activities.</w:t>
      </w:r>
    </w:p>
    <w:p>
      <w:pPr>
        <w:spacing w:after="0" w:line="213" w:lineRule="exact"/>
        <w:rPr>
          <w:rFonts w:ascii="Times New Roman" w:cs="Times New Roman" w:eastAsia="Times New Roman" w:hAnsi="Times New Roman"/>
          <w:sz w:val="22"/>
          <w:szCs w:val="22"/>
          <w:color w:val="auto"/>
        </w:rPr>
      </w:pPr>
    </w:p>
    <w:p>
      <w:pPr>
        <w:ind w:left="2160" w:hanging="855"/>
        <w:spacing w:after="0"/>
        <w:tabs>
          <w:tab w:leader="none" w:pos="21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(and derivatives thereof) shall mean (i) ownership of record,</w:t>
      </w:r>
    </w:p>
    <w:p>
      <w:pPr>
        <w:spacing w:after="0" w:line="27" w:lineRule="exact"/>
        <w:rPr>
          <w:rFonts w:ascii="Times New Roman" w:cs="Times New Roman" w:eastAsia="Times New Roman" w:hAnsi="Times New Roman"/>
          <w:sz w:val="22"/>
          <w:szCs w:val="22"/>
          <w:color w:val="auto"/>
        </w:rPr>
      </w:pPr>
    </w:p>
    <w:p>
      <w:pPr>
        <w:ind w:right="340" w:firstLine="8"/>
        <w:spacing w:after="0" w:line="246" w:lineRule="auto"/>
        <w:tabs>
          <w:tab w:leader="none" w:pos="3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as defined in Rule 13d-3 promulgated by the United States Securities and Exchange Commission (as now or hereafter amended), or (iii) the possession, direct or indirect, of the power to direct or cause the direction of the management and policies of a Person or the disposition of Securities, by agreement, contract, agency or other manner.</w:t>
      </w:r>
    </w:p>
    <w:p>
      <w:pPr>
        <w:spacing w:after="0" w:line="224" w:lineRule="exact"/>
        <w:rPr>
          <w:rFonts w:ascii="Times New Roman" w:cs="Times New Roman" w:eastAsia="Times New Roman" w:hAnsi="Times New Roman"/>
          <w:sz w:val="22"/>
          <w:szCs w:val="22"/>
          <w:color w:val="auto"/>
        </w:rPr>
      </w:pPr>
    </w:p>
    <w:p>
      <w:pPr>
        <w:ind w:left="2200" w:hanging="895"/>
        <w:spacing w:after="0"/>
        <w:tabs>
          <w:tab w:leader="none" w:pos="22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 individual, partnership, corporation, limited liability company, trust or any other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entity.</w:t>
      </w:r>
    </w:p>
    <w:p>
      <w:pPr>
        <w:spacing w:after="0" w:line="236" w:lineRule="exact"/>
        <w:rPr>
          <w:rFonts w:ascii="Times New Roman" w:cs="Times New Roman" w:eastAsia="Times New Roman" w:hAnsi="Times New Roman"/>
          <w:sz w:val="22"/>
          <w:szCs w:val="22"/>
          <w:color w:val="auto"/>
        </w:rPr>
      </w:pPr>
    </w:p>
    <w:p>
      <w:pPr>
        <w:ind w:firstLine="1305"/>
        <w:spacing w:after="0" w:line="257" w:lineRule="auto"/>
        <w:tabs>
          <w:tab w:leader="none" w:pos="219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shall mean the date specified in the Redemption Notice as the date on which the shares of the Securities Owned or Controlled by an Unsuitable Person or an Affiliate of an Unsuitable Person are to be redeemed by the Corporation.</w:t>
      </w:r>
    </w:p>
    <w:p>
      <w:pPr>
        <w:spacing w:after="0" w:line="213" w:lineRule="exact"/>
        <w:rPr>
          <w:rFonts w:ascii="Times New Roman" w:cs="Times New Roman" w:eastAsia="Times New Roman" w:hAnsi="Times New Roman"/>
          <w:sz w:val="22"/>
          <w:szCs w:val="22"/>
          <w:color w:val="auto"/>
        </w:rPr>
      </w:pPr>
    </w:p>
    <w:p>
      <w:pPr>
        <w:ind w:right="60" w:firstLine="1305"/>
        <w:spacing w:after="0" w:line="250" w:lineRule="auto"/>
        <w:tabs>
          <w:tab w:leader="none" w:pos="214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shall mean that notice of redemption given by the Corporation to an Unsuitable Person or an Affiliate of an Unsuitable Person pursuant to this Article VII. Each Redemption Notice shall set forth (i) the Redemption Date, (ii) the number and type of shares of the Securities to be redeemed, (iii) the Redemption Price and the manner of payment therefor, (iv) the place where any certificates for such shares shall be surrendered for payment, and (v) any other requirements of surrender of the certificates, including how they are to be endorsed, if at all.</w:t>
      </w:r>
    </w:p>
    <w:p>
      <w:pPr>
        <w:spacing w:after="0" w:line="222" w:lineRule="exact"/>
        <w:rPr>
          <w:rFonts w:ascii="Times New Roman" w:cs="Times New Roman" w:eastAsia="Times New Roman" w:hAnsi="Times New Roman"/>
          <w:sz w:val="22"/>
          <w:szCs w:val="22"/>
          <w:color w:val="auto"/>
        </w:rPr>
      </w:pPr>
    </w:p>
    <w:p>
      <w:pPr>
        <w:ind w:right="80" w:firstLine="1305"/>
        <w:spacing w:after="0" w:line="260" w:lineRule="auto"/>
        <w:tabs>
          <w:tab w:leader="none" w:pos="214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Redemption Price</w:t>
      </w:r>
      <w:r>
        <w:rPr>
          <w:rFonts w:ascii="Times New Roman" w:cs="Times New Roman" w:eastAsia="Times New Roman" w:hAnsi="Times New Roman"/>
          <w:sz w:val="21"/>
          <w:szCs w:val="21"/>
          <w:color w:val="auto"/>
        </w:rPr>
        <w:t xml:space="preserve">” shall mean the price to be paid by the Corporation for the Securities to be redeemed pursuant to this Article VII, which shall be that price (if any) required to be paid by the Gaming Authority making the finding of unsuitability, or if such Gaming Authority does not require a certain price to be paid, that amount determined by the board of directors to be the fair value of the Securities to be redeemed;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price per share represented by the Redemption Price shall in no event be in excess of the closing sales price per share of shares on the principal national securities exchange on which such shares are then listed on the trading date on the day before the Redemption Notice is deemed given by the Corporation to the Unsuitable Person or an Affiliate of an Unsuitable Person or, if such shares are not then listed for trading on any national securities exchange, then the closing sales price of such shares as quoted in the Nasdaq National Market or SmallCap Market or, if the shares are not then so quoted, then the mean between the representative bid and the ask price as</w:t>
      </w:r>
    </w:p>
    <w:p>
      <w:pPr>
        <w:sectPr>
          <w:pgSz w:w="11900" w:h="16838" w:orient="portrait"/>
          <w:cols w:equalWidth="0" w:num="1">
            <w:col w:w="11420"/>
          </w:cols>
          <w:pgMar w:left="240" w:top="585" w:right="239" w:bottom="1440" w:gutter="0" w:footer="0" w:header="0"/>
        </w:sectPr>
      </w:pPr>
    </w:p>
    <w:bookmarkStart w:id="52" w:name="page53"/>
    <w:bookmarkEnd w:id="52"/>
    <w:p>
      <w:pPr>
        <w:ind w:right="20"/>
        <w:spacing w:after="0" w:line="246" w:lineRule="auto"/>
        <w:rPr>
          <w:sz w:val="20"/>
          <w:szCs w:val="20"/>
          <w:color w:val="auto"/>
        </w:rPr>
      </w:pPr>
      <w:r>
        <w:rPr>
          <w:rFonts w:ascii="Times New Roman" w:cs="Times New Roman" w:eastAsia="Times New Roman" w:hAnsi="Times New Roman"/>
          <w:sz w:val="22"/>
          <w:szCs w:val="22"/>
          <w:color w:val="auto"/>
        </w:rPr>
        <w:t>quoted by any other generally recognized reporting system. The Redemption Price may be paid in cash, by promissory note, or both, as required by the applicable Gaming Authority and, if not so required, as the board of directors determines. Any promissory note shall contain such terms and conditions as the board of directors determines necessary or advisable, including without limitation, subordination provisions, to comply with any law or regulation then applicable to the Corporation or any Affiliate of the Corporation or to prevent a default under, breach of, event of default under or acceleration of any loan, promissory note, mortgage, indenture, line of credit, or other debt or financing agreement of the Corporation or any Affiliate of the Corporation. Subject to the foregoing, the principal amount of the promissory note together with any unpaid interest shall be due and payable no later than the tenth anniversary of delivery of the note and interest on the unpaid principal thereof shall be payable annually in arrears at the rate of 2% per annum.</w:t>
      </w:r>
    </w:p>
    <w:p>
      <w:pPr>
        <w:spacing w:after="0" w:line="232" w:lineRule="exact"/>
        <w:rPr>
          <w:sz w:val="20"/>
          <w:szCs w:val="20"/>
          <w:color w:val="auto"/>
        </w:rPr>
      </w:pPr>
    </w:p>
    <w:p>
      <w:pPr>
        <w:ind w:left="2200" w:hanging="895"/>
        <w:spacing w:after="0"/>
        <w:tabs>
          <w:tab w:leader="none" w:pos="2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shall mean the capital stock of the Corporation.</w:t>
      </w:r>
    </w:p>
    <w:p>
      <w:pPr>
        <w:spacing w:after="0" w:line="260" w:lineRule="exact"/>
        <w:rPr>
          <w:rFonts w:ascii="Times New Roman" w:cs="Times New Roman" w:eastAsia="Times New Roman" w:hAnsi="Times New Roman"/>
          <w:sz w:val="22"/>
          <w:szCs w:val="22"/>
          <w:color w:val="auto"/>
        </w:rPr>
      </w:pPr>
    </w:p>
    <w:p>
      <w:pPr>
        <w:ind w:right="60" w:firstLine="1305"/>
        <w:spacing w:after="0" w:line="265" w:lineRule="auto"/>
        <w:tabs>
          <w:tab w:leader="none" w:pos="214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Unsuitable Person</w:t>
      </w:r>
      <w:r>
        <w:rPr>
          <w:rFonts w:ascii="Times New Roman" w:cs="Times New Roman" w:eastAsia="Times New Roman" w:hAnsi="Times New Roman"/>
          <w:sz w:val="21"/>
          <w:szCs w:val="21"/>
          <w:color w:val="auto"/>
        </w:rPr>
        <w:t>” shall mean a Person who (i) is determined by a Gaming Authority to be unsuitable to Own or Control any Securities or unsuitable to be connected or affiliated with a Person engaged in Gaming Activities in a Gaming Jurisdiction, or (ii) causes the Corporation or any Affiliated Company to lose or to be threatened with the loss of any Gaming License, or (iii) in the sole discretion of the board of directors of the Corporation, is deemed likely to jeopardize the Corporation’s or any Affiliated Company’s application for, receipt of approval for, right to the use of, or entitlement to, any Gaming License.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Finding of Unsuitability</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firstLine="1305"/>
        <w:spacing w:after="0" w:line="246" w:lineRule="auto"/>
        <w:tabs>
          <w:tab w:leader="none" w:pos="15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Owned or Controlled by an Unsuitable Person or an Affiliate of an Unsuitable Person shall be subject to redemption by the Corporation, out of funds legally available therefor, by action of the board of directors, to the extent required by the Gaming Authority making the determination of unsuitability or to the extent deemed necessary or advisable by the board of directors. If a Gaming Authority requires the Corporation, or the board of directors deems it necessary or advisable, to redeem any such Securities, the Corporation shall give a Redemption Notice to the Unsuitable Person or its Affiliate and shall purchase on the Redemption Date the number of shares of the Securities specified in the Redemption Notice for the Redemption Price set forth in the Redemption Notice. From and after the Redemption Date, such Securities shall no longer be deemed to be outstanding, such Unsuitable Person or any Affiliate of such Unsuitable Person shall cease to be a stockholder with respect to such shares and all rights of such Unsuitable Person or any Affiliate of such Unsuitable Person therein, other than the right to receive the Redemption Price, shall cease. Such Unsuitable Person or its Affiliate shall surrender the certificates representing any shares to be redeemed in accordance with the requirements of the Redemption Notice.</w:t>
      </w:r>
    </w:p>
    <w:p>
      <w:pPr>
        <w:spacing w:after="0" w:line="226" w:lineRule="exact"/>
        <w:rPr>
          <w:rFonts w:ascii="Times New Roman" w:cs="Times New Roman" w:eastAsia="Times New Roman" w:hAnsi="Times New Roman"/>
          <w:sz w:val="22"/>
          <w:szCs w:val="22"/>
          <w:color w:val="auto"/>
        </w:rPr>
      </w:pPr>
    </w:p>
    <w:p>
      <w:pPr>
        <w:ind w:right="40" w:firstLine="1305"/>
        <w:spacing w:after="0" w:line="248" w:lineRule="auto"/>
        <w:tabs>
          <w:tab w:leader="none" w:pos="160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date that a Gaming Authority serves notice of a determination of unsuitability or the board of directors determines that a Person is an Unsuitable Person, and until the Securities Owned or Controlled by such Person are Owned or Controlled by a Person who is not an Unsuitable Person, the Unsuitable Person or any Affiliate of an Unsuitable Person shall not be entitled: (i) to receive any dividend or interest with regard to the Securities, (ii) to exercise, directly or indirectly or through any proxy, trustee, or nominee, any voting or other right conferred by such Securities, and such Securities shall not for any purposes be included in the shares of capital stock of the Corporation entitled to vote, or (iii) to receive any remuneration in any form from the Corporation or any Affiliated Company for services rendered or otherwise.</w:t>
      </w:r>
    </w:p>
    <w:p>
      <w:pPr>
        <w:sectPr>
          <w:pgSz w:w="11900" w:h="16838" w:orient="portrait"/>
          <w:cols w:equalWidth="0" w:num="1">
            <w:col w:w="11380"/>
          </w:cols>
          <w:pgMar w:left="240" w:top="585" w:right="279" w:bottom="1440" w:gutter="0" w:footer="0" w:header="0"/>
        </w:sectPr>
      </w:pPr>
    </w:p>
    <w:bookmarkStart w:id="53" w:name="page54"/>
    <w:bookmarkEnd w:id="53"/>
    <w:p>
      <w:pPr>
        <w:ind w:right="100"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given by the Corporation pursuant to this Article, including Redemption Notices, shall be in writing and may be given by mail, addressed to the Person at such Person’s address as it appears on the records of the Corporation, with postage thereon prepaid, and such notice shall be deemed given at the time deposited in the United States mail. Written notice may also be given personally or by telegram, facsimile, telex or cable and such notice shall be deemed to be given at the time of receipt thereof, if given personally, or at the time of transmission thereof, if given by telegram, facsimile, telex or cable.</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Any Unsuitable Person and any Affiliate of an Unsuitable Person shall indemnify and hold harmless the Corporation and its Affiliated Companies for any and all losses, costs, and expenses, including attorneys’ fees, incurred by the Corporation and its Affiliated Companies as a result of, or arising out of, such Unsuitable Person’s or Affiliate’s continuing Ownership or Control of Securities, the neglect, refusal or other failure to comply with the provisions of this Article VII, or failure to promptly divest itself of any Securities when required by the Gaming Laws or this Article VII.</w:t>
      </w:r>
    </w:p>
    <w:p>
      <w:pPr>
        <w:spacing w:after="0" w:line="22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The Corporation is entitled to injunctive or other equitable relief in any court of competent jurisdiction to enforce the provisions of this Article VII and each holder of the Securities of the Corporation shall be deemed to have acknowledged, by acquiring the Securities of the Corporation, that the failure to comply with this Article VII will expose the Corporation to irreparable injury for which there is no adequate remedy at law and that the Corporation is entitled to injunctive or other equitable relief to enforce the provisions of this Article.</w:t>
      </w:r>
    </w:p>
    <w:p>
      <w:pPr>
        <w:spacing w:after="0" w:line="222" w:lineRule="exact"/>
        <w:rPr>
          <w:sz w:val="20"/>
          <w:szCs w:val="20"/>
          <w:color w:val="auto"/>
        </w:rPr>
      </w:pPr>
    </w:p>
    <w:p>
      <w:pPr>
        <w:jc w:val="both"/>
        <w:ind w:right="6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The Corporation’s rights of redemption provided in this Article VII shall not be exclusive of any other rights the Corporation may have or hereafter acquire under any agreement, provision of the bylaws or otherwise.</w:t>
      </w:r>
    </w:p>
    <w:p>
      <w:pPr>
        <w:spacing w:after="0" w:line="21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Further Actions</w:t>
      </w:r>
      <w:r>
        <w:rPr>
          <w:rFonts w:ascii="Times New Roman" w:cs="Times New Roman" w:eastAsia="Times New Roman" w:hAnsi="Times New Roman"/>
          <w:sz w:val="22"/>
          <w:szCs w:val="22"/>
          <w:color w:val="auto"/>
        </w:rPr>
        <w:t xml:space="preserve">. Nothing contained in this Article VII shall limit the authority of the board of directors to take such other action to the extent permitted by law as it deems necessary or advisable to protect the Corporation or its Affiliated Companies from the denial or threatened denial or loss or threatened loss of any Gaming License of the Corporation or any of its Affiliated Companies. Without limiting the generality of the foregoing, the board of directors may conform any provisions of this Article VII to the extent necessary to make such provisions consistent with Gaming Laws. In addition, the board of directors may, to the extent permitted by law, from time to time establish, modify, amend or rescind bylaws, regulations, and procedures of the Corporation not inconsistent with the express provisions of this Article VII for the purpose of determining whether any Person is an Unsuitable Person and for the orderly application, administration and implementation of the provisions of this Article VII. Such procedures and regulations shall be kept on file with the Secretary of the Corporation, the secretary of its Affiliated Companies and with the transfer agent, if any, of the Corporation and any Affiliated Companies, and shall be made available for inspection by the public and, upon request, mailed to any holder of Securities. The board of directors shall have exclusive authority and power to administer this Article VII and to exercise all rights and powers specifically granted to the board of directors or the Corporation, or as may be necessary or advisable in the administration of this Article VII. All such actions which are done or made by the board of directors in good faith shall be final, conclusive and binding on the Corporation and all other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delegate all or any portion of its duties and powers under this Article VII to a committee of the board of directors as it deems necessary or advisable.</w:t>
      </w:r>
    </w:p>
    <w:p>
      <w:pPr>
        <w:spacing w:after="0" w:line="23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Article VII or the application of any such provision to any Person or under any circumstance shall be held invalid, illegal, or unenforceable in any</w:t>
      </w:r>
    </w:p>
    <w:p>
      <w:pPr>
        <w:sectPr>
          <w:pgSz w:w="11900" w:h="16838" w:orient="portrait"/>
          <w:cols w:equalWidth="0" w:num="1">
            <w:col w:w="11420"/>
          </w:cols>
          <w:pgMar w:left="240" w:top="585" w:right="239" w:bottom="1440" w:gutter="0" w:footer="0" w:header="0"/>
        </w:sectPr>
      </w:pPr>
    </w:p>
    <w:bookmarkStart w:id="54" w:name="page55"/>
    <w:bookmarkEnd w:id="54"/>
    <w:p>
      <w:pPr>
        <w:ind w:right="40"/>
        <w:spacing w:after="0" w:line="271" w:lineRule="auto"/>
        <w:rPr>
          <w:sz w:val="20"/>
          <w:szCs w:val="20"/>
          <w:color w:val="auto"/>
        </w:rPr>
      </w:pPr>
      <w:r>
        <w:rPr>
          <w:rFonts w:ascii="Times New Roman" w:cs="Times New Roman" w:eastAsia="Times New Roman" w:hAnsi="Times New Roman"/>
          <w:sz w:val="22"/>
          <w:szCs w:val="22"/>
          <w:color w:val="auto"/>
        </w:rPr>
        <w:t>respect by a court of competent jurisdiction, such invalidity, illegality or unenforceablilty shall not affect any other provision of this Article VII.</w:t>
      </w:r>
    </w:p>
    <w:p>
      <w:pPr>
        <w:spacing w:after="0" w:line="198"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Termination and Waivers</w:t>
      </w:r>
      <w:r>
        <w:rPr>
          <w:rFonts w:ascii="Times New Roman" w:cs="Times New Roman" w:eastAsia="Times New Roman" w:hAnsi="Times New Roman"/>
          <w:sz w:val="22"/>
          <w:szCs w:val="22"/>
          <w:color w:val="auto"/>
        </w:rPr>
        <w:t>. Except as may be required by any applicable Gaming Law or Gaming Authority, the board of directors may waive any of the rights of the Corporation or any restrictions contained in this Article VII in any instance in which the board of directors determines that a waiver would be in the best interests of the Corporation. The board of directors may terminate any rights of the Corporation or restrictions set forth in this Article VII to the extent that the board of directors determines that any such termination is in the best interests of the Corporation. Except as may be required by a Gaming Authority, nothing in this Article VII shall be deemed or construed to require the Corporation to repurchase any Securities Owned or Controlled by an Unsuitable Person or an Affiliate of an Unsuitable Person.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SPECIAL PROVISION REGARDING DISTRIBUTIONS</w:t>
      </w:r>
    </w:p>
    <w:p>
      <w:pPr>
        <w:spacing w:after="0" w:line="236"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in these Articles or any bylaw of the Corporation, the Corporation is hereby specifically allowed to make any distribution that otherwise would be prohibited by NRS 78.288(2)(b).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officer has executed this Certificate of Third Amended and Restated Articles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Incorporation of Wynn Resorts, Limited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27, 2015.</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Kim Sinatra</w:t>
      </w:r>
    </w:p>
    <w:p>
      <w:pPr>
        <w:spacing w:after="0" w:line="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Kim Sinatra</w:t>
      </w:r>
    </w:p>
    <w:p>
      <w:pPr>
        <w:spacing w:after="0" w:line="15" w:lineRule="exact"/>
        <w:rPr>
          <w:sz w:val="20"/>
          <w:szCs w:val="20"/>
          <w:color w:val="auto"/>
        </w:rPr>
      </w:pPr>
    </w:p>
    <w:p>
      <w:pPr>
        <w:ind w:left="3900"/>
        <w:spacing w:after="0"/>
        <w:tabs>
          <w:tab w:leader="none" w:pos="4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General</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Counsel and Secretary</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INTELLECTUAL PROPERTY LICENSE AGREEMENT</w:t>
      </w:r>
    </w:p>
    <w:p>
      <w:pPr>
        <w:spacing w:after="0" w:line="200" w:lineRule="exact"/>
        <w:rPr>
          <w:sz w:val="20"/>
          <w:szCs w:val="20"/>
          <w:color w:val="auto"/>
        </w:rPr>
      </w:pP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2015 Intellectual Property License Agreement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dated as of the 26th day of February 2015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WYNN RESORTS HOLDINGS, LLC, a Nevada Limited Liability Company (hereinafter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WYNN RESORTS, LIMITED, a Nevada corporation (hereinafter “</w:t>
      </w:r>
      <w:r>
        <w:rPr>
          <w:rFonts w:ascii="Times New Roman" w:cs="Times New Roman" w:eastAsia="Times New Roman" w:hAnsi="Times New Roman"/>
          <w:sz w:val="22"/>
          <w:szCs w:val="22"/>
          <w:u w:val="single" w:color="auto"/>
          <w:color w:val="auto"/>
        </w:rPr>
        <w:t>Limited”</w:t>
      </w:r>
      <w:r>
        <w:rPr>
          <w:rFonts w:ascii="Times New Roman" w:cs="Times New Roman" w:eastAsia="Times New Roman" w:hAnsi="Times New Roman"/>
          <w:sz w:val="22"/>
          <w:szCs w:val="22"/>
          <w:color w:val="auto"/>
        </w:rPr>
        <w:t>) and WYNN LAS VEGAS, LLC,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liability under the laws of Nevada (hereinafter “</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Holdings and Limited are collectively referred to herein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0" w:lineRule="exact"/>
        <w:rPr>
          <w:sz w:val="20"/>
          <w:szCs w:val="20"/>
          <w:color w:val="auto"/>
        </w:rPr>
      </w:pPr>
    </w:p>
    <w:p>
      <w:pPr>
        <w:spacing w:after="0" w:line="236" w:lineRule="exact"/>
        <w:rPr>
          <w:sz w:val="20"/>
          <w:szCs w:val="20"/>
          <w:color w:val="auto"/>
        </w:rPr>
      </w:pPr>
    </w:p>
    <w:p>
      <w:pPr>
        <w:ind w:left="1300" w:right="40" w:hanging="644"/>
        <w:spacing w:after="0" w:line="250" w:lineRule="auto"/>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and is the licensee of other third party rights and works as defined herein that are listed and described in attached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and certain trade secrets, data and know-how that are listed and described in attached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(hereinafter, collectively, the “</w:t>
      </w:r>
      <w:r>
        <w:rPr>
          <w:rFonts w:ascii="Times New Roman" w:cs="Times New Roman" w:eastAsia="Times New Roman" w:hAnsi="Times New Roman"/>
          <w:sz w:val="22"/>
          <w:szCs w:val="22"/>
          <w:u w:val="single" w:color="auto"/>
          <w:color w:val="auto"/>
        </w:rPr>
        <w:t>Holdings Intellectual Property</w:t>
      </w:r>
      <w:r>
        <w:rPr>
          <w:rFonts w:ascii="Times New Roman" w:cs="Times New Roman" w:eastAsia="Times New Roman" w:hAnsi="Times New Roman"/>
          <w:sz w:val="22"/>
          <w:szCs w:val="22"/>
          <w:color w:val="auto"/>
        </w:rPr>
        <w:t>”).</w:t>
      </w:r>
    </w:p>
    <w:p>
      <w:pPr>
        <w:spacing w:after="0" w:line="397" w:lineRule="exact"/>
        <w:rPr>
          <w:rFonts w:ascii="Times New Roman" w:cs="Times New Roman" w:eastAsia="Times New Roman" w:hAnsi="Times New Roman"/>
          <w:sz w:val="22"/>
          <w:szCs w:val="22"/>
          <w:color w:val="auto"/>
        </w:rPr>
      </w:pPr>
    </w:p>
    <w:p>
      <w:pPr>
        <w:ind w:left="1300" w:right="440" w:hanging="644"/>
        <w:spacing w:after="0" w:line="252" w:lineRule="auto"/>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Limited is the parent entity of Holdings and is the owner of certain trade secrets, data, know-how and other intangible property that are listed and described in attached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(hereinafter, collectively the “</w:t>
      </w:r>
      <w:r>
        <w:rPr>
          <w:rFonts w:ascii="Times New Roman" w:cs="Times New Roman" w:eastAsia="Times New Roman" w:hAnsi="Times New Roman"/>
          <w:sz w:val="22"/>
          <w:szCs w:val="22"/>
          <w:u w:val="single" w:color="auto"/>
          <w:color w:val="auto"/>
        </w:rPr>
        <w:t>Limited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Holdings Intellectual Property and the Limited Intellectual Property are collectively referred to herein as the “</w:t>
      </w:r>
      <w:r>
        <w:rPr>
          <w:rFonts w:ascii="Times New Roman" w:cs="Times New Roman" w:eastAsia="Times New Roman" w:hAnsi="Times New Roman"/>
          <w:sz w:val="22"/>
          <w:szCs w:val="22"/>
          <w:u w:val="single" w:color="auto"/>
          <w:color w:val="auto"/>
        </w:rPr>
        <w:t>Licensed Property</w:t>
      </w:r>
      <w:r>
        <w:rPr>
          <w:rFonts w:ascii="Times New Roman" w:cs="Times New Roman" w:eastAsia="Times New Roman" w:hAnsi="Times New Roman"/>
          <w:sz w:val="22"/>
          <w:szCs w:val="22"/>
          <w:color w:val="auto"/>
        </w:rPr>
        <w:t>”.</w:t>
      </w:r>
    </w:p>
    <w:p>
      <w:pPr>
        <w:spacing w:after="0" w:line="396" w:lineRule="exact"/>
        <w:rPr>
          <w:rFonts w:ascii="Times New Roman" w:cs="Times New Roman" w:eastAsia="Times New Roman" w:hAnsi="Times New Roman"/>
          <w:sz w:val="22"/>
          <w:szCs w:val="22"/>
          <w:color w:val="auto"/>
        </w:rPr>
      </w:pPr>
    </w:p>
    <w:p>
      <w:pPr>
        <w:ind w:left="1300" w:right="400" w:hanging="644"/>
        <w:spacing w:after="0" w:line="271" w:lineRule="auto"/>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is a subsidiary of Limited and currently owns and operates the Wynn Las Vegas and Encore Resort and Casino, an integrated hotel and casino resort located in Clark County Nevada (the “</w:t>
      </w: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w:t>
      </w:r>
    </w:p>
    <w:p>
      <w:pPr>
        <w:spacing w:after="0" w:line="374"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 agreement dated as of December 14, 2004, the Licensor and Licensee entered into an intellectual property license agreement under which the Licensor licensed the a subset of the Licensed Property to Licensee (the “</w:t>
      </w:r>
      <w:r>
        <w:rPr>
          <w:rFonts w:ascii="Times New Roman" w:cs="Times New Roman" w:eastAsia="Times New Roman" w:hAnsi="Times New Roman"/>
          <w:sz w:val="22"/>
          <w:szCs w:val="22"/>
          <w:u w:val="single" w:color="auto"/>
          <w:color w:val="auto"/>
        </w:rPr>
        <w:t>2004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Intellectual Property License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in consideration of the foregoing and the mutual promises contained herein, the parties have agreed as follows:</w:t>
      </w:r>
    </w:p>
    <w:p>
      <w:pPr>
        <w:spacing w:after="0" w:line="220"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The Licensor grants the following licenses to the Licensee at the location specified herein.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right="140" w:hanging="648"/>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1.01 Licensor provides to Licensee a non-exclusive license and/or non-exclusive sublicense to use the marks and works owned, or which will be owned, by the Licensor including but not limited to the marks and works listed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attached hereto, in connection with the operation, advertising, promotion, distribution and services of the Operations. The foregoing licenses granted in this Paragraph 1.01 shall hereinafter be known as the “</w:t>
      </w:r>
      <w:r>
        <w:rPr>
          <w:rFonts w:ascii="Times New Roman" w:cs="Times New Roman" w:eastAsia="Times New Roman" w:hAnsi="Times New Roman"/>
          <w:sz w:val="22"/>
          <w:szCs w:val="22"/>
          <w:u w:val="single" w:color="auto"/>
          <w:color w:val="auto"/>
        </w:rPr>
        <w:t>Trademark License</w:t>
      </w:r>
      <w:r>
        <w:rPr>
          <w:rFonts w:ascii="Times New Roman" w:cs="Times New Roman" w:eastAsia="Times New Roman" w:hAnsi="Times New Roman"/>
          <w:sz w:val="22"/>
          <w:szCs w:val="22"/>
          <w:color w:val="auto"/>
        </w:rPr>
        <w:t>”.</w:t>
      </w:r>
    </w:p>
    <w:p>
      <w:pPr>
        <w:spacing w:after="0" w:line="397" w:lineRule="exact"/>
        <w:rPr>
          <w:rFonts w:ascii="Times New Roman" w:cs="Times New Roman" w:eastAsia="Times New Roman" w:hAnsi="Times New Roman"/>
          <w:sz w:val="22"/>
          <w:szCs w:val="22"/>
          <w:color w:val="auto"/>
        </w:rPr>
      </w:pPr>
    </w:p>
    <w:p>
      <w:pPr>
        <w:ind w:left="1960" w:right="120" w:hanging="648"/>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1.02 Licensor provides Licensee a non-exclusive sublicense to the works listed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attached hereto, in connection with the operation, advertising, promotion, distribution and services of the Operations. The foregoing licenses granted in this Paragraph 1.02 shall hereinafter be known as the “</w:t>
      </w:r>
      <w:r>
        <w:rPr>
          <w:rFonts w:ascii="Times New Roman" w:cs="Times New Roman" w:eastAsia="Times New Roman" w:hAnsi="Times New Roman"/>
          <w:sz w:val="22"/>
          <w:szCs w:val="22"/>
          <w:u w:val="single" w:color="auto"/>
          <w:color w:val="auto"/>
        </w:rPr>
        <w:t>Copyright and Persona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797" w:right="239" w:bottom="1440" w:gutter="0" w:footer="0" w:header="0"/>
        </w:sectPr>
      </w:pPr>
    </w:p>
    <w:bookmarkStart w:id="56" w:name="page57"/>
    <w:bookmarkEnd w:id="56"/>
    <w:p>
      <w:pPr>
        <w:ind w:left="1300" w:right="180" w:hanging="647"/>
        <w:spacing w:after="0" w:line="260" w:lineRule="auto"/>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 xml:space="preserve">Licensor provides to Licensee a non-exclusive license to use the data, trade secrets and know-how listed in </w:t>
      </w:r>
      <w:r>
        <w:rPr>
          <w:rFonts w:ascii="Times New Roman" w:cs="Times New Roman" w:eastAsia="Times New Roman" w:hAnsi="Times New Roman"/>
          <w:sz w:val="21"/>
          <w:szCs w:val="21"/>
          <w:u w:val="single" w:color="auto"/>
          <w:color w:val="auto"/>
        </w:rPr>
        <w:t>Schedule C</w:t>
      </w:r>
      <w:r>
        <w:rPr>
          <w:rFonts w:ascii="Times New Roman" w:cs="Times New Roman" w:eastAsia="Times New Roman" w:hAnsi="Times New Roman"/>
          <w:sz w:val="21"/>
          <w:szCs w:val="21"/>
          <w:color w:val="auto"/>
        </w:rPr>
        <w:t>, attached hereto, developed by the Licensor and its employees, officers, directors and representatives, and such future items as may be provided from time to time for use in connection with the operation, advertising, promotion, distribution and services of the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 w:cs="Times New Roman" w:eastAsia="Times New Roman" w:hAnsi="Times New Roman"/>
          <w:sz w:val="21"/>
          <w:szCs w:val="21"/>
          <w:u w:val="single" w:color="auto"/>
          <w:color w:val="auto"/>
        </w:rPr>
        <w:t>Trade Secret and Know-How License</w:t>
      </w:r>
      <w:r>
        <w:rPr>
          <w:rFonts w:ascii="Times New Roman" w:cs="Times New Roman" w:eastAsia="Times New Roman" w:hAnsi="Times New Roman"/>
          <w:sz w:val="21"/>
          <w:szCs w:val="21"/>
          <w:color w:val="auto"/>
        </w:rPr>
        <w:t>.”</w:t>
      </w:r>
    </w:p>
    <w:p>
      <w:pPr>
        <w:spacing w:after="0" w:line="392" w:lineRule="exact"/>
        <w:rPr>
          <w:sz w:val="20"/>
          <w:szCs w:val="20"/>
          <w:color w:val="auto"/>
        </w:rPr>
      </w:pPr>
    </w:p>
    <w:p>
      <w:pPr>
        <w:ind w:left="130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1.04</w:t>
        <w:tab/>
        <w:t>Notwithstanding any other provision of this Agreement, including, without limitation, Sections 2.01 and 2.02 hereof, Licensee shall have the right to sublicense any or all of its rights under the Trademark License and the Copyright and Persona License to any lessee or sublessee operating or conducting business at the Operation of the Licensee (“</w:t>
      </w:r>
      <w:r>
        <w:rPr>
          <w:rFonts w:ascii="Times New Roman" w:cs="Times New Roman" w:eastAsia="Times New Roman" w:hAnsi="Times New Roman"/>
          <w:sz w:val="22"/>
          <w:szCs w:val="22"/>
          <w:u w:val="single" w:color="auto"/>
          <w:color w:val="auto"/>
        </w:rPr>
        <w:t>Approved Sublessee</w:t>
      </w:r>
      <w:r>
        <w:rPr>
          <w:rFonts w:ascii="Times New Roman" w:cs="Times New Roman" w:eastAsia="Times New Roman" w:hAnsi="Times New Roman"/>
          <w:sz w:val="22"/>
          <w:szCs w:val="22"/>
          <w:color w:val="auto"/>
        </w:rPr>
        <w:t>”). The Trade Secret and Know-How License may not be sublicensed by the Licensee.</w:t>
      </w:r>
    </w:p>
    <w:p>
      <w:pPr>
        <w:spacing w:after="0" w:line="398" w:lineRule="exact"/>
        <w:rPr>
          <w:sz w:val="20"/>
          <w:szCs w:val="20"/>
          <w:color w:val="auto"/>
        </w:rPr>
      </w:pPr>
    </w:p>
    <w:p>
      <w:pPr>
        <w:ind w:left="1300" w:right="120" w:hanging="647"/>
        <w:spacing w:after="0" w:line="261" w:lineRule="auto"/>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License Term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8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2.01</w:t>
        <w:tab/>
        <w:t>This Agreement shall be effective as of the Effective Date and shall continue until otherwise terminated under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3.01</w:t>
        <w:tab/>
        <w:t>Licensee shall pay to Licensor an aggregate monthly licensing fee (the “</w:t>
      </w:r>
      <w:r>
        <w:rPr>
          <w:rFonts w:ascii="Times New Roman" w:cs="Times New Roman" w:eastAsia="Times New Roman" w:hAnsi="Times New Roman"/>
          <w:sz w:val="22"/>
          <w:szCs w:val="22"/>
          <w:u w:val="single" w:color="auto"/>
          <w:color w:val="auto"/>
        </w:rPr>
        <w:t>Licensing Fee</w:t>
      </w:r>
      <w:r>
        <w:rPr>
          <w:rFonts w:ascii="Times New Roman" w:cs="Times New Roman" w:eastAsia="Times New Roman" w:hAnsi="Times New Roman"/>
          <w:sz w:val="22"/>
          <w:szCs w:val="22"/>
          <w:color w:val="auto"/>
        </w:rPr>
        <w:t xml:space="preserve">”) for each of the licenses granted herein in the amount and in accordance with the payment schedule set forth in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Any withholding taxes associated with such payments shall be made by Licensee and shall not be withheld from the payments described on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Quality Control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4.01</w:t>
        <w:tab/>
        <w:t>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first request that the Licensor inspect and approve any and all advertising, promotion, public relations material, merchandise, or promotional products (“</w:t>
      </w:r>
      <w:r>
        <w:rPr>
          <w:rFonts w:ascii="Times New Roman" w:cs="Times New Roman" w:eastAsia="Times New Roman" w:hAnsi="Times New Roman"/>
          <w:sz w:val="22"/>
          <w:szCs w:val="22"/>
          <w:u w:val="single" w:color="auto"/>
          <w:color w:val="auto"/>
        </w:rPr>
        <w:t>Product Sample</w:t>
      </w:r>
      <w:r>
        <w:rPr>
          <w:rFonts w:ascii="Times New Roman" w:cs="Times New Roman" w:eastAsia="Times New Roman" w:hAnsi="Times New Roman"/>
          <w:sz w:val="22"/>
          <w:szCs w:val="22"/>
          <w:color w:val="auto"/>
        </w:rPr>
        <w:t>”) before manufacture or production. Any</w:t>
      </w:r>
    </w:p>
    <w:p>
      <w:pPr>
        <w:sectPr>
          <w:pgSz w:w="11900" w:h="16838" w:orient="portrait"/>
          <w:cols w:equalWidth="0" w:num="1">
            <w:col w:w="10740"/>
          </w:cols>
          <w:pgMar w:left="900" w:top="801" w:right="259" w:bottom="1440" w:gutter="0" w:footer="0" w:header="0"/>
        </w:sectPr>
      </w:pPr>
    </w:p>
    <w:bookmarkStart w:id="57" w:name="page58"/>
    <w:bookmarkEnd w:id="57"/>
    <w:p>
      <w:pPr>
        <w:ind w:left="760" w:right="140"/>
        <w:spacing w:after="0" w:line="295" w:lineRule="auto"/>
        <w:rPr>
          <w:sz w:val="20"/>
          <w:szCs w:val="20"/>
          <w:color w:val="auto"/>
        </w:rPr>
      </w:pPr>
      <w:r>
        <w:rPr>
          <w:rFonts w:ascii="Times New Roman" w:cs="Times New Roman" w:eastAsia="Times New Roman" w:hAnsi="Times New Roman"/>
          <w:sz w:val="21"/>
          <w:szCs w:val="21"/>
          <w:color w:val="auto"/>
        </w:rPr>
        <w:t>Product Sample that contains any of the Licensed Property submitted to Licensor shall be deemed approved unless Licensor disapproves the same in writing within thirty (30) days after receipt by Licensor.</w:t>
      </w:r>
    </w:p>
    <w:p>
      <w:pPr>
        <w:spacing w:after="0" w:line="352" w:lineRule="exact"/>
        <w:rPr>
          <w:sz w:val="20"/>
          <w:szCs w:val="20"/>
          <w:color w:val="auto"/>
        </w:rPr>
      </w:pPr>
    </w:p>
    <w:p>
      <w:pPr>
        <w:ind w:left="760" w:right="100" w:hanging="647"/>
        <w:spacing w:after="0" w:line="263" w:lineRule="auto"/>
        <w:tabs>
          <w:tab w:leader="none" w:pos="74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color w:val="auto"/>
        </w:rPr>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384" w:lineRule="exact"/>
        <w:rPr>
          <w:sz w:val="20"/>
          <w:szCs w:val="20"/>
          <w:color w:val="auto"/>
        </w:rPr>
      </w:pPr>
    </w:p>
    <w:p>
      <w:pPr>
        <w:ind w:left="760" w:right="220" w:hanging="647"/>
        <w:spacing w:after="0" w:line="250" w:lineRule="auto"/>
        <w:tabs>
          <w:tab w:leader="none" w:pos="740" w:val="left"/>
        </w:tabs>
        <w:rPr>
          <w:sz w:val="20"/>
          <w:szCs w:val="20"/>
          <w:color w:val="auto"/>
        </w:rPr>
      </w:pPr>
      <w:r>
        <w:rPr>
          <w:rFonts w:ascii="Times New Roman" w:cs="Times New Roman" w:eastAsia="Times New Roman" w:hAnsi="Times New Roman"/>
          <w:sz w:val="22"/>
          <w:szCs w:val="22"/>
          <w:color w:val="auto"/>
        </w:rPr>
        <w:t>4.03</w:t>
        <w:tab/>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Accordingly, Licensee agrees to offer amenities or facilities of high quality standards and not to sell defective products (seconds) which bear the marks of the Licensed Property.</w:t>
      </w:r>
    </w:p>
    <w:p>
      <w:pPr>
        <w:spacing w:after="0" w:line="398" w:lineRule="exact"/>
        <w:rPr>
          <w:sz w:val="20"/>
          <w:szCs w:val="20"/>
          <w:color w:val="auto"/>
        </w:rPr>
      </w:pPr>
    </w:p>
    <w:p>
      <w:pPr>
        <w:ind w:left="760" w:hanging="647"/>
        <w:spacing w:after="0" w:line="245" w:lineRule="auto"/>
        <w:tabs>
          <w:tab w:leader="none" w:pos="740" w:val="left"/>
        </w:tabs>
        <w:rPr>
          <w:sz w:val="20"/>
          <w:szCs w:val="20"/>
          <w:color w:val="auto"/>
        </w:rPr>
      </w:pPr>
      <w:r>
        <w:rPr>
          <w:rFonts w:ascii="Times New Roman" w:cs="Times New Roman" w:eastAsia="Times New Roman" w:hAnsi="Times New Roman"/>
          <w:sz w:val="22"/>
          <w:szCs w:val="22"/>
          <w:color w:val="auto"/>
        </w:rPr>
        <w:t>4.04</w:t>
        <w:tab/>
        <w:t>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200" w:lineRule="exact"/>
        <w:rPr>
          <w:sz w:val="20"/>
          <w:szCs w:val="20"/>
          <w:color w:val="auto"/>
        </w:rPr>
      </w:pPr>
    </w:p>
    <w:p>
      <w:pPr>
        <w:spacing w:after="0" w:line="211" w:lineRule="exact"/>
        <w:rPr>
          <w:sz w:val="20"/>
          <w:szCs w:val="20"/>
          <w:color w:val="auto"/>
        </w:rPr>
      </w:pPr>
    </w:p>
    <w:p>
      <w:pPr>
        <w:ind w:left="760" w:right="40" w:hanging="647"/>
        <w:spacing w:after="0" w:line="247" w:lineRule="auto"/>
        <w:tabs>
          <w:tab w:leader="none" w:pos="740" w:val="left"/>
        </w:tabs>
        <w:rPr>
          <w:sz w:val="20"/>
          <w:szCs w:val="20"/>
          <w:color w:val="auto"/>
        </w:rPr>
      </w:pPr>
      <w:r>
        <w:rPr>
          <w:rFonts w:ascii="Times New Roman" w:cs="Times New Roman" w:eastAsia="Times New Roman" w:hAnsi="Times New Roman"/>
          <w:sz w:val="22"/>
          <w:szCs w:val="22"/>
          <w:color w:val="auto"/>
        </w:rPr>
        <w:t>4.05</w:t>
        <w:tab/>
        <w:t>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ectPr>
          <w:pgSz w:w="11900" w:h="16838" w:orient="portrait"/>
          <w:cols w:equalWidth="0" w:num="1">
            <w:col w:w="10220"/>
          </w:cols>
          <w:pgMar w:left="1440" w:top="801" w:right="239" w:bottom="1440" w:gutter="0" w:footer="0" w:header="0"/>
        </w:sectPr>
      </w:pPr>
    </w:p>
    <w:bookmarkStart w:id="58" w:name="page59"/>
    <w:bookmarkEnd w:id="58"/>
    <w:p>
      <w:pPr>
        <w:ind w:left="800" w:hanging="809"/>
        <w:spacing w:after="0" w:line="271"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Goodwill</w:t>
      </w:r>
      <w:r>
        <w:rPr>
          <w:rFonts w:ascii="Times New Roman" w:cs="Times New Roman" w:eastAsia="Times New Roman" w:hAnsi="Times New Roman"/>
          <w:sz w:val="22"/>
          <w:szCs w:val="22"/>
          <w:color w:val="auto"/>
        </w:rPr>
        <w:t>. All goodwill arising from the use of the Licensed Property shall inure to the benefit of the Licensor, or the party from whom the Licensor obtained its rights.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Use of Licensed Property and Persona</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61" w:lineRule="auto"/>
        <w:tabs>
          <w:tab w:leader="none" w:pos="1280" w:val="left"/>
        </w:tabs>
        <w:rPr>
          <w:sz w:val="20"/>
          <w:szCs w:val="20"/>
          <w:color w:val="auto"/>
        </w:rPr>
      </w:pPr>
      <w:r>
        <w:rPr>
          <w:rFonts w:ascii="Times New Roman" w:cs="Times New Roman" w:eastAsia="Times New Roman" w:hAnsi="Times New Roman"/>
          <w:sz w:val="22"/>
          <w:szCs w:val="22"/>
          <w:color w:val="auto"/>
        </w:rPr>
        <w:t>6.01</w:t>
      </w:r>
      <w:r>
        <w:rPr>
          <w:sz w:val="20"/>
          <w:szCs w:val="20"/>
          <w:color w:val="auto"/>
        </w:rPr>
        <w:tab/>
      </w:r>
      <w:r>
        <w:rPr>
          <w:rFonts w:ascii="Times New Roman" w:cs="Times New Roman" w:eastAsia="Times New Roman" w:hAnsi="Times New Roman"/>
          <w:sz w:val="21"/>
          <w:szCs w:val="21"/>
          <w:color w:val="auto"/>
        </w:rPr>
        <w:t>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90" w:lineRule="exact"/>
        <w:rPr>
          <w:sz w:val="20"/>
          <w:szCs w:val="20"/>
          <w:color w:val="auto"/>
        </w:rPr>
      </w:pPr>
    </w:p>
    <w:p>
      <w:pPr>
        <w:ind w:left="1300" w:right="6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6.02</w:t>
        <w:tab/>
        <w:t>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398" w:lineRule="exact"/>
        <w:rPr>
          <w:sz w:val="20"/>
          <w:szCs w:val="20"/>
          <w:color w:val="auto"/>
        </w:rPr>
      </w:pPr>
    </w:p>
    <w:p>
      <w:pPr>
        <w:ind w:left="1300" w:right="6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6.03</w:t>
        <w:tab/>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8" w:lineRule="exact"/>
        <w:rPr>
          <w:sz w:val="20"/>
          <w:szCs w:val="20"/>
          <w:color w:val="auto"/>
        </w:rPr>
      </w:pPr>
    </w:p>
    <w:p>
      <w:pPr>
        <w:ind w:left="1300" w:right="12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6.04</w:t>
        <w:tab/>
        <w:t>Licensee will not permit any person or entity that leases, subleases or rents any portion of the Operations, to use any of the Licensed Property without a written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0" w:hanging="647"/>
        <w:spacing w:after="0" w:line="260" w:lineRule="auto"/>
        <w:tabs>
          <w:tab w:leader="none" w:pos="1280" w:val="left"/>
        </w:tabs>
        <w:rPr>
          <w:sz w:val="20"/>
          <w:szCs w:val="20"/>
          <w:color w:val="auto"/>
        </w:rPr>
      </w:pPr>
      <w:r>
        <w:rPr>
          <w:rFonts w:ascii="Times New Roman" w:cs="Times New Roman" w:eastAsia="Times New Roman" w:hAnsi="Times New Roman"/>
          <w:sz w:val="22"/>
          <w:szCs w:val="22"/>
          <w:color w:val="auto"/>
        </w:rPr>
        <w:t>7.01</w:t>
      </w:r>
      <w:r>
        <w:rPr>
          <w:sz w:val="20"/>
          <w:szCs w:val="20"/>
          <w:color w:val="auto"/>
        </w:rPr>
        <w:tab/>
      </w:r>
      <w:r>
        <w:rPr>
          <w:rFonts w:ascii="Times New Roman" w:cs="Times New Roman" w:eastAsia="Times New Roman" w:hAnsi="Times New Roman"/>
          <w:sz w:val="21"/>
          <w:szCs w:val="21"/>
          <w:color w:val="auto"/>
        </w:rPr>
        <w:t>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w:t>
      </w:r>
    </w:p>
    <w:p>
      <w:pPr>
        <w:spacing w:after="0" w:line="4" w:lineRule="exact"/>
        <w:rPr>
          <w:sz w:val="20"/>
          <w:szCs w:val="20"/>
          <w:color w:val="auto"/>
        </w:rPr>
      </w:pPr>
    </w:p>
    <w:p>
      <w:pPr>
        <w:ind w:left="1300" w:right="80" w:hanging="7"/>
        <w:spacing w:after="0" w:line="246" w:lineRule="auto"/>
        <w:tabs>
          <w:tab w:leader="none" w:pos="171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400" w:lineRule="exact"/>
        <w:rPr>
          <w:sz w:val="20"/>
          <w:szCs w:val="20"/>
          <w:color w:val="auto"/>
        </w:rPr>
      </w:pPr>
    </w:p>
    <w:p>
      <w:pPr>
        <w:ind w:left="1300" w:right="6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7.02</w:t>
        <w:tab/>
        <w:t>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w:t>
      </w:r>
    </w:p>
    <w:p>
      <w:pPr>
        <w:sectPr>
          <w:pgSz w:w="11900" w:h="16838" w:orient="portrait"/>
          <w:cols w:equalWidth="0" w:num="1">
            <w:col w:w="10760"/>
          </w:cols>
          <w:pgMar w:left="900" w:top="801" w:right="239" w:bottom="1440" w:gutter="0" w:footer="0" w:header="0"/>
        </w:sectPr>
      </w:pPr>
    </w:p>
    <w:bookmarkStart w:id="59" w:name="page60"/>
    <w:bookmarkEnd w:id="59"/>
    <w:p>
      <w:pPr>
        <w:ind w:left="1300" w:right="120"/>
        <w:spacing w:after="0" w:line="268" w:lineRule="auto"/>
        <w:rPr>
          <w:sz w:val="20"/>
          <w:szCs w:val="20"/>
          <w:color w:val="auto"/>
        </w:rPr>
      </w:pPr>
      <w:r>
        <w:rPr>
          <w:rFonts w:ascii="Times New Roman" w:cs="Times New Roman" w:eastAsia="Times New Roman" w:hAnsi="Times New Roman"/>
          <w:sz w:val="21"/>
          <w:szCs w:val="21"/>
          <w:color w:val="auto"/>
        </w:rPr>
        <w:t>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380" w:lineRule="exact"/>
        <w:rPr>
          <w:sz w:val="20"/>
          <w:szCs w:val="20"/>
          <w:color w:val="auto"/>
        </w:rPr>
      </w:pPr>
    </w:p>
    <w:p>
      <w:pPr>
        <w:ind w:left="1300" w:right="40" w:hanging="647"/>
        <w:spacing w:after="0" w:line="248" w:lineRule="auto"/>
        <w:tabs>
          <w:tab w:leader="none" w:pos="1280" w:val="left"/>
        </w:tabs>
        <w:rPr>
          <w:sz w:val="20"/>
          <w:szCs w:val="20"/>
          <w:color w:val="auto"/>
        </w:rPr>
      </w:pPr>
      <w:r>
        <w:rPr>
          <w:rFonts w:ascii="Times New Roman" w:cs="Times New Roman" w:eastAsia="Times New Roman" w:hAnsi="Times New Roman"/>
          <w:sz w:val="22"/>
          <w:szCs w:val="22"/>
          <w:color w:val="auto"/>
        </w:rPr>
        <w:t>7.03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398" w:lineRule="exact"/>
        <w:rPr>
          <w:sz w:val="20"/>
          <w:szCs w:val="20"/>
          <w:color w:val="auto"/>
        </w:rPr>
      </w:pPr>
    </w:p>
    <w:p>
      <w:pPr>
        <w:ind w:left="1300" w:right="100" w:hanging="647"/>
        <w:spacing w:after="0" w:line="247" w:lineRule="auto"/>
        <w:tabs>
          <w:tab w:leader="none" w:pos="1280" w:val="left"/>
        </w:tabs>
        <w:rPr>
          <w:sz w:val="20"/>
          <w:szCs w:val="20"/>
          <w:color w:val="auto"/>
        </w:rPr>
      </w:pPr>
      <w:r>
        <w:rPr>
          <w:rFonts w:ascii="Times New Roman" w:cs="Times New Roman" w:eastAsia="Times New Roman" w:hAnsi="Times New Roman"/>
          <w:sz w:val="22"/>
          <w:szCs w:val="22"/>
          <w:color w:val="auto"/>
        </w:rPr>
        <w:t>7.04</w:t>
        <w:tab/>
        <w:t>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Times New Roman" w:cs="Times New Roman" w:eastAsia="Times New Roman" w:hAnsi="Times New Roman"/>
          <w:sz w:val="22"/>
          <w:szCs w:val="22"/>
          <w:u w:val="single" w:color="auto"/>
          <w:color w:val="auto"/>
        </w:rPr>
        <w:t>Relevant Event</w:t>
      </w:r>
      <w:r>
        <w:rPr>
          <w:rFonts w:ascii="Times New Roman" w:cs="Times New Roman" w:eastAsia="Times New Roman" w:hAnsi="Times New Roman"/>
          <w:sz w:val="22"/>
          <w:szCs w:val="22"/>
          <w:color w:val="auto"/>
        </w:rPr>
        <w:t>”); and (2) the Relevant Event continues for thirty (30) consecutive days after written notice has been provided to the Licensee describing the nature of the event or activity creating the problem for the privileged license.</w:t>
      </w:r>
    </w:p>
    <w:p>
      <w:pPr>
        <w:spacing w:after="0" w:line="200" w:lineRule="exact"/>
        <w:rPr>
          <w:sz w:val="20"/>
          <w:szCs w:val="20"/>
          <w:color w:val="auto"/>
        </w:rPr>
      </w:pPr>
    </w:p>
    <w:p>
      <w:pPr>
        <w:spacing w:after="0" w:line="202" w:lineRule="exact"/>
        <w:rPr>
          <w:sz w:val="20"/>
          <w:szCs w:val="20"/>
          <w:color w:val="auto"/>
        </w:rPr>
      </w:pPr>
    </w:p>
    <w:p>
      <w:pPr>
        <w:ind w:left="1300" w:hanging="647"/>
        <w:spacing w:after="0" w:line="248" w:lineRule="auto"/>
        <w:tabs>
          <w:tab w:leader="none" w:pos="1280" w:val="left"/>
        </w:tabs>
        <w:rPr>
          <w:sz w:val="20"/>
          <w:szCs w:val="20"/>
          <w:color w:val="auto"/>
        </w:rPr>
      </w:pPr>
      <w:r>
        <w:rPr>
          <w:rFonts w:ascii="Times New Roman" w:cs="Times New Roman" w:eastAsia="Times New Roman" w:hAnsi="Times New Roman"/>
          <w:sz w:val="22"/>
          <w:szCs w:val="22"/>
          <w:color w:val="auto"/>
        </w:rPr>
        <w:t>7.05</w:t>
        <w:tab/>
        <w:t xml:space="preserve">Upon the termination of any agreement between Licensor and any third party for the license of any of the Licensed Property, including but not limited to termination of any of the agreements listed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398" w:lineRule="exact"/>
        <w:rPr>
          <w:sz w:val="20"/>
          <w:szCs w:val="20"/>
          <w:color w:val="auto"/>
        </w:rPr>
      </w:pPr>
    </w:p>
    <w:p>
      <w:pPr>
        <w:ind w:left="1300" w:right="240" w:hanging="647"/>
        <w:spacing w:after="0" w:line="266" w:lineRule="auto"/>
        <w:tabs>
          <w:tab w:leader="none" w:pos="1280" w:val="left"/>
        </w:tabs>
        <w:rPr>
          <w:sz w:val="20"/>
          <w:szCs w:val="20"/>
          <w:color w:val="auto"/>
        </w:rPr>
      </w:pPr>
      <w:r>
        <w:rPr>
          <w:rFonts w:ascii="Times New Roman" w:cs="Times New Roman" w:eastAsia="Times New Roman" w:hAnsi="Times New Roman"/>
          <w:sz w:val="22"/>
          <w:szCs w:val="22"/>
          <w:color w:val="auto"/>
        </w:rPr>
        <w:t>7.06</w:t>
      </w:r>
      <w:r>
        <w:rPr>
          <w:sz w:val="20"/>
          <w:szCs w:val="20"/>
          <w:color w:val="auto"/>
        </w:rPr>
        <w:tab/>
      </w:r>
      <w:r>
        <w:rPr>
          <w:rFonts w:ascii="Times New Roman" w:cs="Times New Roman" w:eastAsia="Times New Roman" w:hAnsi="Times New Roman"/>
          <w:sz w:val="21"/>
          <w:szCs w:val="21"/>
          <w:color w:val="auto"/>
        </w:rPr>
        <w:t>This Agreement shall automatically terminate one month after the occurrence of either of the following events: (1) Limited ceases to own, directly or indirectly a majority of the member’s interest of Licensee, or</w:t>
      </w:r>
    </w:p>
    <w:p>
      <w:pPr>
        <w:spacing w:after="0" w:line="2" w:lineRule="exact"/>
        <w:rPr>
          <w:sz w:val="20"/>
          <w:szCs w:val="20"/>
          <w:color w:val="auto"/>
        </w:rPr>
      </w:pPr>
    </w:p>
    <w:p>
      <w:pPr>
        <w:ind w:left="1300" w:right="540" w:hanging="7"/>
        <w:spacing w:after="0" w:line="248" w:lineRule="auto"/>
        <w:tabs>
          <w:tab w:leader="none" w:pos="16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ceases to have the ability to direct or cause the direction of the management and policies of Licensee.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8.01</w:t>
        <w:tab/>
        <w:t>Licensee agrees to obtain, or cause to be obtained,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w:t>
      </w:r>
    </w:p>
    <w:p>
      <w:pPr>
        <w:sectPr>
          <w:pgSz w:w="11900" w:h="16838" w:orient="portrait"/>
          <w:cols w:equalWidth="0" w:num="1">
            <w:col w:w="10760"/>
          </w:cols>
          <w:pgMar w:left="900" w:top="801" w:right="239" w:bottom="1440" w:gutter="0" w:footer="0" w:header="0"/>
        </w:sectPr>
      </w:pPr>
    </w:p>
    <w:bookmarkStart w:id="60" w:name="page61"/>
    <w:bookmarkEnd w:id="60"/>
    <w:p>
      <w:pPr>
        <w:ind w:left="1300" w:right="80"/>
        <w:spacing w:after="0" w:line="249" w:lineRule="auto"/>
        <w:rPr>
          <w:sz w:val="20"/>
          <w:szCs w:val="20"/>
          <w:color w:val="auto"/>
        </w:rPr>
      </w:pPr>
      <w:r>
        <w:rPr>
          <w:rFonts w:ascii="Times New Roman" w:cs="Times New Roman" w:eastAsia="Times New Roman" w:hAnsi="Times New Roman"/>
          <w:sz w:val="22"/>
          <w:szCs w:val="22"/>
          <w:color w:val="auto"/>
        </w:rPr>
        <w:t>insurance company, acceptable to Limited, providing coverage and defense. The coverage for each occurrence shall be at least US$5,000,000 with the deductible or self-insurance retention not greater than US$500,000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397" w:lineRule="exact"/>
        <w:rPr>
          <w:sz w:val="20"/>
          <w:szCs w:val="20"/>
          <w:color w:val="auto"/>
        </w:rPr>
      </w:pPr>
    </w:p>
    <w:p>
      <w:pPr>
        <w:ind w:left="1300" w:right="44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8.02</w:t>
        <w:tab/>
        <w:t>Licensor shall defend, indemnify and hold Licensee and all of Licensee’s directors, officers, employees, agents, affiliates, sublicensees, sublessors and assigns (collectively, the “</w:t>
      </w:r>
      <w:r>
        <w:rPr>
          <w:rFonts w:ascii="Times New Roman" w:cs="Times New Roman" w:eastAsia="Times New Roman" w:hAnsi="Times New Roman"/>
          <w:sz w:val="22"/>
          <w:szCs w:val="22"/>
          <w:u w:val="single" w:color="auto"/>
          <w:color w:val="auto"/>
        </w:rPr>
        <w:t>Licensed Protected Parties</w:t>
      </w:r>
      <w:r>
        <w:rPr>
          <w:rFonts w:ascii="Times New Roman" w:cs="Times New Roman" w:eastAsia="Times New Roman" w:hAnsi="Times New Roman"/>
          <w:sz w:val="22"/>
          <w:szCs w:val="22"/>
          <w:color w:val="auto"/>
        </w:rPr>
        <w:t>”) harmless from and against any demand, claims and losses arising from any third party claim alleging infringement of Licensed Property.</w:t>
      </w:r>
    </w:p>
    <w:p>
      <w:pPr>
        <w:spacing w:after="0" w:line="396" w:lineRule="exact"/>
        <w:rPr>
          <w:sz w:val="20"/>
          <w:szCs w:val="20"/>
          <w:color w:val="auto"/>
        </w:rPr>
      </w:pPr>
    </w:p>
    <w:p>
      <w:pPr>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8.03</w:t>
        <w:tab/>
        <w:t>Licensee shall defend, indemnify and hold Licensor and its directors, officers, employees, agents and affiliates (collectively, “</w:t>
      </w:r>
      <w:r>
        <w:rPr>
          <w:rFonts w:ascii="Times New Roman" w:cs="Times New Roman" w:eastAsia="Times New Roman" w:hAnsi="Times New Roman"/>
          <w:sz w:val="22"/>
          <w:szCs w:val="22"/>
          <w:u w:val="single" w:color="auto"/>
          <w:color w:val="auto"/>
        </w:rPr>
        <w:t>Licensor’s Protected Parties</w:t>
      </w:r>
      <w:r>
        <w:rPr>
          <w:rFonts w:ascii="Times New Roman" w:cs="Times New Roman" w:eastAsia="Times New Roman" w:hAnsi="Times New Roman"/>
          <w:sz w:val="22"/>
          <w:szCs w:val="22"/>
          <w:color w:val="auto"/>
        </w:rPr>
        <w:t>”) harmless from and against any and all demands, claims, losses or damages by reason of premise liability or product defect or negligent design or manufacture by or for the Licensee, or arising from the Licensee’s operation of the Operations.</w:t>
      </w:r>
    </w:p>
    <w:p>
      <w:pPr>
        <w:spacing w:after="0" w:line="396" w:lineRule="exact"/>
        <w:rPr>
          <w:sz w:val="20"/>
          <w:szCs w:val="20"/>
          <w:color w:val="auto"/>
        </w:rPr>
      </w:pPr>
    </w:p>
    <w:p>
      <w:pPr>
        <w:ind w:left="800" w:right="20" w:hanging="809"/>
        <w:spacing w:after="0" w:line="275" w:lineRule="auto"/>
        <w:rPr>
          <w:sz w:val="20"/>
          <w:szCs w:val="20"/>
          <w:color w:val="auto"/>
        </w:rPr>
      </w:pPr>
      <w:r>
        <w:rPr>
          <w:rFonts w:ascii="Times New Roman" w:cs="Times New Roman" w:eastAsia="Times New Roman" w:hAnsi="Times New Roman"/>
          <w:sz w:val="21"/>
          <w:szCs w:val="21"/>
          <w:color w:val="auto"/>
        </w:rPr>
        <w:t>9.</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 Holdings:</w:t>
            </w: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Wynn Resorts Holdings, LLC</w:t>
            </w:r>
          </w:p>
        </w:tc>
      </w:tr>
      <w:tr>
        <w:trPr>
          <w:trHeight w:val="236"/>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w w:val="9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Fax No.: (702) 770-1349</w:t>
            </w: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tc>
      </w:tr>
      <w:tr>
        <w:trPr>
          <w:trHeight w:val="488"/>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 Limited:</w:t>
            </w: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Wynn Resorts, Limited</w:t>
            </w:r>
          </w:p>
        </w:tc>
      </w:tr>
      <w:tr>
        <w:trPr>
          <w:trHeight w:val="236"/>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w w:val="9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Fax No.: (702) 770-1349</w:t>
            </w: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Attn: General Counsel</w:t>
            </w:r>
          </w:p>
        </w:tc>
      </w:tr>
      <w:tr>
        <w:trPr>
          <w:trHeight w:val="488"/>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 Licensee:</w:t>
            </w: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Wynn Las Vegas, LLC</w:t>
            </w:r>
          </w:p>
        </w:tc>
      </w:tr>
      <w:tr>
        <w:trPr>
          <w:trHeight w:val="236"/>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w w:val="9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Fax No.: (702) 770-1349</w:t>
            </w: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tc>
      </w:tr>
      <w:tr>
        <w:trPr>
          <w:trHeight w:val="690"/>
        </w:trPr>
        <w:tc>
          <w:tcPr>
            <w:tcW w:w="25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10.Miscellaneous.</w:t>
            </w:r>
          </w:p>
        </w:tc>
        <w:tc>
          <w:tcPr>
            <w:tcW w:w="52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ind w:left="640" w:right="980"/>
        <w:spacing w:after="0" w:line="295" w:lineRule="auto"/>
        <w:rPr>
          <w:sz w:val="20"/>
          <w:szCs w:val="20"/>
          <w:color w:val="auto"/>
        </w:rPr>
      </w:pPr>
      <w:r>
        <w:rPr>
          <w:rFonts w:ascii="Times New Roman" w:cs="Times New Roman" w:eastAsia="Times New Roman" w:hAnsi="Times New Roman"/>
          <w:sz w:val="21"/>
          <w:szCs w:val="21"/>
          <w:color w:val="auto"/>
        </w:rPr>
        <w:t>10.01  The parties each represent and warrant to the other that their own officer, or other duly authorized representative executing this Agreement, has the full power and authority to do so on their behalf.</w:t>
      </w:r>
    </w:p>
    <w:p>
      <w:pPr>
        <w:sectPr>
          <w:pgSz w:w="11900" w:h="16838" w:orient="portrait"/>
          <w:cols w:equalWidth="0" w:num="1">
            <w:col w:w="10720"/>
          </w:cols>
          <w:pgMar w:left="900" w:top="801" w:right="279" w:bottom="1440" w:gutter="0" w:footer="0" w:header="0"/>
        </w:sectPr>
      </w:pPr>
    </w:p>
    <w:bookmarkStart w:id="61" w:name="page62"/>
    <w:bookmarkEnd w:id="61"/>
    <w:p>
      <w:pPr>
        <w:ind w:left="760" w:right="180" w:hanging="647"/>
        <w:spacing w:after="0" w:line="250" w:lineRule="auto"/>
        <w:rPr>
          <w:sz w:val="20"/>
          <w:szCs w:val="20"/>
          <w:color w:val="auto"/>
        </w:rPr>
      </w:pPr>
      <w:r>
        <w:rPr>
          <w:rFonts w:ascii="Times New Roman" w:cs="Times New Roman" w:eastAsia="Times New Roman" w:hAnsi="Times New Roman"/>
          <w:sz w:val="22"/>
          <w:szCs w:val="22"/>
          <w:color w:val="auto"/>
        </w:rPr>
        <w:t>10.02 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398" w:lineRule="exact"/>
        <w:rPr>
          <w:sz w:val="20"/>
          <w:szCs w:val="20"/>
          <w:color w:val="auto"/>
        </w:rPr>
      </w:pPr>
    </w:p>
    <w:p>
      <w:pPr>
        <w:ind w:left="760" w:right="200" w:hanging="647"/>
        <w:spacing w:after="0" w:line="250" w:lineRule="auto"/>
        <w:rPr>
          <w:sz w:val="20"/>
          <w:szCs w:val="20"/>
          <w:color w:val="auto"/>
        </w:rPr>
      </w:pPr>
      <w:r>
        <w:rPr>
          <w:rFonts w:ascii="Times New Roman" w:cs="Times New Roman" w:eastAsia="Times New Roman" w:hAnsi="Times New Roman"/>
          <w:sz w:val="22"/>
          <w:szCs w:val="22"/>
          <w:color w:val="auto"/>
        </w:rPr>
        <w:t>10.03 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398" w:lineRule="exact"/>
        <w:rPr>
          <w:sz w:val="20"/>
          <w:szCs w:val="20"/>
          <w:color w:val="auto"/>
        </w:rPr>
      </w:pPr>
    </w:p>
    <w:p>
      <w:pPr>
        <w:ind w:left="760" w:right="320" w:hanging="647"/>
        <w:spacing w:after="0" w:line="271" w:lineRule="auto"/>
        <w:rPr>
          <w:sz w:val="20"/>
          <w:szCs w:val="20"/>
          <w:color w:val="auto"/>
        </w:rPr>
      </w:pPr>
      <w:r>
        <w:rPr>
          <w:rFonts w:ascii="Times New Roman" w:cs="Times New Roman" w:eastAsia="Times New Roman" w:hAnsi="Times New Roman"/>
          <w:sz w:val="22"/>
          <w:szCs w:val="22"/>
          <w:color w:val="auto"/>
        </w:rPr>
        <w:t>10.04 To facilitate the execution of this Agreement by the parties, the parties may execute it in subparts, and the signature transmitted by facsimile shall have the same force and effect as the original signature.</w:t>
      </w:r>
    </w:p>
    <w:p>
      <w:pPr>
        <w:spacing w:after="0" w:line="374" w:lineRule="exact"/>
        <w:rPr>
          <w:sz w:val="20"/>
          <w:szCs w:val="20"/>
          <w:color w:val="auto"/>
        </w:rPr>
      </w:pPr>
    </w:p>
    <w:p>
      <w:pPr>
        <w:jc w:val="both"/>
        <w:ind w:left="760" w:right="200" w:hanging="647"/>
        <w:spacing w:after="0" w:line="257" w:lineRule="auto"/>
        <w:rPr>
          <w:sz w:val="20"/>
          <w:szCs w:val="20"/>
          <w:color w:val="auto"/>
        </w:rPr>
      </w:pPr>
      <w:r>
        <w:rPr>
          <w:rFonts w:ascii="Times New Roman" w:cs="Times New Roman" w:eastAsia="Times New Roman" w:hAnsi="Times New Roman"/>
          <w:sz w:val="22"/>
          <w:szCs w:val="22"/>
          <w:color w:val="auto"/>
        </w:rPr>
        <w:t>10.05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89" w:lineRule="exact"/>
        <w:rPr>
          <w:sz w:val="20"/>
          <w:szCs w:val="20"/>
          <w:color w:val="auto"/>
        </w:rPr>
      </w:pPr>
    </w:p>
    <w:p>
      <w:pPr>
        <w:ind w:left="760" w:right="80" w:hanging="647"/>
        <w:spacing w:after="0" w:line="268" w:lineRule="auto"/>
        <w:rPr>
          <w:sz w:val="20"/>
          <w:szCs w:val="20"/>
          <w:color w:val="auto"/>
        </w:rPr>
      </w:pPr>
      <w:r>
        <w:rPr>
          <w:rFonts w:ascii="Times New Roman" w:cs="Times New Roman" w:eastAsia="Times New Roman" w:hAnsi="Times New Roman"/>
          <w:sz w:val="21"/>
          <w:szCs w:val="21"/>
          <w:color w:val="auto"/>
        </w:rPr>
        <w:t>10.06 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spacing w:after="0" w:line="380" w:lineRule="exact"/>
        <w:rPr>
          <w:sz w:val="20"/>
          <w:szCs w:val="20"/>
          <w:color w:val="auto"/>
        </w:rPr>
      </w:pPr>
    </w:p>
    <w:p>
      <w:pPr>
        <w:ind w:left="760" w:right="100" w:hanging="647"/>
        <w:spacing w:after="0" w:line="271" w:lineRule="auto"/>
        <w:rPr>
          <w:sz w:val="20"/>
          <w:szCs w:val="20"/>
          <w:color w:val="auto"/>
        </w:rPr>
      </w:pPr>
      <w:r>
        <w:rPr>
          <w:rFonts w:ascii="Times New Roman" w:cs="Times New Roman" w:eastAsia="Times New Roman" w:hAnsi="Times New Roman"/>
          <w:sz w:val="22"/>
          <w:szCs w:val="22"/>
          <w:color w:val="auto"/>
        </w:rPr>
        <w:t>10.07 The schedules form part of this Agreement and shall have the same force and effect as if expressly set out in the body of this Agreement, and any reference to this Agreement shall include the schedules.</w:t>
      </w:r>
    </w:p>
    <w:p>
      <w:pPr>
        <w:spacing w:after="0" w:line="374" w:lineRule="exact"/>
        <w:rPr>
          <w:sz w:val="20"/>
          <w:szCs w:val="20"/>
          <w:color w:val="auto"/>
        </w:rPr>
      </w:pPr>
    </w:p>
    <w:p>
      <w:pPr>
        <w:ind w:left="760" w:hanging="647"/>
        <w:spacing w:after="0" w:line="248" w:lineRule="auto"/>
        <w:rPr>
          <w:sz w:val="20"/>
          <w:szCs w:val="20"/>
          <w:color w:val="auto"/>
        </w:rPr>
      </w:pPr>
      <w:r>
        <w:rPr>
          <w:rFonts w:ascii="Times New Roman" w:cs="Times New Roman" w:eastAsia="Times New Roman" w:hAnsi="Times New Roman"/>
          <w:sz w:val="22"/>
          <w:szCs w:val="22"/>
          <w:color w:val="auto"/>
        </w:rPr>
        <w:t>10.08 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8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0200"/>
          </w:cols>
          <w:pgMar w:left="1440" w:top="801"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duly executed as of the Effective Date.</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 Nevada limited liability company, its sole member</w:t>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08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08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Chief Financial Officer, SVP and Treasurer</w:t>
      </w:r>
    </w:p>
    <w:p>
      <w:pPr>
        <w:sectPr>
          <w:pgSz w:w="11900" w:h="16838" w:orient="portrait"/>
          <w:cols w:equalWidth="0" w:num="1">
            <w:col w:w="10219"/>
          </w:cols>
          <w:pgMar w:left="240" w:top="585" w:right="1440"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color w:val="auto"/>
        </w:rPr>
        <w:t>Sch.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LICENSORS MARKS AND WORKS</w:t>
      </w:r>
    </w:p>
    <w:p>
      <w:pPr>
        <w:sectPr>
          <w:pgSz w:w="11900" w:h="16838" w:orient="portrait"/>
          <w:cols w:equalWidth="0" w:num="1">
            <w:col w:w="9019"/>
          </w:cols>
          <w:pgMar w:left="1440" w:top="585" w:right="1440" w:bottom="1440" w:gutter="0" w:footer="0" w:header="0"/>
        </w:sectPr>
      </w:pPr>
    </w:p>
    <w:bookmarkStart w:id="64" w:name="page65"/>
    <w:bookmarkEnd w:id="64"/>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THIRD PARTY RIGHTS AND WORKS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All rights which are the subject of the Surname Rights Agreement dated as of August 6, 2004, by and between Stephen A. Wynn and Wynn Resorts Holdings, LLC.</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All rights which are the subject of the Rights of Publicity License dated as of August 6, 2004, by and between Stephen A. Wynn and Wynn Resorts Holdings, LLC.</w:t>
      </w:r>
    </w:p>
    <w:p>
      <w:pPr>
        <w:spacing w:after="0" w:line="158" w:lineRule="exact"/>
        <w:rPr>
          <w:sz w:val="20"/>
          <w:szCs w:val="20"/>
          <w:color w:val="auto"/>
        </w:rPr>
      </w:pPr>
    </w:p>
    <w:p>
      <w:pPr>
        <w:ind w:right="3320"/>
        <w:spacing w:after="0" w:line="271" w:lineRule="auto"/>
        <w:rPr>
          <w:sz w:val="20"/>
          <w:szCs w:val="20"/>
          <w:color w:val="auto"/>
        </w:rPr>
      </w:pPr>
      <w:r>
        <w:rPr>
          <w:rFonts w:ascii="Times New Roman" w:cs="Times New Roman" w:eastAsia="Times New Roman" w:hAnsi="Times New Roman"/>
          <w:sz w:val="22"/>
          <w:szCs w:val="22"/>
          <w:color w:val="auto"/>
        </w:rPr>
        <w:t>All rights which are the subject of the Trademark Assignment, dated as of August 6, 2004, by and between Stephen A. Wynn and Wynn Resorts Holdings, LLC.</w:t>
      </w:r>
    </w:p>
    <w:p>
      <w:pPr>
        <w:sectPr>
          <w:pgSz w:w="11900" w:h="16838" w:orient="portrait"/>
          <w:cols w:equalWidth="0" w:num="1">
            <w:col w:w="11140"/>
          </w:cols>
          <w:pgMar w:left="240" w:top="1229" w:right="519" w:bottom="1440" w:gutter="0" w:footer="0" w:header="0"/>
        </w:sectPr>
      </w:pPr>
    </w:p>
    <w:bookmarkStart w:id="65" w:name="page66"/>
    <w:bookmarkEnd w:id="65"/>
    <w:p>
      <w:pPr>
        <w:jc w:val="center"/>
        <w:ind w:right="-111"/>
        <w:spacing w:after="0"/>
        <w:rPr>
          <w:sz w:val="20"/>
          <w:szCs w:val="20"/>
          <w:color w:val="auto"/>
        </w:rPr>
      </w:pPr>
      <w:r>
        <w:rPr>
          <w:rFonts w:ascii="Times New Roman" w:cs="Times New Roman" w:eastAsia="Times New Roman" w:hAnsi="Times New Roman"/>
          <w:sz w:val="22"/>
          <w:szCs w:val="22"/>
          <w:color w:val="auto"/>
        </w:rPr>
        <w:t>Sch. 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Schedule C</w:t>
      </w:r>
    </w:p>
    <w:p>
      <w:pPr>
        <w:spacing w:after="0" w:line="22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TRADE SECRETS, DATA AND KNOW-HOW</w:t>
      </w:r>
    </w:p>
    <w:p>
      <w:pPr>
        <w:spacing w:after="0" w:line="200" w:lineRule="exact"/>
        <w:rPr>
          <w:sz w:val="20"/>
          <w:szCs w:val="20"/>
          <w:color w:val="auto"/>
        </w:rPr>
      </w:pPr>
    </w:p>
    <w:p>
      <w:pPr>
        <w:spacing w:after="0" w:line="361" w:lineRule="exact"/>
        <w:rPr>
          <w:sz w:val="20"/>
          <w:szCs w:val="20"/>
          <w:color w:val="auto"/>
        </w:rPr>
      </w:pPr>
    </w:p>
    <w:p>
      <w:pPr>
        <w:ind w:left="352" w:hanging="352"/>
        <w:spacing w:after="0"/>
        <w:tabs>
          <w:tab w:leader="none" w:pos="35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Lists, include, but not limited to, all customer data and information that may reside on Licensee’s computer systems.</w:t>
      </w:r>
    </w:p>
    <w:p>
      <w:pPr>
        <w:spacing w:after="0" w:line="271" w:lineRule="exact"/>
        <w:rPr>
          <w:rFonts w:ascii="Times New Roman" w:cs="Times New Roman" w:eastAsia="Times New Roman" w:hAnsi="Times New Roman"/>
          <w:sz w:val="21"/>
          <w:szCs w:val="21"/>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Concepts, Design and Coordination</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Payout Ratio Computation Formulas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Training Manuals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Know How</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Casino Operations Know How</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Handling Systems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Compliance Procedures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Human Resources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Development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Investor Relations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Community Relations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Know How</w:t>
      </w:r>
    </w:p>
    <w:p>
      <w:pPr>
        <w:sectPr>
          <w:pgSz w:w="11900" w:h="16838" w:orient="portrait"/>
          <w:cols w:equalWidth="0" w:num="1">
            <w:col w:w="11292"/>
          </w:cols>
          <w:pgMar w:left="248" w:top="585"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83"/>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47"/>
              <w:spacing w:after="0"/>
              <w:rPr>
                <w:sz w:val="20"/>
                <w:szCs w:val="20"/>
                <w:color w:val="auto"/>
              </w:rPr>
            </w:pPr>
            <w:r>
              <w:rPr>
                <w:rFonts w:ascii="Times New Roman" w:cs="Times New Roman" w:eastAsia="Times New Roman" w:hAnsi="Times New Roman"/>
                <w:sz w:val="22"/>
                <w:szCs w:val="22"/>
                <w:color w:val="auto"/>
                <w:w w:val="96"/>
              </w:rPr>
              <w:t>Sch.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Times New Roman" w:cs="Times New Roman" w:eastAsia="Times New Roman" w:hAnsi="Times New Roman"/>
                <w:sz w:val="22"/>
                <w:szCs w:val="22"/>
                <w:b w:val="1"/>
                <w:bCs w:val="1"/>
                <w:color w:val="auto"/>
                <w:w w:val="98"/>
              </w:rPr>
              <w:t>Schedule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Times New Roman" w:cs="Times New Roman" w:eastAsia="Times New Roman" w:hAnsi="Times New Roman"/>
                <w:sz w:val="22"/>
                <w:szCs w:val="22"/>
                <w:b w:val="1"/>
                <w:bCs w:val="1"/>
                <w:color w:val="auto"/>
                <w:w w:val="97"/>
              </w:rPr>
              <w:t>LICENSING FEE</w:t>
            </w:r>
          </w:p>
        </w:tc>
      </w:tr>
      <w:tr>
        <w:trPr>
          <w:trHeight w:val="758"/>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Licensing Fee:</w:t>
            </w: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Licensee shall pay a monthly Licensing Fee to Licensor equal to three percent (3%) of</w:t>
            </w:r>
          </w:p>
        </w:tc>
      </w:tr>
      <w:tr>
        <w:trPr>
          <w:trHeight w:val="218"/>
        </w:trPr>
        <w:tc>
          <w:tcPr>
            <w:tcW w:w="11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Licensee’s IP gross monthly revenues, provided however, that such fee shall be reduced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one and one-half percent (1.5%) of Licensee’s IP gross monthly revenues so long as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2004 Intellectual Property License Agreement is in effect and had not been</w:t>
            </w: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terminated.</w:t>
            </w:r>
          </w:p>
        </w:tc>
      </w:tr>
      <w:tr>
        <w:trPr>
          <w:trHeight w:val="414"/>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the avoidance of doubt, a reference to “IP gross monthly revenues” refers to the</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Licensee’s IP gross revenues at the end of each calendar month. “IP gross revenues”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refers to Licensee’s total operating revenues as adjusted by adding back discounts and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promotional allowances. The calculation of Licensee’s operating revenues, promotional</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allowances, and discounts in connection with the IP gross revenues in connection with</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this Agreement shall always be consistent with the Licensee’s accounting policies. If any</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subsidiary of the Licensee requires the Licensed Property, “IP gross revenue” and “IP</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monthly gross revenue” will be interpreted to include the gross revenues of such</w:t>
            </w: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subsidiary.</w:t>
            </w:r>
          </w:p>
        </w:tc>
      </w:tr>
      <w:tr>
        <w:trPr>
          <w:trHeight w:val="230"/>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Timing of Payments:</w:t>
            </w: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The Licensing Fee shall be payable by Licensee not later than the last business day of the</w:t>
            </w:r>
          </w:p>
        </w:tc>
      </w:tr>
      <w:tr>
        <w:trPr>
          <w:trHeight w:val="218"/>
        </w:trPr>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month following the month in which it was earned. The Licensor shall inform Licensee</w:t>
            </w: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the account or accounts to be used by Licensee for payment.</w:t>
            </w:r>
          </w:p>
        </w:tc>
      </w:tr>
    </w:tbl>
    <w:p>
      <w:pPr>
        <w:sectPr>
          <w:pgSz w:w="11900" w:h="16838" w:orient="portrait"/>
          <w:cols w:equalWidth="0" w:num="1">
            <w:col w:w="9780"/>
          </w:cols>
          <w:pgMar w:left="1040" w:top="585" w:right="1079" w:bottom="1440" w:gutter="0" w:footer="0" w:header="0"/>
        </w:sectPr>
      </w:pPr>
    </w:p>
    <w:bookmarkStart w:id="67" w:name="page68"/>
    <w:bookmarkEnd w:id="67"/>
    <w:p>
      <w:pPr>
        <w:ind w:left="10320"/>
        <w:spacing w:after="0"/>
        <w:rPr>
          <w:sz w:val="20"/>
          <w:szCs w:val="20"/>
          <w:color w:val="auto"/>
        </w:rPr>
      </w:pPr>
      <w:r>
        <w:rPr>
          <w:rFonts w:ascii="Arial" w:cs="Arial" w:eastAsia="Arial" w:hAnsi="Arial"/>
          <w:sz w:val="19"/>
          <w:szCs w:val="19"/>
          <w:b w:val="1"/>
          <w:bCs w:val="1"/>
          <w:color w:val="auto"/>
        </w:rPr>
        <w:t>Exhibit 10.9</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TERMINATION AGREEMENT</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Termination Agreement (this “Termination”) is dated as of the 26th day of February 2015, by and among Wynn Las Vegas, LLC, a Nevada limited liability company (the “Company”) and the entities listed on Exhibit A (and together with the Company, the “Wynn Entities”), and Wynn Resorts, Limited, a Nevada corporation (the “Manager”).</w:t>
      </w:r>
    </w:p>
    <w:p>
      <w:pPr>
        <w:spacing w:after="0" w:line="157"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0"/>
          <w:szCs w:val="20"/>
          <w:color w:val="auto"/>
        </w:rPr>
        <w:t>WHEREAS, the Wynn Entities and the Manager have entered into that certain Management Agreement, dated as of December 14, 2004, as amended (the “Agreement”); and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Wynn Entities and the Manager desire to terminate the Agreement.</w:t>
      </w:r>
    </w:p>
    <w:p>
      <w:pPr>
        <w:spacing w:after="0" w:line="21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agree as follows:</w:t>
      </w:r>
    </w:p>
    <w:p>
      <w:pPr>
        <w:spacing w:after="0" w:line="139" w:lineRule="exact"/>
        <w:rPr>
          <w:sz w:val="20"/>
          <w:szCs w:val="20"/>
          <w:color w:val="auto"/>
        </w:rPr>
      </w:pPr>
    </w:p>
    <w:p>
      <w:pPr>
        <w:ind w:left="660" w:hanging="652"/>
        <w:spacing w:after="0" w:line="280" w:lineRule="auto"/>
        <w:tabs>
          <w:tab w:leader="none" w:pos="6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Termination of Agreement</w:t>
      </w:r>
      <w:r>
        <w:rPr>
          <w:rFonts w:ascii="Arial" w:cs="Arial" w:eastAsia="Arial" w:hAnsi="Arial"/>
          <w:sz w:val="20"/>
          <w:szCs w:val="20"/>
          <w:color w:val="auto"/>
        </w:rPr>
        <w:t>. The Wynn Entities and the Manager agree that the Agreement shall terminate and be of no further force or effect as of February 26, 2015.</w:t>
      </w:r>
    </w:p>
    <w:p>
      <w:pPr>
        <w:spacing w:after="0" w:line="138" w:lineRule="exact"/>
        <w:rPr>
          <w:rFonts w:ascii="Times New Roman" w:cs="Times New Roman" w:eastAsia="Times New Roman" w:hAnsi="Times New Roman"/>
          <w:sz w:val="18"/>
          <w:szCs w:val="18"/>
          <w:color w:val="auto"/>
        </w:rPr>
      </w:pPr>
    </w:p>
    <w:p>
      <w:pPr>
        <w:ind w:left="660" w:hanging="652"/>
        <w:spacing w:after="0" w:line="280" w:lineRule="auto"/>
        <w:tabs>
          <w:tab w:leader="none" w:pos="6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Termination may be executed in one or more counterparts, each of which independently shall be deemed to be an original.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ectPr>
          <w:pgSz w:w="11900" w:h="16838" w:orient="portrait"/>
          <w:cols w:equalWidth="0" w:num="1">
            <w:col w:w="11420"/>
          </w:cols>
          <w:pgMar w:left="240" w:top="567" w:right="23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IN WITNESS WHEREOF, the parties hereto have executed this Termination as of the date first above written.</w:t>
      </w:r>
    </w:p>
    <w:p>
      <w:pPr>
        <w:sectPr>
          <w:pgSz w:w="11900" w:h="16838" w:orient="portrait"/>
          <w:cols w:equalWidth="0" w:num="1">
            <w:col w:w="10219"/>
          </w:cols>
          <w:pgMar w:left="240" w:top="56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399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3992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pacing w:after="0" w:line="2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399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jc w:val="right"/>
        <w:ind w:right="5739"/>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ectPr>
          <w:pgSz w:w="11900" w:h="16838" w:orient="portrait"/>
          <w:cols w:equalWidth="0" w:num="1">
            <w:col w:w="10219"/>
          </w:cols>
          <w:pgMar w:left="240" w:top="569" w:right="1440"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43992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4399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4399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jc w:val="right"/>
        <w:ind w:right="5739"/>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ectPr>
          <w:pgSz w:w="11900" w:h="16838" w:orient="portrait"/>
          <w:cols w:equalWidth="0" w:num="1">
            <w:col w:w="10179"/>
          </w:cols>
          <w:pgMar w:left="280" w:top="742" w:right="1440" w:bottom="1440" w:gutter="0" w:footer="0" w:header="0"/>
        </w:sectPr>
      </w:pPr>
    </w:p>
    <w:bookmarkStart w:id="70" w:name="page71"/>
    <w:bookmarkEnd w:id="70"/>
    <w:p>
      <w:pPr>
        <w:ind w:left="5"/>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4399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Wynn Sunrise, LLC,</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885"/>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4399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885"/>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885"/>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387" w:lineRule="exact"/>
        <w:rPr>
          <w:sz w:val="20"/>
          <w:szCs w:val="20"/>
          <w:color w:val="auto"/>
        </w:rPr>
      </w:pPr>
    </w:p>
    <w:p>
      <w:pPr>
        <w:ind w:left="3085"/>
        <w:spacing w:after="0"/>
        <w:rPr>
          <w:sz w:val="20"/>
          <w:szCs w:val="20"/>
          <w:color w:val="auto"/>
        </w:rPr>
      </w:pPr>
      <w:r>
        <w:rPr>
          <w:rFonts w:ascii="Times New Roman" w:cs="Times New Roman" w:eastAsia="Times New Roman" w:hAnsi="Times New Roman"/>
          <w:sz w:val="18"/>
          <w:szCs w:val="18"/>
          <w:color w:val="auto"/>
        </w:rPr>
        <w:t>Exhibit A</w:t>
      </w:r>
    </w:p>
    <w:p>
      <w:pPr>
        <w:spacing w:after="0" w:line="63" w:lineRule="exact"/>
        <w:rPr>
          <w:sz w:val="20"/>
          <w:szCs w:val="20"/>
          <w:color w:val="auto"/>
        </w:rPr>
      </w:pPr>
    </w:p>
    <w:p>
      <w:pPr>
        <w:ind w:left="185" w:hanging="185"/>
        <w:spacing w:after="0"/>
        <w:tabs>
          <w:tab w:leader="none" w:pos="18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Wynn Show Performers, LLC, a Nevada limited liability company.</w:t>
      </w:r>
    </w:p>
    <w:p>
      <w:pPr>
        <w:spacing w:after="0" w:line="74" w:lineRule="exact"/>
        <w:rPr>
          <w:rFonts w:ascii="Times New Roman" w:cs="Times New Roman" w:eastAsia="Times New Roman" w:hAnsi="Times New Roman"/>
          <w:sz w:val="17"/>
          <w:szCs w:val="17"/>
          <w:color w:val="auto"/>
        </w:rPr>
      </w:pPr>
    </w:p>
    <w:p>
      <w:pPr>
        <w:ind w:left="185" w:hanging="185"/>
        <w:spacing w:after="0"/>
        <w:tabs>
          <w:tab w:leader="none" w:pos="1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a Nevada corporation.</w:t>
      </w:r>
    </w:p>
    <w:p>
      <w:pPr>
        <w:spacing w:after="0" w:line="63"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Golf, LLC, a Nevada limited liability company.</w:t>
      </w:r>
    </w:p>
    <w:p>
      <w:pPr>
        <w:spacing w:after="0" w:line="63"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Travel, LLC, a Nevada limited liability company.</w:t>
      </w:r>
    </w:p>
    <w:p>
      <w:pPr>
        <w:spacing w:after="0" w:line="63"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 Vegas Jet, LLC, a Nevada limited liability company.</w:t>
      </w:r>
    </w:p>
    <w:p>
      <w:pPr>
        <w:spacing w:after="0" w:line="63"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Sunrise, LLC, a Nevada limited liability company.</w:t>
      </w:r>
    </w:p>
    <w:p>
      <w:pPr>
        <w:sectPr>
          <w:pgSz w:w="11900" w:h="16838" w:orient="portrait"/>
          <w:cols w:equalWidth="0" w:num="1">
            <w:col w:w="10184"/>
          </w:cols>
          <w:pgMar w:left="275" w:top="742"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2015</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2015</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657"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March 31, 2015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2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87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8, 2015</w:t>
            </w:r>
          </w:p>
        </w:tc>
      </w:tr>
      <w:tr>
        <w:trPr>
          <w:trHeight w:val="405"/>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8, 2015</w:t>
            </w:r>
          </w:p>
        </w:tc>
      </w:tr>
    </w:tbl>
    <w:p>
      <w:pPr>
        <w:spacing w:after="0" w:line="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2"/>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Roman"/>
      <w:start w:val="4"/>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upp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2"/>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1"/>
    </w:lvl>
    <w:lvl w:ilvl="1">
      <w:lvlJc w:val="left"/>
      <w:lvlText w:val="(%2)"/>
      <w:numFmt w:val="lowerLetter"/>
      <w:start w:val="3"/>
    </w:lvl>
  </w:abstractNum>
  <w:abstractNum w:abstractNumId="24">
    <w:nsid w:val="7C3DBD3D"/>
    <w:multiLevelType w:val="hybridMultilevel"/>
    <w:lvl w:ilvl="0">
      <w:lvlJc w:val="left"/>
      <w:lvlText w:val="(%1)"/>
      <w:numFmt w:val="lowerLetter"/>
      <w:start w:val="35"/>
    </w:lvl>
    <w:lvl w:ilvl="1">
      <w:lvlJc w:val="left"/>
      <w:lvlText w:val="(%2)"/>
      <w:numFmt w:val="lowerLetter"/>
      <w:start w:val="7"/>
    </w:lvl>
  </w:abstractNum>
  <w:abstractNum w:abstractNumId="25">
    <w:nsid w:val="737B8DDC"/>
    <w:multiLevelType w:val="hybridMultilevel"/>
    <w:lvl w:ilvl="0">
      <w:lvlJc w:val="left"/>
      <w:lvlText w:val="(%1)"/>
      <w:numFmt w:val="lowerLetter"/>
      <w:start w:val="1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upperLetter"/>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0"/>
    </w:lvl>
  </w:abstractNum>
  <w:abstractNum w:abstractNumId="30">
    <w:nsid w:val="614FD4A1"/>
    <w:multiLevelType w:val="hybridMultilevel"/>
    <w:lvl w:ilvl="0">
      <w:lvlJc w:val="left"/>
      <w:lvlText w:val="(%1)"/>
      <w:numFmt w:val="lowerRoman"/>
      <w:start w:val="2"/>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2019-12-29T17:24:25Z</dcterms:created>
  <dcterms:modified xsi:type="dcterms:W3CDTF">2019-12-29T17:24:25Z</dcterms:modified>
</cp:coreProperties>
</file>