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3982085</wp:posOffset>
            </wp:positionH>
            <wp:positionV relativeFrom="paragraph">
              <wp:posOffset>-10160</wp:posOffset>
            </wp:positionV>
            <wp:extent cx="76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6140" w:type="dxa"/>
            <w:vAlign w:val="bottom"/>
            <w:gridSpan w:val="3"/>
          </w:tcPr>
          <w:p>
            <w:pPr>
              <w:jc w:val="center"/>
              <w:ind w:right="436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40" w:type="dxa"/>
            <w:vAlign w:val="bottom"/>
            <w:gridSpan w:val="3"/>
          </w:tcPr>
          <w:p>
            <w:pPr>
              <w:jc w:val="center"/>
              <w:ind w:right="43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40" w:type="dxa"/>
            <w:vAlign w:val="bottom"/>
            <w:gridSpan w:val="3"/>
          </w:tcPr>
          <w:p>
            <w:pPr>
              <w:jc w:val="center"/>
              <w:ind w:right="4380"/>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6140" w:type="dxa"/>
            <w:vAlign w:val="bottom"/>
            <w:gridSpan w:val="3"/>
          </w:tcPr>
          <w:p>
            <w:pPr>
              <w:jc w:val="center"/>
              <w:ind w:left="126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080" w:type="dxa"/>
            <w:vAlign w:val="bottom"/>
          </w:tcPr>
          <w:p>
            <w:pPr>
              <w:spacing w:after="0"/>
              <w:rPr>
                <w:sz w:val="15"/>
                <w:szCs w:val="15"/>
                <w:color w:val="auto"/>
              </w:rPr>
            </w:pPr>
          </w:p>
        </w:tc>
      </w:tr>
      <w:tr>
        <w:trPr>
          <w:trHeight w:val="352"/>
        </w:trPr>
        <w:tc>
          <w:tcPr>
            <w:tcW w:w="4920" w:type="dxa"/>
            <w:vAlign w:val="bottom"/>
            <w:gridSpan w:val="2"/>
          </w:tcPr>
          <w:p>
            <w:pPr>
              <w:jc w:val="center"/>
              <w:ind w:left="246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149"/>
        </w:trPr>
        <w:tc>
          <w:tcPr>
            <w:tcW w:w="25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78"/>
        </w:trPr>
        <w:tc>
          <w:tcPr>
            <w:tcW w:w="2540" w:type="dxa"/>
            <w:vAlign w:val="bottom"/>
          </w:tcPr>
          <w:p>
            <w:pPr>
              <w:spacing w:after="0"/>
              <w:rPr>
                <w:sz w:val="24"/>
                <w:szCs w:val="24"/>
                <w:color w:val="auto"/>
              </w:rPr>
            </w:pPr>
          </w:p>
        </w:tc>
        <w:tc>
          <w:tcPr>
            <w:tcW w:w="36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080" w:type="dxa"/>
            <w:vAlign w:val="bottom"/>
          </w:tcPr>
          <w:p>
            <w:pPr>
              <w:spacing w:after="0"/>
              <w:rPr>
                <w:sz w:val="24"/>
                <w:szCs w:val="24"/>
                <w:color w:val="auto"/>
              </w:rPr>
            </w:pPr>
          </w:p>
        </w:tc>
      </w:tr>
      <w:tr>
        <w:trPr>
          <w:trHeight w:val="174"/>
        </w:trPr>
        <w:tc>
          <w:tcPr>
            <w:tcW w:w="6140" w:type="dxa"/>
            <w:vAlign w:val="bottom"/>
            <w:gridSpan w:val="3"/>
          </w:tcPr>
          <w:p>
            <w:pPr>
              <w:jc w:val="center"/>
              <w:ind w:left="12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u w:val="single" w:color="auto"/>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u w:val="single" w:color="auto"/>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920"/>
        <w:spacing w:after="0" w:line="207" w:lineRule="exact"/>
        <w:tabs>
          <w:tab w:leader="none" w:pos="3900" w:val="left"/>
          <w:tab w:leader="none" w:pos="7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u w:val="single" w:color="auto"/>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Class</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July 31, 2012</w:t>
            </w:r>
          </w:p>
        </w:tc>
      </w:tr>
      <w:tr>
        <w:trPr>
          <w:trHeight w:val="216"/>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$0.01 par value</w:t>
            </w:r>
          </w:p>
        </w:tc>
        <w:tc>
          <w:tcPr>
            <w:tcW w:w="460" w:type="dxa"/>
            <w:vAlign w:val="bottom"/>
          </w:tcPr>
          <w:p>
            <w:pPr>
              <w:spacing w:after="0"/>
              <w:rPr>
                <w:sz w:val="18"/>
                <w:szCs w:val="18"/>
                <w:color w:val="auto"/>
              </w:rPr>
            </w:pPr>
          </w:p>
        </w:tc>
        <w:tc>
          <w:tcPr>
            <w:tcW w:w="5460" w:type="dxa"/>
            <w:vAlign w:val="bottom"/>
            <w:tcBorders>
              <w:top w:val="single" w:sz="8" w:color="auto"/>
            </w:tcBorders>
          </w:tcPr>
          <w:p>
            <w:pPr>
              <w:jc w:val="right"/>
              <w:ind w:right="2222"/>
              <w:spacing w:after="0"/>
              <w:rPr>
                <w:sz w:val="20"/>
                <w:szCs w:val="20"/>
                <w:color w:val="auto"/>
              </w:rPr>
            </w:pPr>
            <w:r>
              <w:rPr>
                <w:rFonts w:ascii="Arial" w:cs="Arial" w:eastAsia="Arial" w:hAnsi="Arial"/>
                <w:sz w:val="18"/>
                <w:szCs w:val="18"/>
                <w:color w:val="auto"/>
              </w:rPr>
              <w:t>100,522,136</w:t>
            </w:r>
          </w:p>
        </w:tc>
      </w:tr>
      <w:tr>
        <w:trPr>
          <w:trHeight w:val="156"/>
        </w:trPr>
        <w:tc>
          <w:tcPr>
            <w:tcW w:w="5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9"/>
                <w:szCs w:val="19"/>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4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2012 and December 31, 2011</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six months ended June 30, 2012 and 2011</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Income (unaudited) - Three and six months ended June 30, 2012 and 2011</w:t>
              </w:r>
            </w:hyperlink>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 (unaudited) – Six months ended June 30, 2012 and 2011</w:t>
              </w:r>
            </w:hyperlink>
          </w:p>
        </w:tc>
        <w:tc>
          <w:tcPr>
            <w:tcW w:w="182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Stockholders’ Equity (unaudited) – June 30, 2012</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3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8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5">
              <w:r>
                <w:rPr>
                  <w:rFonts w:ascii="Arial" w:cs="Arial" w:eastAsia="Arial" w:hAnsi="Arial"/>
                  <w:sz w:val="18"/>
                  <w:szCs w:val="18"/>
                  <w:color w:val="0000EE"/>
                  <w:w w:val="86"/>
                </w:rPr>
                <w:t>Controls and Procedures</w:t>
              </w:r>
            </w:hyperlink>
          </w:p>
        </w:tc>
        <w:tc>
          <w:tcPr>
            <w:tcW w:w="814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3"/>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24"/>
                <w:szCs w:val="24"/>
                <w:color w:val="auto"/>
              </w:rPr>
            </w:pPr>
          </w:p>
        </w:tc>
        <w:tc>
          <w:tcPr>
            <w:tcW w:w="858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8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564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gridSpan w:val="9"/>
          </w:tcPr>
          <w:p>
            <w:pPr>
              <w:ind w:left="468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ind w:left="4120"/>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1,933,189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219,130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218,068</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66,287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34,044</w:t>
            </w:r>
          </w:p>
        </w:tc>
        <w:tc>
          <w:tcPr>
            <w:tcW w:w="5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2,470,718</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1,726,452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4,744,574</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4,865,332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54,445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33,523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Deferred financing costs, net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53,159</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119,970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125,712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Investment in unconsolidated affiliates</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4,202</w:t>
            </w: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7,480,591</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LIABILITIES AND STOCKHOLDERS’ EQUITY</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158,665</w:t>
            </w:r>
          </w:p>
        </w:tc>
        <w:tc>
          <w:tcPr>
            <w:tcW w:w="5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165,796</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land concession obligation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27,230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Customer deposits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608,929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Gaming taxes payable</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155,432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85,139</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79,768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48,356</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Construction retention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3,501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 net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727</w:t>
            </w: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1,337,048</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1,579,893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5,292,218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concession obligation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90,243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119,735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45,875</w:t>
            </w:r>
          </w:p>
        </w:tc>
        <w:tc>
          <w:tcPr>
            <w:tcW w:w="5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34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6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6,885,119</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4,676,042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15)</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par value $0.01; 40,000,000 shares authorized; zero shares issued and outstanding</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40" w:type="dxa"/>
            <w:vAlign w:val="bottom"/>
          </w:tcPr>
          <w:p>
            <w:pPr>
              <w:ind w:left="420"/>
              <w:spacing w:after="0" w:line="138" w:lineRule="exact"/>
              <w:rPr>
                <w:sz w:val="20"/>
                <w:szCs w:val="20"/>
                <w:color w:val="auto"/>
              </w:rPr>
            </w:pPr>
            <w:r>
              <w:rPr>
                <w:rFonts w:ascii="Arial" w:cs="Arial" w:eastAsia="Arial" w:hAnsi="Arial"/>
                <w:sz w:val="14"/>
                <w:szCs w:val="14"/>
                <w:color w:val="auto"/>
                <w:w w:val="96"/>
              </w:rPr>
              <w:t>Common stock, par value $0.01; 400,000,000 shares authorized; 113,385,866 and 137,937,088 shares issued; 100,522,798 and 125,080,998 shares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40" w:type="dxa"/>
            <w:vAlign w:val="bottom"/>
          </w:tcPr>
          <w:p>
            <w:pPr>
              <w:ind w:left="640"/>
              <w:spacing w:after="0" w:line="159" w:lineRule="exact"/>
              <w:rPr>
                <w:sz w:val="20"/>
                <w:szCs w:val="20"/>
                <w:color w:val="auto"/>
              </w:rPr>
            </w:pPr>
            <w:r>
              <w:rPr>
                <w:rFonts w:ascii="Arial" w:cs="Arial" w:eastAsia="Arial" w:hAnsi="Arial"/>
                <w:sz w:val="14"/>
                <w:szCs w:val="14"/>
                <w:color w:val="auto"/>
              </w:rPr>
              <w:t>outstanding</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1,134</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 at cost; 12,863,068 and 12,856,090 shares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6"/>
              </w:rPr>
              <w:t>(1,127,883)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(1,127,036)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1,251,504</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3,177,471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2,096</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214,791</w:t>
            </w: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Wynn Resorts, Limited stockholders’ equity</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341,642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2,089,022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253,830</w:t>
            </w: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134,432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equity</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595,472</w:t>
            </w:r>
          </w:p>
        </w:tc>
        <w:tc>
          <w:tcPr>
            <w:tcW w:w="5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2,223,454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7,480,591</w:t>
            </w:r>
          </w:p>
        </w:tc>
        <w:tc>
          <w:tcPr>
            <w:tcW w:w="52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Casino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953,390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1,082,043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2,002,669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2,088,348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119,998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161,137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147,787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296,277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1,340,809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1,452,244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2,748,640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2,801,748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(181,935)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1,253,207</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1,367,353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2,566,705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2,627,625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645,688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684,505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1,320,344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74,956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91,912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205,727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(17,279)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102,052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111,060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989,084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1,154,320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2,042,483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2,134,036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213,033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493,589</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(73,874)</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(58,231)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(135,935)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(69,570)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(131,377)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(104,586)</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194,553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160,562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392,845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389,003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Benefit (provision) for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199,293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155,331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397,702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381,666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(61,229)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(119,074)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(85,831)</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138,064</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278,628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295,835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2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99,782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123,970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106,243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125,729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$199,293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$ 397,702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Unrealized gain (loss) on available-for-sale securities, net of tax</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4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199,063</w:t>
            </w: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399,370</w:t>
            </w: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(61,210)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(33,656)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(119,486)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 Limited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137,853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122,961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$ 279,884</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397,702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381,666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203,399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(7,554)</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(7,365)</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(7,270)</w:t>
            </w: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830,998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(115,341)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(51,278)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(121,408)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(171,989)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 or maturity of corporate debt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(21,359)</w:t>
            </w: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(179,975)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(244,532)</w:t>
            </w: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(62,785)</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(597,435)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(122,004)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settlement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(160,177)</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670,602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426,490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1,262,587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1,258,499</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1,933,189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1,684,989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Wynn Resorts,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Ltd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Par</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paid-in</w:t>
            </w:r>
          </w:p>
        </w:tc>
        <w:tc>
          <w:tcPr>
            <w:tcW w:w="1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stockholders’</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value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income</w:t>
            </w:r>
          </w:p>
        </w:tc>
        <w:tc>
          <w:tcPr>
            <w:tcW w:w="1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earnings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equity</w:t>
            </w: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2012</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125,080,998</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$1,379</w:t>
            </w: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$(1,127,036)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6"/>
              </w:rPr>
              <w:t>$ 3,177,471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w w:val="85"/>
              </w:rPr>
              <w:t>840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36,368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2,089,022</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134,432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2,223,454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Stock redemption</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(24,549,222)</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(245)</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(1,936,198)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(1,936,443)</w:t>
            </w:r>
          </w:p>
        </w:tc>
        <w:tc>
          <w:tcPr>
            <w:tcW w:w="14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(1,936,443)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278,628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278,628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119,074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397,702</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Currency translation adjustment</w:t>
            </w:r>
          </w:p>
        </w:tc>
        <w:tc>
          <w:tcPr>
            <w:tcW w:w="10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537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537</w:t>
            </w:r>
          </w:p>
        </w:tc>
        <w:tc>
          <w:tcPr>
            <w:tcW w:w="14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b w:val="1"/>
                <w:bCs w:val="1"/>
                <w:color w:val="auto"/>
                <w:w w:val="85"/>
              </w:rPr>
              <w:t>206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743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unrealized gain on investments</w:t>
            </w:r>
          </w:p>
        </w:tc>
        <w:tc>
          <w:tcPr>
            <w:tcW w:w="10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719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719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85"/>
              </w:rPr>
              <w:t>206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925</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Exercise of stock options</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27,000</w:t>
            </w:r>
          </w:p>
        </w:tc>
        <w:tc>
          <w:tcPr>
            <w:tcW w:w="26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912</w:t>
            </w:r>
          </w:p>
        </w:tc>
        <w:tc>
          <w:tcPr>
            <w:tcW w:w="14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912</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Cancellation of restricted stock</w:t>
            </w:r>
          </w:p>
        </w:tc>
        <w:tc>
          <w:tcPr>
            <w:tcW w:w="10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(29,000)</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Purchase of treasury stock</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(6,978)</w:t>
            </w: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(847)</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(847)</w:t>
            </w:r>
          </w:p>
        </w:tc>
        <w:tc>
          <w:tcPr>
            <w:tcW w:w="140" w:type="dxa"/>
            <w:vAlign w:val="bottom"/>
          </w:tcPr>
          <w:p>
            <w:pPr>
              <w:spacing w:after="0"/>
              <w:rPr>
                <w:sz w:val="12"/>
                <w:szCs w:val="12"/>
                <w:color w:val="auto"/>
              </w:rPr>
            </w:pP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(847)</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dividends</w:t>
            </w:r>
          </w:p>
        </w:tc>
        <w:tc>
          <w:tcPr>
            <w:tcW w:w="10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(100,205)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(100,005)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(100,005)</w:t>
            </w:r>
          </w:p>
        </w:tc>
        <w:tc>
          <w:tcPr>
            <w:tcW w:w="0" w:type="dxa"/>
            <w:vAlign w:val="bottom"/>
          </w:tcPr>
          <w:p>
            <w:pPr>
              <w:spacing w:after="0"/>
              <w:rPr>
                <w:sz w:val="1"/>
                <w:szCs w:val="1"/>
                <w:color w:val="auto"/>
              </w:rPr>
            </w:pPr>
          </w:p>
        </w:tc>
      </w:tr>
      <w:tr>
        <w:trPr>
          <w:trHeight w:val="136"/>
        </w:trPr>
        <w:tc>
          <w:tcPr>
            <w:tcW w:w="2700" w:type="dxa"/>
            <w:vAlign w:val="bottom"/>
          </w:tcPr>
          <w:p>
            <w:pPr>
              <w:spacing w:after="0" w:line="136" w:lineRule="exact"/>
              <w:rPr>
                <w:sz w:val="20"/>
                <w:szCs w:val="20"/>
                <w:color w:val="auto"/>
              </w:rPr>
            </w:pPr>
            <w:r>
              <w:rPr>
                <w:rFonts w:ascii="Arial" w:cs="Arial" w:eastAsia="Arial" w:hAnsi="Arial"/>
                <w:sz w:val="14"/>
                <w:szCs w:val="14"/>
                <w:b w:val="1"/>
                <w:bCs w:val="1"/>
                <w:color w:val="auto"/>
              </w:rPr>
              <w:t>Excess tax benefits from stock-based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20"/>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1,080</w:t>
            </w:r>
          </w:p>
        </w:tc>
        <w:tc>
          <w:tcPr>
            <w:tcW w:w="140" w:type="dxa"/>
            <w:vAlign w:val="bottom"/>
          </w:tcPr>
          <w:p>
            <w:pPr>
              <w:spacing w:after="0"/>
              <w:rPr>
                <w:sz w:val="14"/>
                <w:szCs w:val="1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1,080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8,039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8,039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7,951</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Balances, June 30, 2012</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100,522,798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1,134</w:t>
            </w:r>
          </w:p>
        </w:tc>
        <w:tc>
          <w:tcPr>
            <w:tcW w:w="280" w:type="dxa"/>
            <w:vAlign w:val="bottom"/>
          </w:tcPr>
          <w:p>
            <w:pPr>
              <w:spacing w:after="0"/>
              <w:rPr>
                <w:sz w:val="13"/>
                <w:szCs w:val="13"/>
                <w:color w:val="auto"/>
              </w:rPr>
            </w:pP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(1,127,883)</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$ 1,251,504</w:t>
            </w:r>
          </w:p>
        </w:tc>
        <w:tc>
          <w:tcPr>
            <w:tcW w:w="160" w:type="dxa"/>
            <w:vAlign w:val="bottom"/>
          </w:tcPr>
          <w:p>
            <w:pPr>
              <w:spacing w:after="0"/>
              <w:rPr>
                <w:sz w:val="13"/>
                <w:szCs w:val="13"/>
                <w:color w:val="auto"/>
              </w:rPr>
            </w:pPr>
          </w:p>
        </w:tc>
        <w:tc>
          <w:tcPr>
            <w:tcW w:w="280" w:type="dxa"/>
            <w:vAlign w:val="bottom"/>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2,096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214,791</w:t>
            </w:r>
          </w:p>
        </w:tc>
        <w:tc>
          <w:tcPr>
            <w:tcW w:w="160" w:type="dxa"/>
            <w:vAlign w:val="bottom"/>
          </w:tcPr>
          <w:p>
            <w:pPr>
              <w:spacing w:after="0"/>
              <w:rPr>
                <w:sz w:val="13"/>
                <w:szCs w:val="13"/>
                <w:color w:val="auto"/>
              </w:rPr>
            </w:pPr>
          </w:p>
        </w:tc>
        <w:tc>
          <w:tcPr>
            <w:tcW w:w="280" w:type="dxa"/>
            <w:vAlign w:val="bottom"/>
            <w:gridSpan w:val="2"/>
          </w:tcPr>
          <w:p>
            <w:pPr>
              <w:jc w:val="right"/>
              <w:ind w:right="38"/>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341,642</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253,830</w:t>
            </w:r>
          </w:p>
        </w:tc>
        <w:tc>
          <w:tcPr>
            <w:tcW w:w="160" w:type="dxa"/>
            <w:vAlign w:val="bottom"/>
          </w:tcPr>
          <w:p>
            <w:pPr>
              <w:spacing w:after="0"/>
              <w:rPr>
                <w:sz w:val="13"/>
                <w:szCs w:val="13"/>
                <w:color w:val="auto"/>
              </w:rPr>
            </w:pP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595,472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(“Wynn Las Vegas” or the “Las Vegas Operations”). In Macau, the Company owns Wynn Macau, which opened on September 6, 2006 and was expanded with the opening of Encore at Wynn Macau on April 21, 2010 (“Wynn Macau” or the “Macau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condensed consolidated financial statements for the previous periods have been reclassified to be consistent with the current period presentation. These reclassifications had no effect on the previously reported net income.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$1.2 billion and $545 million at June 30, 2012 and December 31, 2011, respectively, were invested in time deposits, money market accounts and commercial paper. In addition, the Company held cash in bank and cash on hand of approximately $773.2 million and $717.5 million as of June 30, 2012 and December 31, 2011,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current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2012 and December 31, 2011, approximately 81% and 84%,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2012, the Company recorded an adjustment to its reserve estimates for casino accounts receivable based on the results of historical collection patterns and current collection trends. This adjustment benefitted operating income by $30.9 million and net income attributable to Wynn Resorts, Limited by $23.3 million (or $0.23 per share and $0.22 per share on a fully diluted basis for the three and six months ended June 30, 2012, respectively). This change in estimate was the primary factor that resulted in a $17.3 million credit to the provision for doubtful accounts for the quarter ended June 30, 2012.</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8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740" w:type="dxa"/>
            <w:vAlign w:val="bottom"/>
          </w:tcPr>
          <w:p>
            <w:pPr>
              <w:spacing w:after="0"/>
              <w:rPr>
                <w:sz w:val="14"/>
                <w:szCs w:val="14"/>
                <w:color w:val="auto"/>
              </w:rPr>
            </w:pPr>
          </w:p>
        </w:tc>
        <w:tc>
          <w:tcPr>
            <w:tcW w:w="15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74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$12,804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$12,484</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$26,198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25,689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54,083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51,195</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42,470</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40,779</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88,976</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85,605</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These taxes totaled approximately $443.1 million and $485.5 million for the three months ended June 30, 2012 and 2011, respectively. These taxes totaled approximately $907.6 million and $910.8 million for the six months ended June 30, 2012 and 2011,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expenses advertising costs the first time the advertising takes place and such costs are included in general and administrative expenses. For the three months ended June 30, 2012 and 2011, advertising costs totaled approximately $6.6 million and $3.8 million, respectively. These costs totaled approximately $11.3 million and $7.4 million for the six months ended June 30, 2012 and 2011,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8"/>
          </w:tcPr>
          <w:p>
            <w:pPr>
              <w:ind w:left="66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Quoted</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Prices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Active</w:t>
            </w:r>
          </w:p>
        </w:tc>
        <w:tc>
          <w:tcPr>
            <w:tcW w:w="2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Markets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Inputs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June 30, 2012</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1,160,007</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$575,095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584,912</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273,575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273,575</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545,045</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$363,104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181,941</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7,298</w:t>
            </w:r>
          </w:p>
        </w:tc>
        <w:tc>
          <w:tcPr>
            <w:tcW w:w="26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7,298</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213,567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213,567</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 stock options and nonvested stock. The weighted average common shares outstanding decreased for the three and six months ended June 30, 2012, due to the redemption and cancellation of 24,549,222 common shares on February 18, 2012, from a former stockholder and related party as described in Notes 9 and 15.</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700" w:type="dxa"/>
            <w:vAlign w:val="bottom"/>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123,970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123,864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1,228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1,265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125,729</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107,508</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125,567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Anti-dilutive stock options excluded from the calculation of diluted earnings per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by component in Accumulated Other Comprehensive Income of the Company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Foreign</w:t>
            </w:r>
          </w:p>
        </w:tc>
        <w:tc>
          <w:tcPr>
            <w:tcW w:w="36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currency</w:t>
            </w:r>
          </w:p>
        </w:tc>
        <w:tc>
          <w:tcPr>
            <w:tcW w:w="36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gain/loss on</w:t>
            </w:r>
          </w:p>
        </w:tc>
        <w:tc>
          <w:tcPr>
            <w:tcW w:w="3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translation</w:t>
            </w:r>
          </w:p>
        </w:tc>
        <w:tc>
          <w:tcPr>
            <w:tcW w:w="36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securities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3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period other comprehensive income</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80" w:type="dxa"/>
            <w:vAlign w:val="bottom"/>
            <w:vMerge w:val="restart"/>
          </w:tcPr>
          <w:p>
            <w:pPr>
              <w:jc w:val="right"/>
              <w:ind w:right="185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February 2012, the Company redeemed and canceled 24,549,222 shares of common stock from a former stockholder and related party with the issuance of a $1.94 billion promissory note due in 2022. For details of this transaction see Notes 9 and 15.</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Interest paid for the six months ended June 30, 2012 and 2011, totaled approximately $100 million and $113.1 million, respectively. Capitalized interest was $0.5 million for the six months ended June 30, 2012. No interest was capitalized during the six months ended June 30, 2011.</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six months ended June 30, 2012, there were no changes in construction payables and retention included in capital expenditures. For the six months ended June 30, 2011, capital expenditures included a decrease of $7.3 million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8"/>
              </w:rPr>
              <w:t>Available-for-sale securities</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Fair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8"/>
              </w:rPr>
              <w:t>Gross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54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unrealized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gains</w:t>
            </w:r>
          </w:p>
        </w:tc>
        <w:tc>
          <w:tcPr>
            <w:tcW w:w="54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3"/>
              </w:rPr>
              <w:t>losses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June 30, 2012</w:t>
            </w: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$ 229,119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 (1,201)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$227,991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274,717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 (1,222)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273,575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$196,986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 (2,070)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215,637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 (2,091)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investments with unrealized losses as of June 30, 2012 and December 31, 2011,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Each quarter, the Company validates the fair value pricing methodology to determine the fair value consistent with applicable accounting guidance and to confirm that the securities are classified properly in the fair value hierarchy. The Company compares the pricing received from its vendors to independent sources for the same or similar securities and no adjustment to such prices have resulted.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amortized cost and estimated fair value of these investment securities at June 30, 2012, by contractual maturity, are as follows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5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$ 219,734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$ 219,130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two years</w:t>
            </w:r>
          </w:p>
        </w:tc>
        <w:tc>
          <w:tcPr>
            <w:tcW w:w="54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54,983</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tcPr>
          <w:p>
            <w:pPr>
              <w:spacing w:after="0"/>
              <w:rPr>
                <w:sz w:val="19"/>
                <w:szCs w:val="19"/>
                <w:color w:val="auto"/>
              </w:rPr>
            </w:pP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$ 274,717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$ 273,575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40" w:type="dxa"/>
            <w:vAlign w:val="bottom"/>
            <w:vMerge w:val="restart"/>
          </w:tcPr>
          <w:p>
            <w:pPr>
              <w:jc w:val="right"/>
              <w:ind w:right="3672"/>
              <w:spacing w:after="0"/>
              <w:rPr>
                <w:sz w:val="20"/>
                <w:szCs w:val="20"/>
                <w:color w:val="auto"/>
              </w:rPr>
            </w:pPr>
            <w:r>
              <w:rPr>
                <w:rFonts w:ascii="Arial" w:cs="Arial" w:eastAsia="Arial" w:hAnsi="Arial"/>
                <w:sz w:val="18"/>
                <w:szCs w:val="18"/>
                <w:color w:val="auto"/>
              </w:rPr>
              <w:t>12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9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$248,315</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Hotel</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18,294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42,944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309,553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330,344</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(91,485)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(91,854)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218,068</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238,490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2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20" w:type="dxa"/>
            <w:vAlign w:val="bottom"/>
          </w:tcPr>
          <w:p>
            <w:pPr>
              <w:spacing w:after="0"/>
              <w:rPr>
                <w:sz w:val="24"/>
                <w:szCs w:val="24"/>
                <w:color w:val="auto"/>
              </w:rPr>
            </w:pPr>
          </w:p>
        </w:tc>
        <w:tc>
          <w:tcPr>
            <w:tcW w:w="14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9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732,133</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3,790,599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3,777,612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77,436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77,436</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1,654,302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1,655,655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interests in land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316,373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316,437</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59,009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6,629,852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6,585,952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(1,885,278)</w:t>
            </w:r>
          </w:p>
        </w:tc>
        <w:tc>
          <w:tcPr>
            <w:tcW w:w="48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(1,720,620)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$ 4,744,574</w:t>
            </w: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$ 4,865,332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188"/>
        </w:trPr>
        <w:tc>
          <w:tcPr>
            <w:tcW w:w="93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1"/>
              </w:rPr>
              <w:t>7 7/8% Wynn Las Vegas First Mortgage Notes, due November 1, 2017, net of original issue discount of $7,993 at June 30, 2012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$8,578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2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9360" w:type="dxa"/>
            <w:vAlign w:val="bottom"/>
          </w:tcPr>
          <w:p>
            <w:pPr>
              <w:spacing w:after="0"/>
              <w:rPr>
                <w:sz w:val="20"/>
                <w:szCs w:val="20"/>
                <w:color w:val="auto"/>
              </w:rPr>
            </w:pPr>
            <w:r>
              <w:rPr>
                <w:rFonts w:ascii="Arial" w:cs="Arial" w:eastAsia="Arial" w:hAnsi="Arial"/>
                <w:sz w:val="18"/>
                <w:szCs w:val="18"/>
                <w:color w:val="auto"/>
                <w:w w:val="92"/>
              </w:rPr>
              <w:t>7 7/8% Wynn Las Vegas First Mortgage Notes, due May 1, 2020, net of original issue discount of $1,712 at June 30, 2012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360" w:type="dxa"/>
            <w:vAlign w:val="bottom"/>
          </w:tcPr>
          <w:p>
            <w:pPr>
              <w:ind w:left="220"/>
              <w:spacing w:after="0"/>
              <w:rPr>
                <w:sz w:val="20"/>
                <w:szCs w:val="20"/>
                <w:color w:val="auto"/>
              </w:rPr>
            </w:pPr>
            <w:r>
              <w:rPr>
                <w:rFonts w:ascii="Arial" w:cs="Arial" w:eastAsia="Arial" w:hAnsi="Arial"/>
                <w:sz w:val="18"/>
                <w:szCs w:val="18"/>
                <w:color w:val="auto"/>
              </w:rPr>
              <w:t>$1,789 at December 31,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350,221</w:t>
            </w:r>
          </w:p>
        </w:tc>
        <w:tc>
          <w:tcPr>
            <w:tcW w:w="120" w:type="dxa"/>
            <w:vAlign w:val="bottom"/>
          </w:tcPr>
          <w:p>
            <w:pPr>
              <w:spacing w:after="0"/>
              <w:rPr>
                <w:sz w:val="19"/>
                <w:szCs w:val="19"/>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7 3/4% Wynn Las Vegas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5 3/8% Wynn Las Vegas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0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w w:val="90"/>
              </w:rPr>
              <w:t>Wynn Macau Senior Term Loan Facilities (as amended June 2007), due June 27, 2014; interest at LIBOR or HIBOR plus 1.25%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403,491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477,251</w:t>
            </w:r>
          </w:p>
        </w:tc>
        <w:tc>
          <w:tcPr>
            <w:tcW w:w="120" w:type="dxa"/>
            <w:vAlign w:val="bottom"/>
            <w:shd w:val="clear" w:color="auto" w:fill="CCEEFF"/>
          </w:tcPr>
          <w:p>
            <w:pPr>
              <w:spacing w:after="0"/>
              <w:rPr>
                <w:sz w:val="19"/>
                <w:szCs w:val="19"/>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Wynn Macau Senior Revolving Credit Facility, due June 27, 2012; interest at LIBOR or HIBOR plus 1.25%</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Redemption Price Promissory Note with former stockholder and related party, due February 18, 2022; interest at 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1,936,443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120" w:type="dxa"/>
            <w:vAlign w:val="bottom"/>
            <w:shd w:val="clear" w:color="auto" w:fill="CCEEFF"/>
          </w:tcPr>
          <w:p>
            <w:pPr>
              <w:spacing w:after="0"/>
              <w:rPr>
                <w:sz w:val="18"/>
                <w:szCs w:val="18"/>
                <w:color w:val="auto"/>
              </w:rPr>
            </w:pPr>
          </w:p>
        </w:tc>
      </w:tr>
      <w:tr>
        <w:trPr>
          <w:trHeight w:val="221"/>
        </w:trPr>
        <w:tc>
          <w:tcPr>
            <w:tcW w:w="9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5,458,014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3,217,719</w:t>
            </w:r>
          </w:p>
        </w:tc>
        <w:tc>
          <w:tcPr>
            <w:tcW w:w="120" w:type="dxa"/>
            <w:vAlign w:val="bottom"/>
          </w:tcPr>
          <w:p>
            <w:pPr>
              <w:spacing w:after="0"/>
              <w:rPr>
                <w:sz w:val="19"/>
                <w:szCs w:val="19"/>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(165,796)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(407,934)</w:t>
            </w:r>
          </w:p>
        </w:tc>
      </w:tr>
      <w:tr>
        <w:trPr>
          <w:trHeight w:val="222"/>
        </w:trPr>
        <w:tc>
          <w:tcPr>
            <w:tcW w:w="9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5,292,218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2,809,785</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5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color w:val="auto"/>
        </w:rPr>
        <w:t>%</w:t>
      </w:r>
      <w:r>
        <w:rPr>
          <w:rFonts w:ascii="Arial" w:cs="Arial" w:eastAsia="Arial" w:hAnsi="Arial"/>
          <w:sz w:val="18"/>
          <w:szCs w:val="18"/>
          <w:i w:val="1"/>
          <w:iCs w:val="1"/>
          <w:color w:val="auto"/>
        </w:rPr>
        <w:t xml:space="preserve"> Wynn Las Vegas First Mortgage Notes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On March 12, 2012, Wynn Las Vegas, LLC and Wynn Las Vegas Capital Corp. (together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The 2022 Notes are the Issuers’ senior secured obligations and rank pari passu in right of payment with borrowings under the Wynn Las Vegas revolving credit facilities (“Wynn Las Vegas, LLC Credit Facilities” as described below) and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2017 (the “2017 Notes”),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Wynn Las Vegas, LLC Credit Facilities and the Existing Notes. The guarantees of the 2022 Notes will be released if the guarantees of our credit facilities are released.</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Wynn Las Vegas, LLC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June 30,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six months ended June 30, 2012, the Company repaid $150.4 million of borrowings under the Wynn Macau Senior Revolving Credit Facility. On June 27, 2012, the Wynn Macau Senior Revolving Credit Facility matured with an outstanding balance of $0. Beginning in September 2011, quarterly payments became due under the Wynn Macau Senior Term Loan Facilities and during the six months ended June 30, 2012, the Company repaid $74.3 million. As of June 30, 2012, the Wynn Macau Senior Term Loan Facilities were fully drawn, with total amounts outstanding of $403.5 million.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31, 2012, Wynn Macau, S.A.,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and related agreements took effect on July 31, 2012 and expand availability under Wynn Macau S.A.’s senior secured bank facility to US$2.3 billion equivalent, consisting of a US$750 million equivalent fully funded senior secured term loan facility and a US$1.55 billion equivalent senior secured revolving credit facility. Wynn Macau, S.A. also has the ability to upsize the total senior secured facilities by an additional US$200 million pursuant to the terms and provisions of the Amended Wynn Macau Credit Facilities. Borrowings under the Amended Wynn Macau Credit Facilities, which consist of both Hong Kong Dollars and United States Dollar tranches, will be used to refinance Wynn Macau S.A.’s existing indebtedness, to fund the design, development, construction and pre-opening expenses of Wynn Cotai and for general corporate purposes.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 The senior secured facilities will bear interest for the first six months after closing at LIBOR or HIBOR plus a margin of 2.50% and thereafter will be subject to LIBOR or HIBOR plus a margin of between 1.75% to 2.50% based on Wynn Macau, S.A.’s leverage ratio.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Customary fees and expenses were paid by Wynn Macau, S.A. in connection with the Amended Wynn Macau Credit Facilities.</w:t>
      </w:r>
    </w:p>
    <w:p>
      <w:pPr>
        <w:spacing w:after="0" w:line="171"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subject to certain post-closing matters, substantially all of the assets of Palo.</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Amended Wynn Macau Credit Facilities contain representations, warranties, covenants and events of default customary for casino development financings in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Price Promissory Note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Price Promissory Note to Aruze USA, Inc., a former stockholder and related party, in redemption of the shares. The Redemption Price Promissory Note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recorded the fair value of the Redemption Note at its estimated present value of approximately $1.94 billion in accordance with applicable accounting guidance. In determining this fair value, the Company considered the stated maturity of the Redemption Note, its stated interest rate, and the uncertainty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of the related cash flows of the Redemption Note as well as the potential effects of the following: uncertainties surrounding the potential outcome and timing of pending litigation with Aruze USA, Inc. (see Note 15); the outcome of on-going investigations by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the Company used observable inputs from a range of trading values of financial instruments with lives similar to the estimated life of the Redemption Note. As a result of this analysis, the Company concluded the Redemption Note’s stated rate of 2% approximated a market rate.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June 30, 2012 and December 31, 2011, respectively. The estimated fair value of the Company’s outstanding first mortgage notes, based on recent trades (using level 2 inputs), was approximately $3.3 billion and $2.4 billion at June 30, 2012 and December 31, 2011, respectively. The net book value of the Company’s other debt instruments, excluding the Redemption Price Promissory Note, was approximately $459.3 million and $1.1 billion at June 30, 2012 and December 31, 2011, respectively. The estimated fair value of the Company’s other debt instruments was approximately $455.2 million and $1 billion at June 30, 2012 and December 31, 2011, respectively. The estimated fair value of the Redemption Price Promissory Note was approximately $1.94 billion at June 30,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June 2012, the Wynn Macau swap matured and the Company terminated its Wynn Las Vegas swap for a payment of $2.4 million. Accordingly, the Company had no outstanding interest rate swaps as of June 30, 2012.</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had entered into floating-for-fixed interest rate swap arrangements in order to manage interest rate risk relating to certain of its debt facilities. These interest rate swap agreements modified the Company’s 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1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Company measured the fair value of its interest rate swaps on a recurring basis pursuant to accounting standards for fair value measurements. 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2011, the interest rate swap liabilities of $7.3 million were included in other current accrued liabilities.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had one interest rate swap agreement to hedge a portion of the underlying interest rate risk on borrowings under the Wynn Las Vegas Credit Agreement. Under this swap agreement, the Company paid a fixed interest rate of 2.485% on borrowings of $250 million incurred under the Wynn Las Vegas Credit Agreement 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exchange for receipts on the same amount at a variable interest rate based on the applicable LIBOR at the time of payment. This interest rate swap fixed the interest rate on $250 million of borrowings at approximately 5.485%. As of December 31, 2011, the liability fair value of this interest rate swap was approximately $4.6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had one interest rate swap agreement to hedge a portion of the underlying interest rate risk on borrowings under the Wynn Macau Credit Facilities which matured in June 2012. Under this swap agreement, the Company paid a fixed interest rate of 2.15% on borrowings of HK$2.3 billion (approximately US$300 million) incurred under the Wynn Macau Credit Facilities in exchange for receipts on the same amount at a variable interest rate based on the applicable HIBOR at the time of payment. This interest rate swap fixed the interest rate on such borrowings at 3.4%. As of December 31, 2011, the liability fair value of this interest rate swap was approximately $2.7 million.</w:t>
      </w:r>
    </w:p>
    <w:p>
      <w:pPr>
        <w:spacing w:after="0" w:line="218" w:lineRule="exact"/>
        <w:rPr>
          <w:sz w:val="20"/>
          <w:szCs w:val="20"/>
          <w:color w:val="auto"/>
        </w:rPr>
      </w:pPr>
    </w:p>
    <w:p>
      <w:pPr>
        <w:ind w:left="240" w:right="8860" w:hanging="232"/>
        <w:spacing w:after="0" w:line="417" w:lineRule="auto"/>
        <w:tabs>
          <w:tab w:leader="none" w:pos="26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Related Party Share Redemption</w:t>
      </w:r>
    </w:p>
    <w:p>
      <w:pPr>
        <w:spacing w:after="0" w:line="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 USA, Inc.’s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the Company issued the Redemption Price Promissory Note to Aruze USA, Inc., a former stockholder and related party, in redemption of the shares.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June 30, 2012 and December 31, 2011, Mr. Wynn and the other officers and directors had a net deposit balance with the Company of approximately $1.2 million and $0.4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in reliance upon the opinion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 as well as the use of minimal warehouse space at Wynn Las Vegas.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6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2012</w:t>
            </w:r>
          </w:p>
        </w:tc>
        <w:tc>
          <w:tcPr>
            <w:tcW w:w="11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Donation to University of Macau</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$107,483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 on assets abandoned, retired for remodel or sold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3,540</w:t>
            </w:r>
          </w:p>
        </w:tc>
        <w:tc>
          <w:tcPr>
            <w:tcW w:w="4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$ 111,060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$ 114,408</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and six months ended June 30, 2012, included miscellaneous renovations and abandonments at our resorts. Property charges and other for the three and six months ended June 30, 2011 includes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Condensed Consolidated Statements of Income has been discounted using the Company’s then estimated borrowing rate over the time period of the remaining committed payments. In accordance with accounting standards for contributions, subsequent accretion of the discount is being recorded as additional donation expense and included in Property charges and other. Property charges and other for the six months ended June 30, 2011 also include the write off of certain costs related to a show that ended its run in Las Vegas and miscellaneous renovations and abandonments at our resorts.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its common stock.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$61.2 million and $33.3 million for the three months ended June 30, 2012 and 2011, respectively. Net income attributable to noncontrolling interest was $119.1 million and $85.8 million for the six months ended June 30, 2012 and 2011,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92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$ 1,720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Rooms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6,635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8"/>
                <w:szCs w:val="18"/>
                <w:color w:val="auto"/>
              </w:rPr>
            </w:pPr>
          </w:p>
        </w:tc>
      </w:tr>
      <w:tr>
        <w:trPr>
          <w:trHeight w:val="222"/>
        </w:trPr>
        <w:tc>
          <w:tcPr>
            <w:tcW w:w="79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5,206</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7,854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12,676</w:t>
            </w:r>
          </w:p>
        </w:tc>
        <w:tc>
          <w:tcPr>
            <w:tcW w:w="100" w:type="dxa"/>
            <w:vAlign w:val="bottom"/>
          </w:tcPr>
          <w:p>
            <w:pPr>
              <w:spacing w:after="0"/>
              <w:rPr>
                <w:sz w:val="19"/>
                <w:szCs w:val="19"/>
                <w:color w:val="auto"/>
              </w:rPr>
            </w:pPr>
          </w:p>
        </w:tc>
      </w:tr>
      <w:tr>
        <w:trPr>
          <w:trHeight w:val="217"/>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22"/>
        </w:trPr>
        <w:tc>
          <w:tcPr>
            <w:tcW w:w="79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$ 5,253</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$ 6,126</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7,951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13,066</w:t>
            </w:r>
          </w:p>
        </w:tc>
        <w:tc>
          <w:tcPr>
            <w:tcW w:w="10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six months ended June 30, 2012, the Company reversed stock-based compensation expense allocated to casino operations related to stock options and restricted stock granted in 2008 with an approximate 8 year cliff vest provision that were forfeited during the first quarter of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u w:val="single" w:color="auto"/>
          <w:color w:val="auto"/>
        </w:rPr>
        <w:t>Cotai Development and Land Concession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In September 2011, Palo Real Estate Company Limited and Wynn Resorts (Macau) S.A., each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Company anticipates constructing a full scale integrated resort containing a casino, approximately 2,000 rooms and suites, convention, retail, entertainment and food and beverage offerings on this land. The Company currently estimates the project budget to be in the range of $3.5 billion to $4.0 billion.</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from May 2, 2012, and it may be renewed with government approval for successive periods. The total land premium payable, including interest as described in the land concession contract, is $193.4 million. An initial payment of $62.5 million was paid in December 2011, with eight additional semi-annual payments of approximately $16.4 million each (which includes interest at 5%) due beginning November 2012. As of June 30, 2012, the Company has recorded this obligation and related asset with $27.2 million included as a current liability and $90.2 million included as a long-term liability. The Company will also be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May 10, 2012, the Company made a $50 million payment to an unrelated third party in consideration of that party’s</w:t>
      </w:r>
      <w:r>
        <w:rPr>
          <w:rFonts w:ascii="Arial" w:cs="Arial" w:eastAsia="Arial" w:hAnsi="Arial"/>
          <w:sz w:val="18"/>
          <w:szCs w:val="18"/>
          <w:i w:val="1"/>
          <w:iCs w:val="1"/>
          <w:color w:val="auto"/>
        </w:rPr>
        <w:t xml:space="preserve"> </w:t>
      </w:r>
      <w:r>
        <w:rPr>
          <w:rFonts w:ascii="Arial" w:cs="Arial" w:eastAsia="Arial" w:hAnsi="Arial"/>
          <w:sz w:val="18"/>
          <w:szCs w:val="18"/>
          <w:color w:val="auto"/>
        </w:rPr>
        <w:t>relinquishment of certain rights in and to any future development on the Cotai land noted above. As of December 31, 2011, the Company accrued this $50 million obligation as a current liability.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Company’s affiliates are involved in litigation in addition to the actions noted below,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Atlantic-Pacific Capital</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of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under Article VII of the Company’s articles of incorporation. The Board of Directors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The Company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the Company, each of the members of the Company’s Board of Directors (other than Mr. Okada) and a senior executive of the Company. Among other relief, the counterclaim seeks a declaration that the redemption of Aruze USA, Inc.’s shares was void, an injunction restoring Aruze USA, Inc.’s share ownership, damages in an unspecified amount and rescission of the Stockholders Agreement. The Company’s claim of February 19, 2012, was removed to federal court by the Okada Parties. On March 29, 2012, the Company filed a motion to remand the action to state court and to request an extension to answer. The motion to remand was granted and the Company’s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19, 2012, Elaine Wynn responded to Aruze USA’s Counterclaim and asserted a cross claim against Steve Wynn and Kazuo Okada seeking a declaration that (1) any and all of Elaine Wynn’s duties under the January 2010 Stockholders Agreement (the “Stockholders Agreement”)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 The indentures for the Wynn Las Vegas, LLC 2022 Notes and Existing Notes (the “Indentures”) and the Credit Agreement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Under the Wynn Las Vegas Credit Agreement, the occurrence of these same events would constitute a change of control, which would be an event of default and would give the lenders the right to accelerate repayment, and would prevent Wynn Las Vegas from borrowing additional amounts. In addition, if more than $20,000,000 in borrowings are accelerated under the Credit Agreement, that would trigger an event of default under the Indentures.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Relatedly, as described below, the Salt Lake Regional Office of the U.S. Securities and Exchange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Commission (“SEC”) has commenced an informal inquiry into, and other regulators could pursue separate investigations into, the Company’s compliance with applicable laws arising from the allegations in the matters described above and in response to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On January 11, 2012, Mr. Okada commenced litigation in the District Court of Clark County, Nevada seeking to compel the Company to produce information relating to a donation to the University of Macau, among other things.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Limited and approved by 15 of the 16 directors who serve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is cooperating with the Salt Lake Regional Office staff and intends to fully comply with the SEC’s request.</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the Company, Mr. Okada had the right to make a reasonable inspection of the Company’s corporate books and records. Following the hearing, the Company released certain documents to Mr. Okada for his inspection. At a subsequent hearing on March 8, 2012, the court considered Mr. Okada’s request that the Company’s Board of Directors make additional documents available to him, and ruled that Mr. Okada was entitled to inspect two additional pages of documents. The Company promptly complied with the court’s ruling.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25, 2012, Mr. Okada amended his petition to request inspection of additional records. The Nevada state court ordered Mr. Okada to file a supplemental brief addressing how his requests relate to his duties as a director of the Company, and the Company was to respond by filing a supplemental brief on the reasonableness of Mr. Okada’s requests. After Mr. Okada filed his supplemental brief, the Company moved to depose Mr. Okada prior to having to file its supplemental brief. At a hearing on June 28, 2012, the state court ordered Mr. Okada to appear for a deposition in Las Vegas, Nevada. The deposition is scheduled for September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litigation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Six derivative actions have been commenced against the Company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four pending federal actions brought by the following plaintiffs have been consolidated: (1) The Louisiana Municipal Police Employees’ Retirement System (“LMPERS”), (2) Maryanne Solak, (3) Excavators Union Local 731 Welfare Fund, and (4) Boilermakers Lodge No. 154 Retirement Fund.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plaintiffs in the federal derivative actions filed a consolidated complaint on August 6, 2012, asserting claims for (1) breach of fiduciary duty; (2) waste of corporate assets; (3) injunctive relief; and (4) unjust enrichment. The claims are against all Company directors, including Mr. Okada. The federal derivative plaintiffs claim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Per the court’s July 5, 2012 Case Management Order, the parties are to confer regarding a deadline for the Company and the directors to respond.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 a coordination of efforts by all parties, the directors and the Company (a nominal defendant) have been served in all of the actions.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plaintiffs in the state derivative actions filed a consolidated complaint on July 20, 2012 asserting claims for (1) breach of fiduciary duty; (2) abuse of control; (3) gross mismanagement; and (4) unjust enrichment. The claims are against all Company directors, including Mr. Okada, as well as the Company’s Chief Financial Officer, who signs financial disclosures filed with the SEC. The state derivative plaintiffs claim that the individual defendants failed to disclose to its shareholders the investigation into, and the dispute with director Okada as well as the alleged potential violations of the FCPA related to, the University of Macau Development Foundation donation. Plaintiffs seek unspecified monetary damages (compensatory and punitive), disgorgement, reformation of corporate governance procedures, an order directing the Company to internally investigate the donation, as well as attorneys’ fees and costs. The Company and individual defendants will respond to the consolidated complaint by August 31, 2012.</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actions are in a preliminary stage and management has determined that based on proceedings to date, it is currently unable to determine the probability of the outcome of this matter or the range of reasonably possible loss,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For the three months ended June 30, 2012 and 2011, the Company recorded a tax benefit of $4.7 million and tax expense of $5.2 million, respectively. For the six months ended June 30, 2012 and 2011, the Company recorded a tax benefit of $4.9 million and tax expense of $7.3 million, respectively. The Company’s income tax benefit is primarily related to a decrease in deferred tax liabilities reduced by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six months ended June 30, 2012, the Company recognized income tax benefits related to excess tax deductions associated with stock compensation costs of $1.1 million.</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Wynn Macau, S.A. has received a 5-year exemption from Macau’s 12% Complementary Tax on casino gaming profits through December 31, 2015. Accordingly, the Company was exempted from the payment of $24.2 million and $13.3 million in such taxes during the three months ended June 30, 2012 and 2011, respectively. For the six months ended June 30, 2012 and 2011, the Company was exempted from the payment of such taxes totaling $46.6 million and $34.5 million, respectively. The Company’s non-gaming profits remain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subject to the Macau Complementary Tax and casino winnings remain subject to the Macau Special Gaming tax and other levies together totaling 39% in accordance with its concession agreement.</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April 2012, the Company reached an agreement with the Appellate division of the Internal Revenue Service (“IRS”) regarding issues raised during the examination of the 2006 through 2009 U.S. income tax 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the Company is unable to determine if it will conclude within the next 12 months. The Company believes that its liability for uncertain tax positions is adequate with respect to the 2008 examination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w w:val="87"/>
              </w:rPr>
              <w:t>4,492,031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7"/>
              </w:rPr>
              <w:t>2,338,902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2,202,683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649,658</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7"/>
              </w:rPr>
              <w:t>7,480,591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5"/>
            <w:vMerge w:val="restart"/>
          </w:tcPr>
          <w:p>
            <w:pPr>
              <w:ind w:left="440"/>
              <w:spacing w:after="0"/>
              <w:rPr>
                <w:sz w:val="20"/>
                <w:szCs w:val="20"/>
                <w:color w:val="auto"/>
              </w:rPr>
            </w:pPr>
            <w:r>
              <w:rPr>
                <w:rFonts w:ascii="Arial" w:cs="Arial" w:eastAsia="Arial" w:hAnsi="Arial"/>
                <w:sz w:val="18"/>
                <w:szCs w:val="18"/>
                <w:color w:val="auto"/>
                <w:w w:val="91"/>
              </w:rPr>
              <w:t>The Company’s segment information for its results of operations are as follows (amounts in thousands):</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79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345,566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390,848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708,361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907,641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1,858,344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1,253,207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1,367,353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2,566,705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2,627,625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Las Vegas Operations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81,919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132,693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182,803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302,210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314,348</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384,129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447,041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774,786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93,463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185,868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111,060</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Corporate expenses and 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120,006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234,008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250,564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358,410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264,123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213,033</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493,589</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20" w:type="dxa"/>
            <w:vAlign w:val="bottom"/>
          </w:tcPr>
          <w:p>
            <w:pPr>
              <w:jc w:val="right"/>
              <w:ind w:right="85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6"/>
                <w:szCs w:val="16"/>
                <w:color w:val="auto"/>
              </w:rPr>
            </w:pPr>
          </w:p>
        </w:tc>
        <w:tc>
          <w:tcPr>
            <w:tcW w:w="96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Non-operating costs and expenses</w:t>
            </w: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2,483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1,577</w:t>
            </w:r>
          </w:p>
        </w:tc>
        <w:tc>
          <w:tcPr>
            <w:tcW w:w="1480" w:type="dxa"/>
            <w:vAlign w:val="bottom"/>
            <w:gridSpan w:val="3"/>
          </w:tcPr>
          <w:p>
            <w:pPr>
              <w:jc w:val="right"/>
              <w:ind w:right="452"/>
              <w:spacing w:after="0"/>
              <w:rPr>
                <w:sz w:val="20"/>
                <w:szCs w:val="20"/>
                <w:color w:val="auto"/>
              </w:rPr>
            </w:pPr>
            <w:r>
              <w:rPr>
                <w:rFonts w:ascii="Arial" w:cs="Arial" w:eastAsia="Arial" w:hAnsi="Arial"/>
                <w:sz w:val="18"/>
                <w:szCs w:val="18"/>
                <w:color w:val="auto"/>
              </w:rPr>
              <w:t>4,048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(73,874)</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(58,231)</w:t>
            </w:r>
          </w:p>
        </w:tc>
        <w:tc>
          <w:tcPr>
            <w:tcW w:w="1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(135,935)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Increase in swap fair value</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2,646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3,135</w:t>
            </w:r>
          </w:p>
        </w:tc>
        <w:tc>
          <w:tcPr>
            <w:tcW w:w="1480" w:type="dxa"/>
            <w:vAlign w:val="bottom"/>
            <w:gridSpan w:val="3"/>
          </w:tcPr>
          <w:p>
            <w:pPr>
              <w:jc w:val="right"/>
              <w:ind w:right="452"/>
              <w:spacing w:after="0"/>
              <w:rPr>
                <w:sz w:val="20"/>
                <w:szCs w:val="20"/>
                <w:color w:val="auto"/>
              </w:rPr>
            </w:pPr>
            <w:r>
              <w:rPr>
                <w:rFonts w:ascii="Arial" w:cs="Arial" w:eastAsia="Arial" w:hAnsi="Arial"/>
                <w:sz w:val="18"/>
                <w:szCs w:val="18"/>
                <w:color w:val="auto"/>
              </w:rPr>
              <w:t>4,930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2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(4,828)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200" w:type="dxa"/>
            <w:vAlign w:val="bottom"/>
            <w:gridSpan w:val="2"/>
          </w:tcPr>
          <w:p>
            <w:pPr>
              <w:jc w:val="right"/>
              <w:ind w:right="452"/>
              <w:spacing w:after="0"/>
              <w:rPr>
                <w:sz w:val="20"/>
                <w:szCs w:val="20"/>
                <w:color w:val="auto"/>
              </w:rPr>
            </w:pPr>
            <w:r>
              <w:rPr>
                <w:rFonts w:ascii="Arial" w:cs="Arial" w:eastAsia="Arial" w:hAnsi="Arial"/>
                <w:sz w:val="18"/>
                <w:szCs w:val="18"/>
                <w:color w:val="auto"/>
              </w:rPr>
              <w:t>256</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264</w:t>
            </w:r>
          </w:p>
        </w:tc>
        <w:tc>
          <w:tcPr>
            <w:tcW w:w="1480" w:type="dxa"/>
            <w:vAlign w:val="bottom"/>
            <w:gridSpan w:val="3"/>
          </w:tcPr>
          <w:p>
            <w:pPr>
              <w:jc w:val="right"/>
              <w:ind w:right="452"/>
              <w:spacing w:after="0"/>
              <w:rPr>
                <w:sz w:val="20"/>
                <w:szCs w:val="20"/>
                <w:color w:val="auto"/>
              </w:rPr>
            </w:pPr>
            <w:r>
              <w:rPr>
                <w:rFonts w:ascii="Arial" w:cs="Arial" w:eastAsia="Arial" w:hAnsi="Arial"/>
                <w:sz w:val="18"/>
                <w:szCs w:val="18"/>
                <w:color w:val="auto"/>
              </w:rPr>
              <w:t>721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(1,081)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784</w:t>
            </w:r>
          </w:p>
        </w:tc>
        <w:tc>
          <w:tcPr>
            <w:tcW w:w="1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(313)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gridSpan w:val="2"/>
            <w:vMerge w:val="continue"/>
          </w:tcPr>
          <w:p>
            <w:pPr>
              <w:spacing w:after="0"/>
              <w:rPr>
                <w:sz w:val="20"/>
                <w:szCs w:val="20"/>
                <w:color w:val="auto"/>
              </w:rPr>
            </w:pPr>
          </w:p>
        </w:tc>
        <w:tc>
          <w:tcPr>
            <w:tcW w:w="1200" w:type="dxa"/>
            <w:vAlign w:val="bottom"/>
            <w:gridSpan w:val="2"/>
          </w:tcPr>
          <w:p>
            <w:pPr>
              <w:jc w:val="right"/>
              <w:ind w:right="392"/>
              <w:spacing w:after="0"/>
              <w:rPr>
                <w:sz w:val="20"/>
                <w:szCs w:val="20"/>
                <w:color w:val="auto"/>
              </w:rPr>
            </w:pPr>
            <w:r>
              <w:rPr>
                <w:rFonts w:ascii="Arial" w:cs="Arial" w:eastAsia="Arial" w:hAnsi="Arial"/>
                <w:sz w:val="18"/>
                <w:szCs w:val="18"/>
                <w:color w:val="auto"/>
              </w:rPr>
              <w:t>(69,570)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(52,471)</w:t>
            </w:r>
          </w:p>
        </w:tc>
        <w:tc>
          <w:tcPr>
            <w:tcW w:w="1480" w:type="dxa"/>
            <w:vAlign w:val="bottom"/>
            <w:gridSpan w:val="3"/>
          </w:tcPr>
          <w:p>
            <w:pPr>
              <w:jc w:val="right"/>
              <w:ind w:right="392"/>
              <w:spacing w:after="0"/>
              <w:rPr>
                <w:sz w:val="20"/>
                <w:szCs w:val="20"/>
                <w:color w:val="auto"/>
              </w:rPr>
            </w:pPr>
            <w:r>
              <w:rPr>
                <w:rFonts w:ascii="Arial" w:cs="Arial" w:eastAsia="Arial" w:hAnsi="Arial"/>
                <w:sz w:val="18"/>
                <w:szCs w:val="18"/>
                <w:color w:val="auto"/>
              </w:rPr>
              <w:t>(131,377)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194,553</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392,845</w:t>
            </w:r>
          </w:p>
        </w:tc>
        <w:tc>
          <w:tcPr>
            <w:tcW w:w="5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Benefit(provision) for income taxes</w:t>
            </w:r>
          </w:p>
        </w:tc>
        <w:tc>
          <w:tcPr>
            <w:tcW w:w="680" w:type="dxa"/>
            <w:vAlign w:val="bottom"/>
          </w:tcPr>
          <w:p>
            <w:pPr>
              <w:jc w:val="right"/>
              <w:spacing w:after="0"/>
              <w:rPr>
                <w:sz w:val="20"/>
                <w:szCs w:val="20"/>
                <w:color w:val="auto"/>
              </w:rPr>
            </w:pPr>
            <w:r>
              <w:rPr>
                <w:rFonts w:ascii="Arial" w:cs="Arial" w:eastAsia="Arial" w:hAnsi="Arial"/>
                <w:sz w:val="18"/>
                <w:szCs w:val="18"/>
                <w:color w:val="auto"/>
              </w:rPr>
              <w:t>4,740</w:t>
            </w:r>
          </w:p>
        </w:tc>
        <w:tc>
          <w:tcPr>
            <w:tcW w:w="5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(5,231)</w:t>
            </w:r>
          </w:p>
        </w:tc>
        <w:tc>
          <w:tcPr>
            <w:tcW w:w="1480" w:type="dxa"/>
            <w:vAlign w:val="bottom"/>
            <w:gridSpan w:val="3"/>
          </w:tcPr>
          <w:p>
            <w:pPr>
              <w:jc w:val="right"/>
              <w:ind w:right="452"/>
              <w:spacing w:after="0"/>
              <w:rPr>
                <w:sz w:val="20"/>
                <w:szCs w:val="20"/>
                <w:color w:val="auto"/>
              </w:rPr>
            </w:pPr>
            <w:r>
              <w:rPr>
                <w:rFonts w:ascii="Arial" w:cs="Arial" w:eastAsia="Arial" w:hAnsi="Arial"/>
                <w:sz w:val="18"/>
                <w:szCs w:val="18"/>
                <w:color w:val="auto"/>
              </w:rPr>
              <w:t>4,857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199,293</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$ 397,702</w:t>
            </w:r>
          </w:p>
        </w:tc>
        <w:tc>
          <w:tcPr>
            <w:tcW w:w="5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17, 2012, the Company announced a cash dividend of $0.50 per share, payable on August 14, 2012 to stockholders of record as of July 31,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probity investigations;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240" w:top="459" w:right="5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of a natural disaster may have on the travel and leisure industry;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resort as our “Macau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July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49"/>
        </w:trPr>
        <w:tc>
          <w:tcPr>
            <w:tcW w:w="50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508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Suites</w:t>
            </w:r>
          </w:p>
        </w:tc>
        <w:tc>
          <w:tcPr>
            <w:tcW w:w="210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 Footage</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Games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Slots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4,750</w:t>
            </w:r>
          </w:p>
        </w:tc>
        <w:tc>
          <w:tcPr>
            <w:tcW w:w="9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 Operations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1,008</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265,000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495</w:t>
            </w: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54,600 square feet of high-end, brand-name retail shopping, including stores and boutiques by Bvlgari, Cartier, Chanel, Dior, Dunhill, Ermenegildo Zegna, Ferrari, Giorgio Armani, Graff, Gucci, Hermes, Hugo Boss, Jaeger LeCoultre, Louis Vuitton, Miu Miu, Piaget, Prada, Rolex, Tiffany, Tudor, Vacheron Constantin, Van Cleef &amp; Arpels, Versace, Vertu,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Approximately 142 acres of land comprising our Las Vegas Operations is currently improved with a golf course. While we may develop this property in the future, we have no immediate plans to do so.</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In December 2011, we made a $62.5 million initial deposit under the draft land concession contract. On May 2, 2012, the land concession contract was gazetted by the government of Macau, evidencing the final step in the granting of the land concession. We anticipate constructing a full scale integrated resort containing a casino, approximately 2,000 rooms and suites, convention, retail, entertainment and food and beverage offerings on this land. We currently estimate the project budget to be in the range of $3.5 billion to $4.0 billion.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345,566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390,848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708,361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785,438</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907,641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1,858,344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1,842,187</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1,253,207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1,367,353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2,566,705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2,627,625</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premium gaming customers who wager on credit, thus exposing us to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for which a Condensed Consolidated Statement of Income is presented. There are two methods used to calculate win percentage in the casino industry. In Las Vegas and in the general casino in Macau, customers usually purchase cash chips at the gaming tables. The cash and net markers used to purchase the cash chips are deposited in the gaming table’s drop box. This is the base of measurement that we use in the casino at our Las Vegas Operations and in the general casino at our Macau Operations for calculating win percentage.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Las Vegas and the general casino in Macau. As a result, the expected win percentage with the same amount of gaming win is smaller in the VIP casino in Macau when compared to Las Vegas and the general casino in Macau.</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Even though both use the same measurement method, we experience different win percentages in Las Vegas and the general casino in Macau. This difference is primarily due to the difference in the mix of table games and customer playing habits between the two casinos. Each type of table game has its own theoretical win percentage. In the second quarter of 2011, we increased our expectations for table games win percentage in the general casino at Wynn Macau from 21%–23% to 26%–28% based on our experience since the opening of the Encore at Wynn Macau expansion.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2012 compared to the three months ended June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Net revenues for the three months ended June 30, 2012, were comprised of $953.4 million in casino revenues (76.1% of total net revenues) and $299.8 million of net non-casino revenues (23.9% of total net revenues). Net revenues for the three months ended June 30, 2011, are comprised of $1,082 million in casino revenues (79.1% of total net revenues) and $285.3 million of net non-casino revenues (20.9% of total net revenues).</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June 30, 2012, of $953.4 million represents a $128.6 million (11.9%) decrease from casino revenues of $1,082 million for the three months ended June 30, 2011.</w:t>
      </w:r>
    </w:p>
    <w:p>
      <w:pPr>
        <w:spacing w:after="0" w:line="85"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For the three months ended June 30, 2012, our Las Vegas Operations experienced a $59.7 million (37.7%) decrease in casino revenues to $98.6 million, compared to the prior year quarter due to a significant decrease in our table games win percentage (before discounts). Our table games win percentage decreased from 27.6% in 2011 to 15% in 2012. Our expected range is 21% to 24%. Drop increased $40.9 million (7.6%) to $575.6 million during the three months ended June 30, 2012, compared to $534.7 million in the prior year quarter. Slot machine handle at our Las Vegas Operations increased $22.2 million (3.2%) to $707.8 million compared to $685.6 million in the prior year quarter; however slot machine win of $40.5 million was flat compared to the prior year quarter.</w:t>
      </w:r>
    </w:p>
    <w:p>
      <w:pPr>
        <w:spacing w:after="0" w:line="100"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Our Macau Operations experienced a $68.9 million (7.5%) decrease in casino revenues to $854.8 million for the three months ended June 30, 2012, compared to the prior year quarter. We experienced a $66.3 million (10.2%) decrease in revenue for the VIP segment due to a $2,338 million (7.2%) decrease in turnover, notwithstanding an increase in the number of VIP table games. Our win as a percentage of turnover for the three months ended June 30, 2012, was</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2.79%, which was at the lower end of the expected range of 2.7% to 3.0%, and lower than the 2.89% experienced in the prior year quarter. In our general casino, table games win increased $8.1 million (4.2%) to $200 million for the three months ended June 30, 2012. The table games win percentage in the general casino was 29.8%, which is above the expected range of 26% to 28% and the 27.8% experienced for the three months ended June 30, 2011. Drop decreased by only $18.4 million (2.7%) to $671.8 million despite a 10% decrease in the number of table games when compared to the prior year quarter. Slot machine handle declined $332 million (22.1%) to $1,171 million and slot win declined $11.4 million (15.3%) to $63.4 million primarily due to increased competition in the premium segment. In addition, we removed 114 machines from the gaming floor compared to the prior year quarter.</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three months ended June 30, 2012, room revenues were $124.9 million, an increase of $4.9 million (4.1%) compared to prior year quarter room revenue of $120 million. Room revenue at our Las Vegas Operations increased approximately $5.1 million (5.6%) compared to the prior year quarter. In Las Vegas, during the three months ended June 30, 2012, we experienced an increase in room rates compared to the three months ended June 30, 2011, but this increase in rate was accompanied by a small decrease in occupancy rate of 1.6 percentage points. ADR at our Las Vegas Operations has increased as we adjusted rates in an effort to attract customers who would take advantage of all aspects of our resort. Room revenue at our Macau Operations decreased $0.2 million (0.8%) due to a decrease in occupancy, compared to the prior year quarter.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Three Months Ended</w:t>
            </w:r>
          </w:p>
        </w:tc>
      </w:tr>
      <w:tr>
        <w:trPr>
          <w:trHeight w:val="161"/>
        </w:trPr>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2012</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87.6%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Other non-casino revenues for the three months ended June 30, 2012, included food and beverage revenues of $161.1 million, retail revenues of $63 million, entertainment revenues of $18.1 million, and other revenues from outlets, including the spa and salon, of $20.3 million. Other non-casino revenues for the three months ended June 30, 2011, included food and beverage revenues of $147.8 million, retail revenues of $63.3 million, entertainment revenues of $19 million, and other revenues from outlets such as the spa and salon, of $20.1 million. Food and beverage revenues at our Las Vegas Operations increased $12.4 million, while our Macau Operations increased $0.9 million, as compared to the prior year quarter. The increase in Las Vegas is due primarily to strong business in our beach club and nightclubs. Retail revenues at our Macau Operations increased $1.5 million, while retail revenues at our Las Vegas Operations decreased $1.8 million. The increase at Wynn Macau is due to strong same store sales growth and new stores. Retail revenues at our Las Vegas operations decreased as we reconfigured the Encore retail area and are in the process of rebranding several retail outlets. Entertainment revenues decreased over the prior year quarter primarily due to a loss of revenues from the Sinatra “Dance with Me” show, which ended its run in Las Vegas on April 23,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three months ended June 30, 2012, departmental expenses included casino expenses of $645.7 million, room expenses of $33.3 million, food and beverage expenses of $84.5 million, and entertainment, retail and other expenses of $46.1 million. Also included are general and administrative expenses of $99.8 million and a credit of $17.3 million for the provision for doubtful accounts receivable. For the three months ended June 30, 2011, departmental expenses included casino expenses of $684.5 million, room expenses of $31.9 million, food and beverage expenses of $75 million, and entertainment, retail and other expenses of $54.2 million. Also included for the three months ended June 30, 2011, are general and administrative expenses of $91.9 million and $3.8 million charged as a provision for doubtful accounts receivable. Casino expenses decreased for the three months ended June 30, 2012, from the prior year quarter due primarily to lower gaming taxes and junket commissions commensurate with the decrease in gaming revenues at our Macau Operations partially offset by increases in casino payroll expenses. Food and beverage expenses increased over the prior year quarter primarily due to additional nightclub promotional costs in Las Vegas. The decrease in entertainment, retail and other expenses was driven by the conversion of certain owned retail stores to leased outlets in Macau resulting in a lower cost of sales. General and administrative expense increased primarily due to legal and other costs incurred related to the share redemption and litigation with a former stockholder, combined with pay rate increases. During the quarter ended June 30, 2012, we recorded an adjustment to our reserve estimates for casino accounts receivable based on the results of historical collection patterns and current collection trends. This change in estimate was the primary factor that resulted in a $17.3 million credit to the provision for doubtful accounts for the quarter ended June 30, 2012.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Depreciation and amortization for the three months ended June 30, 2012, was $93.5 million compared to $102.1 million for the three months ended June 30, 2011. This decrease is primarily due to assets with a 5-year life at Wynn Macau being fully depreciated as of September 2011.</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Property charges and other for the three months ended June 30, 2012, were $3.5 million compared to $111.1 million for the three months ended June 30, 2011. For the three months ended June 30, 2012, property charges and other related primarily to miscellaneous renovations and abandonments at our resorts. For the three months ended June 30, 2011 property charges and other includes a charge of $107.5 million reflecting the present value of a charitable contribution made by Wynn Macau to the University of Macau Development Foundation. This contribution consisted of a $25 million payment made in May 2011, and commitments for additional donations of $10 million each year for the calendar years 2012 through 2022 inclusive, for a total of $135 million. The amount reflected in the accompanying Condensed Consolidated Statements of Income has been discounted using our then estimated borrowing rate over the time period of the remaining committed payments. Property charges and other for the three months ended June 30, 2011 also includes miscellaneous renovations and abandonments at our resorts.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Interest income was $2.5 million for the three months ended June 30, 2012, compared to $1.6 million for the three months ended June 30, 2011. During 2012 and 2011, our short-term investment strategy has been to preserve capital while retaining sufficient liquidity. While the majority of our short-term investments were primarily in money market accounts and time deposits with a maturity of three months or less, beginning in April 2011, we have invested in certain corporate bond securities and commercial paper which contributed to the increase in interest income.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Interest expense was $73.9 million, net of capitalized interest of $0.3 million, for the three months ended June 30, 2012, compared to $58.2 million for the three months ended June 30, 2011. No interest was capitalized during the three months ended June 30, 2011. Our interest expense increased compared to the prior year quarter primarily due to the issuance of the $1.94 billion Redemption Note by Wynn Resorts, and the Wynn Las Vegas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offset by the reduction of $370.9 million in Wynn Las Vegas term loan borrowings, all as described in Notes to Condensed Consolidated Financial Statements, Note 9 – “Long-Term Debt”.</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 gain of $2.6 million for the three months ended June 30, 2012, resulting from the increase in the fair value of our interest rate swaps during the three months ended June 30, 2012. In June 2012, we terminated the Wynn Las Vegas interest rate swap for a payment of $2.4 million and the Wynn Macau</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interest rate swap matured, leaving no outstanding interest rate swaps as of June 30, 2012. For the three months ended June 30, 2011, we recorded a gain of $3.1 million resulting from the increase in the fair value of interest rate swaps between March 31, 2011 and June 30, 2011. For further information on our interest rate swaps, see Item 3 – “Quantitative and Qualitative Disclosures about Market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three months ended June 30, 2012 and 2011, we recorded a tax benefit of $4.7 million and tax expense of $5.2 million, respectively. Our income tax benefit is primarily related to a decrease in our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The Company has not provided deferred U.S. income taxes or foreign withholding taxes on temporary differences as these amounts are permanently reinvested. For the three months ended June 30, 2012, we recognized income tax benefits related to excess tax deductions associated with stock compensation costs of $0.6 million.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the Company was exempted from the payment of $24.2 million and $13.3 million in such taxes during the three months ended June 30, 2012 and 2011,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April 2012, we reached an agreement with the Appellate division of the IRS regarding issues raised during the examination of our 2006 through 2009 U.S. income tax 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our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we are unable to determine if it will conclude within the next 12 months. We believe that our liability for uncertain tax positions is adequate with respect to the 2008 examination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$61.2 million for the three months ended June 30, 2012, compared to $33.3 million for the three months ended June 30, 2011. This represents the noncontrolling interests’ share of net income from Wynn Macau, Limited during each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2012 compared to the six months ended June 30,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2012, were comprised of $2,002.7 million in casino revenues (78% of total net revenues) and $564 million of net non-casino revenues (22% of total net revenues). Net revenues for the six months ended June 30, 2011, are comprised of $2,088.3 million in casino revenues (79.5% of total net revenues) and $539.3 million of net non-casino revenues (20.5% of total net revenues).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six months ended June 30, 2012, of $2,002.7 million represents a $85.6 million (4.1%) decrease from casino revenues of $2,088.3 million for the six months ended June 30, 2011.</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six months ended June 30, 2012, our Las Vegas Operations experienced a $96.2 million (27.3%) decrease in casino revenues to $256.3 million, compared to the prior year due to a decrease in our table games win percentage (before discounts). Our table games win percentage decreased from 29.1% in 2011 to 19.2% in 2012. Our expected range is 21% to 24%. Drop increased $61.4 million (5.3%) to $1,230.1 million during the six months ended June 30, 2012, compared to $1,168.7 million in the prior year period. Slot machine handle at our Las Vegas Operations increased $22.4 million (1.6%) to $1,426.7 million compared to $1,404.3 million in the prior year period; however, slot machine win decreased $0.5 million (0.6%) to $83.5 million as a result of lower hold.</w:t>
      </w:r>
    </w:p>
    <w:p>
      <w:pPr>
        <w:spacing w:after="0" w:line="116"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Our Macau Operations experienced a $10.6 million (0.6%) increase in casino revenues to $1,746.4 million for the six months ended June 30, 2012, compared to the prior year period. We experienced an $11.7 million (1%) decrease in the VIP revenue segment and a $1,942 million (3.1%) increase in turnover. Our win as a percentage of turnover for the six months ended June 30, 2012, was 2.69%, which is below our expected range of 2.7% to 3.0%, and compares to</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2.8% in the prior year period. In our general casino, table games win increased $32 million (8.4%) to $414 million for the six months ended June 30, 2012. The table games win percentage was 30%, which is above the expected range of 26% to 28% and the 27.8% experienced for the six months ended June 30, 2011. Drop increased $6.4 million (0.5%) to $1,379 million despite an 11% decrease in the number of table games when compared to the prior year period. Slot machine handle declined $340.4 million (11.5%) to $2,627 million and slot win declined $11.1 million (7.5%) to $136.9 million primarily due to increased competition in the premium segment. In addition, we removed 99 machines from the gaming floor compared to the prior year period.</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six months ended June 30, 2012, room revenues were $242.4 million, an increase of $7.0 million (3.0%) compared to prior year period room revenue of $235.4 million. Room revenue at our Las Vegas Operations increased approximately $4.5 million (2.5%) compared to the prior year period. In Las Vegas, during the six months ended June 30, 2012, we experienced an increase in room rates compared to the six months ended June 30, 2011, but this increase in rate was accompanied by a decrease in occupancy rate of 5 percentage points. ADR at our Las Vegas Operations has increased as we adjusted rates in an effort to attract customers who would take advantage of all aspects of our resort. Room revenue at our Macau Operations increased $2.5 million (4.4%) due to an increase in occupancy and in the average daily room rate, both compared to the prior year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5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36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$ 254</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$ 240</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Occupancy</w:t>
            </w:r>
          </w:p>
        </w:tc>
        <w:tc>
          <w:tcPr>
            <w:tcW w:w="3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Macau</w:t>
            </w:r>
          </w:p>
        </w:tc>
        <w:tc>
          <w:tcPr>
            <w:tcW w:w="420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89.6%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$ 212</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$ 212</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Other non-casino revenues for the six months ended June 30, 2012, included food and beverage revenues of $296.3 million, retail revenues of $129.6 million, entertainment revenues of $39.2 million, and other revenues from outlets, including the spa and salon, of $38.5 million. Other non-casino revenues for the six months ended June 30, 2011, included food and beverage revenues of $276.7 million, retail revenues of $124.2 million, entertainment revenues of $39.7 million, and other revenues from outlets such as the spa and salon, of $37.5 million. Food and beverage revenues increased primarily due to the strength of our beach club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nightclub business at our Las Vegas Operations. Retail revenues at our Macau Operations increased $6.9 million, while retail revenues at our Las Vegas Operations decreased $1.5 million. The increase at Wynn Macau is due to strong same store sales growth and new stores. Retail revenues at our Las Vegas operations decreased as we reconfigured the Encore retail area and are in the process of rebranding several retail outlets. Entertainment revenues decreased over the prior year period primarily due to a loss of revenues from the Sinatra “Dance with Me” show, which ended its run in Las Vegas on April 23,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2012, departmental expenses included casino expenses of $1,320.3 million, room expenses of $63.2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$154.9 million, and entertainment, retail and other expenses of $97.8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$205.7 million and $0.8 million charged as a provision for doubtful accounts receivable. For the six months ended June 30, 2011,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casino expenses of $1,308.9 million, room expenses of $62.5 million, food and beverage expenses of $141 million, and entertainment, retail and other expenses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$110.4 million. Also included for the six months ended June 30, 2011, are general and administrative expenses of $179.6 million and $13.9 million charged as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provision for doubtful accounts receivable. Casino expenses have increased for the six months ended June 30, 2012, over the prior year period due primarily to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in casino payroll expenses at our Macau Operations. Food and beverage expenses increased over the prior year period primarily due to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nightclub promotional costs in Las Vegas. The decrease in entertainment, retail and other expenses was driven by the conversion of certain owned retail stores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leased outlets in Macau resulting in lower cost of sales. General and administrative expense increased primarily due to legal and other costs incurred related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 redemption and litigation with a former stockholder, combined with pay rate increases. The provision for doubtful accounts decreased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ended June 30, 2012 as we recorded an adjustment to our reserve estimates for casino accounts receivable based on the results of historical collection patterns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current collection trends.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2012, was $185.9 million compared to $203.4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This decrease is primarily due to assets with a 5-year life at Wynn Macau being fully depreciated as of September 2011.</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Property charges and other for the six months ended June 30, 2012, were $13.8 million compared to $114.4 million for the six months ended June 30, 2011. For the six months ended June 30, 2012, property charges and other related primarily to miscellaneous renovations and abandonments at our resorts. Property charges and other for the six months ended June 30, 2011 includes a charge of $107.5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our accompanying Condensed Consolidated Statements of Income has been discounted using 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then estimated borrowing rate over the time period of the remaining committed payments. Property charges and other for the six months ended June 30, 2011 also include the write off of certain costs related to a show that ended its run in Las Vegas and miscellaneous renovations and abandonments at our resorts.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income was $4 million for the six months ended June 30, 2012, compared to $2 million for the six months ended June 30, 2011. During 2012 and 2011, our short-term investment strategy has been to preserve capital while retaining sufficient liquidity. While the majority of our short-term investments were primarily in money market accounts and time deposits with a maturity of six months or less, beginning in April 2011, we have invested in certain corporate bond securities and commercial paper which contributed to the increase in interest income.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Interest expense was $135.9 million, net of capitalized interest of $0.5 million, for the six months ended June 30, 2012, compared to $116.5 million for the six months ended June 30, 2011. No interest was capitalized during the six months ended June 30, 2011. Our interest expense increased compared to the prior year period primarily due to the issuance of the $1.94 billion Redemption Note by Wynn Resorts, and the Wynn Las Vegas $900 million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in March 2012, offset by the reduction of $370.9 million in Wynn Las Vegas term loan borrowings, all as described in Notes to Condensed Consolidated Financial Statements, Note 9 – “Long-Term Debt”.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Changes in the fair value of our interest rate swaps and any applicable termination payments are recorded as an increase (or decrease) in swap fair value in each period. We recorded a gain of $4.9 million for the six months ended June 30, 2012, resulting from the increase in the fair value of our interest rate swaps during the six months ended June 30, 2012. In June 2012, we terminated the Wynn Las Vegas interest rate swap for a payment of $2.4 million and the Wynn Macau interest rate swap matured. As of June 30, 2012, we had no outstanding interest rate swaps. For the six months ended June 30, 2011, we recorded a gain of $7.4 million resulting from the increase in the fair value of interest rate swaps between December 31, 2010 and June 30, 2011. For further information on our interest rate swaps, see Item 3 – “Quantitative and Qualitative Disclosures about Market Risk.”</w:t>
      </w:r>
    </w:p>
    <w:p>
      <w:pPr>
        <w:spacing w:after="0" w:line="120"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On March 12, 2012, Wynn Las Vegas entered into an eighth amendment to its Amended and Restated Credit Agreement (the “Wynn Las Vegas Credit Agreement”). In connection with this amendment Wynn Las Vegas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six months ended June 30, 2012 and 2011, we recorded a tax benefit of $4.9 million and tax expense of $7.3 million, respectively. Our income tax benefit is primarily related to a decrease in our deferred tax liabilities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The Company has not provided deferred U.S. income taxes or foreign withholding taxes on temporary differences as these amounts are permanently reinvested. For the six months ended June 30, 2012, we recognized income tax benefits related to excess tax deductions associated with stock compensation costs of $1.1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S.A. has received an exemption from Macau’s 12% Complementary Tax on casino gaming profits through December 31, 2015. Accordingly, the Company was exempted from the payment of $46.6 million and $34.5 million in such taxes during the six months ended June 30, 2012 and 2011, respectively.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April 2012, we reached an agreement with the Appellate division of the IRS regarding issues raised during the examination of our 2006 through 2009 U.S. income tax returns. The issues for consideration by the Appellate division were temporary differences related to the treatment of discounts extended to certain Las Vegas casino customers wagering on credit, the deduction of certain costs incurred during the development and construction of Encore at Wynn Las Vegas and the appropriate tax depreciation recovery periods applicable to certain assets. The settlement with the Appellate division does not impact our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July 2012, the Macau Finance Bureau commenced an examination of the 2008 Macau income tax return of Wynn Macau, S.A. Since the examination is in its initial stages, we are unable to determine if it will conclude within the next 12 months. We believe that our liability for uncertain tax positions is adequate with respect to the 2008 examination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$119.1 million for the six months ended June 30, 2012, compared to $85.8 million for the six months ended June 30, 2011. This represents the noncontrolling interests’ share of net income from Wynn Macau, Limited during each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adjusted property EBITDA (amounts in thousands) for our Las Vegas and Macau Operations as reviewed by management and summarized in Notes to Condensed Consolidated Financial Statements – Note 17 “Segment Information.” That footnote also presents a reconciliation of adjusted property EBITDA to net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81,919</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$ 132,693</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$ 182,803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264,820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Macau Operations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302,210</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314,348</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591,983</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587,179</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384,129</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$ 447,041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$ 774,786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851,999</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the three months ended June 30, 2012, both our Las Vegas and Macau Operations were negatively impacted by a lower than normal table games win percentage as discussed above. Results were positively impacted by a credit taken to the provision for doubtful accounts as discussed above.</w:t>
      </w:r>
    </w:p>
    <w:p>
      <w:pPr>
        <w:spacing w:after="0" w:line="85"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the six months ended June 30, 2012, our Las Vegas Operations was negatively impacted by a lower than normal table games win percentage as discussed above. Our Macau Operations adjusted property EBITDA benefited slightly from a higher than normal table games win percentage in the general casino and increased retail revenues. Results for the six months were positively impacted by a credit taken to the provision for doubtful accounts as discussed above. Refer to the discussions above regarding the specific details of our results of operations.</w:t>
      </w:r>
    </w:p>
    <w:p>
      <w:pPr>
        <w:spacing w:after="0" w:line="18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2012, was $660.8 million compared to $831 million provided by operations for the six months ended June 30, 2011. Cash flow from operations decreased due to lower casino department profitability and changes in ordinary working capital accounts such as accrued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At June 30, 2012, we had approximately $1.9 billion of cash and cash equivalents and $273.6 million of available for sale investments in foreign and domestic debt securities with maturities of up to 2 years. Our cash is available for operations, debt service and retirement, development activities, general corporate purposes and enhancements to our resorts. Of these amounts, Wynn Macau, Limited and its subsidiaries held $834.2 million and $65.9 million in cash and available for sale investments, respectively, of which we own 72.3%. If our portion of this cash was repatriated to the U.S. on June 30, 2012, approximately half of this amount would be subject to U.S. tax in the year of repatriation. Wynn Resorts, Limited, which is not a guarantor of the debt of its subsidiaries, held $327.1 million and $207.7 million of cash and available for sale investments, respectively. Wynn Las Vegas LLC held cash balances of $771.9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as of June 30, 2012, we had approximately $84.2 million of availability under our Wynn Las Vegas Credit Agreement. On June 27, 2012, the Wynn Macau Senior Revolving Credit Facility matured with a zero outstanding balance. Debt maturities for the remainder of 2012 are $93.2 million.</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July 31, 2012, Wynn Macau expanded its availability under the senior secured bank facility to US$2.3 billion equivalent, consisting of a US$750 million equivalent fully funded senior secured term loan facility and a US$1.55 billion equivalent senior secured revolving credit facility. Wynn Macau also has the ability to upsize the total senior secured facilities by an additional US$200 million pursuant to the terms and provisions of the Amended Wynn Macau Credit Facilities. These borrowings will be used to refinance Wynn Macau’s existing indebtedness, to fund the design, development, construction and pre-opening expenses of Wynn Cotai and for general corporate purposes.</w:t>
      </w:r>
    </w:p>
    <w:p>
      <w:pPr>
        <w:spacing w:after="0" w:line="143"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We believe that cash flow from operations, availability under our bank credit facilities and our existing cash balances will be adequate to satisfy our anticipated uses of capital during 2012. If any additional financing became necessary, we cannot provide assurance that future borrowings will be available.</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and cash equivalents include investments in money market funds, domestic and foreign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Capital expenditures were approximately $115.3 million for the six months ended June 30, 2012, which included a one-time payment of $50 million in consideration of an unrelated third party’s relinquishment of certain rights in and to any future development on the Cotai land that we intend to use for constructing a full scale integrated casino resort. Capital expenditures also included site preparation costs for our Cotai land and various renovations at our resorts. Capital expenditures for the six months ended June 30, 2011, were approximately $51.3 million and related primarily to the room and suite remodel at Wynn Las Vegas.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12, 2012, Wynn Las Vegas, LLC and Wynn Las Vegas Capital Corp. (together the “Issuers”) issued $900 million aggregate principal amount of</w:t>
      </w:r>
    </w:p>
    <w:p>
      <w:pPr>
        <w:spacing w:after="0" w:line="38" w:lineRule="exact"/>
        <w:rPr>
          <w:sz w:val="20"/>
          <w:szCs w:val="20"/>
          <w:color w:val="auto"/>
        </w:rPr>
      </w:pPr>
    </w:p>
    <w:p>
      <w:pPr>
        <w:ind w:right="80" w:firstLine="8"/>
        <w:spacing w:after="0" w:line="276" w:lineRule="auto"/>
        <w:tabs>
          <w:tab w:leader="none" w:pos="160" w:val="left"/>
        </w:tabs>
        <w:numPr>
          <w:ilvl w:val="0"/>
          <w:numId w:val="12"/>
        </w:numPr>
        <w:rPr>
          <w:rFonts w:ascii="Arial" w:cs="Arial" w:eastAsia="Arial" w:hAnsi="Arial"/>
          <w:sz w:val="18"/>
          <w:szCs w:val="18"/>
          <w:color w:val="auto"/>
        </w:rPr>
      </w:pPr>
      <w:r>
        <w:rPr>
          <w:rFonts w:ascii="Arial" w:cs="Arial" w:eastAsia="Arial" w:hAnsi="Arial"/>
          <w:sz w:val="11"/>
          <w:szCs w:val="11"/>
          <w:color w:val="auto"/>
        </w:rPr>
        <w:t>3</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First Mortgage Notes due 2022 (the “2022 Notes”) pursuant to an Indenture, dated as of March 12, 2012 (the “2022 Indenture). A portion of the proceeds</w:t>
      </w:r>
      <w:r>
        <w:rPr>
          <w:rFonts w:ascii="Arial" w:cs="Arial" w:eastAsia="Arial" w:hAnsi="Arial"/>
          <w:sz w:val="11"/>
          <w:szCs w:val="11"/>
          <w:color w:val="auto"/>
        </w:rPr>
        <w:t xml:space="preserve"> </w:t>
      </w:r>
      <w:r>
        <w:rPr>
          <w:rFonts w:ascii="Arial" w:cs="Arial" w:eastAsia="Arial" w:hAnsi="Arial"/>
          <w:sz w:val="17"/>
          <w:szCs w:val="17"/>
          <w:color w:val="auto"/>
        </w:rPr>
        <w:t>were used to repay all amounts outstanding under the Wynn Las Vegas term loan facilities.</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(the “Wynn Las Vegas, LLC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Wynn Las Vegas, LLC Credit Facilities and the Existing Notes. The guarantees of the 2022 Notes will be released if the guarantees of our credit facilities are released.</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Wynn Las Vegas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Wynn Las Vegas expensed deferred financing costs of $4.8 million.</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had $15.8 million of outstanding letters of credit that reduce availability for borrowing under the Wynn Las Vegas Credit Agreement. Wynn Las Vegas had availability of $84.2 million under the Wynn Las Vegas Credit Agreement as of June 30,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As of June 30, 2012, our Wynn Macau credit facilities, consisted of a $550 million equivalent fully-funded senior term loan facility (the “Wynn Macau Term Loan” or the “Wynn Macau Credit Facility”). On June 27, 2012, Wynn Macau’s $1 billion equivalent senior revolving credit facility (the “Wynn Macau Revolver”) in a combination of Hong Kong and U.S dollars matured with an outstanding balance of $0. The Wynn Macau Term Loan and the Wynn Macau Revolver are together referred to as the “Wynn Macau Credit Facilities.” During the six months ended June 30, 2012, we repaid $150.4 million of borrowings under the Wynn Macau Revolver. Beginning in September 2011, quarterly payments became due under the Wynn Macau Term Loan and during the six months ended June 30, 2012, we repaid $74.3 million. As of June 30, 2012, the Wynn Macau Term Loan was fully drawn, with total amounts outstanding of $403.5 million.</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31, 2012, Wynn Macau, amended and restated its credit facilities, dated September 14, 2004 (as so amended and restated, the “Amended Wynn Macau Credit Facilities”), and appointed Bank of China Limited, Macau Branch as intercreditor agent, facilities agent and security agent. The Amended Wynn Macau Credit Facilities took effect on July 31, 2012 and expand availability under Wynn Macau’s senior secured bank facility to US$2.3 billion equivalent, consisting of a US$750 million equivalent fully funded senior secured term loan facility and a US$1.55 billion equivalent senior secured revolving credit facility. Wynn Macau also has the ability to upsize the total senior secured facilities by an additional US$200 million pursuant to the terms and provisions of the Amended Wynn Macau Credit Facilities. Borrowings under the Amended Wynn Macau Credit Facilities, which consist of both Hong Kong Dollars and United States Dollar tranches, will be used to refinance Wynn Macau’s existing indebtedness, to fund the design, development, construction and pre-opening expenses of Wynn Cotai and for general corporate purposes.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term loan facility matures in July 2018, and the revolving credit facility matures in July 2017. The principal amount of the term loan is required to be repaid in two equal installments in July 2017 and July 2018.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senior secured facilities will bear interest for the first six months after closing at LIBOR or HIBOR plus a margin of 2.50% and thereafter will be subject to LIBOR or HIBOR plus a margin of between 1.75% to 2.50% based on Wynn Macau’s leverage ratio.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Customary fees and expenses were paid by Wynn Macau in connection with the Amended Wynn Macau Credit Facilities.</w:t>
      </w:r>
    </w:p>
    <w:p>
      <w:pPr>
        <w:spacing w:after="0" w:line="171"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Borrowings under the Amended Wynn Macau Credit Facilities are guaranteed by Palo Real Estate Company Limited (“Palo”), a subsidiary of Wynn Macau, S.A., and by certain subsidiaries of the Company that own equity interests in Wynn Macau, S.A., and are secured by substantially all of the assets of Wynn Macau, S.A., the equity interests in Wynn Macau, S.A. and, subject to certain post-closing matters, substantially all of the assets of Palo.</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Amended Wynn Macau Credit Facilities contain representations, warranties, covenants and events of default customary for casino development financings in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Redemption Price Promissory Note</w:t>
      </w:r>
    </w:p>
    <w:p>
      <w:pPr>
        <w:spacing w:after="0" w:line="9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we redeemed and canceled Aruze USA, Inc.’s 24,549,222 shares of Wynn Resorts’ common stock. Following a finding of “unsuitability,” our articles of incorporation authorize redemption at “fair value” of the shares held by unsuitable persons. We engaged an independent financial advisor to assist in the fair value calculation and concluded that a discount to the then current trading price was appropriate because of, among other things, restrictions on most of the shares which are subject to the terms of an existing stockholder agreement. Pursuant to the articles of incorporation, we issued the Redemption Price Promissory Note (the “Redemption Note”) to Aruze USA, Inc.,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24"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We recorded the fair value of the Redemption Note at its estimated present value of approximately $1.94 billion in accordance with applicable accounting guidance. In determining this fair value, we considered the stated maturity of the Redemption Note, its stated interest rate, and the uncertainty of the related cash flows of the Redemption Note as well as the potential effects of the following: uncertainties surrounding the potential outcome and timing of pending litigation with Aruze USA, Inc. (see Note 15); the outcome of on-going investigations by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 When considering the appropriate rate of interest to be used to determine fair value for accounting purposes and in light of the uncertainty in the timing of the cash flows, we used observable inputs from a range of trading values of financial instruments with lives similar to the estimated life of the Redemption Note. As a result of this analysis, we concluded the Redemption Note’s stated rate of 2% approximated a market rate.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 Quantitative and Qualitative Disclosures About Market Risk. We do not have any retained or contingent interest in assets transferred to an unconsolidated entity. At June 30, 2012, we had outstanding letters of credit totaling $15.8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In March 2012, Wynn Las Vegas, LLC issued $900 million in 5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first mortgage notes due 2022, repaid all amounts outstanding under the term loan facilities totaling $370.9 million, reduced its revolving facilities to $100 million, and in February 2012, Wynn Resorts issued a $1.94 billion promissory note payable in 2022, all as described above. Additionally, in June 2012, the Wynn Macau Revolver matured with a zero outstanding balance, the Wynn Macau interest rate swap agreement matured, and the Wynn Las Vegas interest rate swap was terminated, all as described herein. In July 2012, Wynn Macau expanded its credit facilities to US$2.3 billion equivalent, consisting of a US$750 million equivalent fully funded senior secured term loan facility and a US$1.55 billion equivalent senior secured revolving credit facility. Other than those transactions, there have been no material changes during the six months ended June 30, 2012 to our contractual obligations or off balance sheet arrangements as disclosed in our Annual Report on Form 10-K for the year ended December 31, 2011.</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Existing Notes and the 2022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Facilities contains similar restrictions, Wynn Macau is currently in compliance with all requirements, namely satisfaction of its leverage ratio, which must be met in order to pay dividends and is presently able to pay dividends in accordance with the Amended Wynn Macau Credit Facilities.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Wynn Las Vegas, LLC intends to fund its operations and capital requirements from cash on hand,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Amended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 Certain legal matters may also impact our liquidity. See Notes to Condensed Consolidated Financial Statements, Note 15-“Commitments and Contingencies.”</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Price Promissory Note to Aruze USA, Inc. in redemption of the shares. For additional information on the redemption and the Redemption Price Promissory Note, see Notes to Condensed Consolidated Financial Statements, Note 15—“Commitments and Contingencies.”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2011. There has been no material change to these policies for the six months ended 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June 2012, the Wynn Macau swap matured and the Company terminated its Wynn Las Vegas swap for a payment of $2.4 million. Accordingly, the Company had no outstanding interest rate swaps as of June 30, 2012.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had entered into floating-for-fixed interest rate swap arrangements relating to certain of our floating-rate debt facilities. We measured the fair value of our interest rate swaps on a recurring basis. Changes in the fair values of these interest rate swaps for each reporting period recorded are recognized as an increase/(decrease) in swap fair value in our Condensed Consolidated Statements of Income as the swaps did not qualify for hedge accounting.</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 As of December 31, 2011, the interest rate swap liabilities of $7.3 million were included in other current accrued liabilities.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had one interest rate swap intended to hedge a portion of the underlying interest rate risk on borrowings under the Wynn Las Vegas Credit Agreement. Under this swap agreement, we paid a fixed interest rate of 2.485% on borrowings of $250 million incurred under the Wynn Las Vegas Credit Agreement in exchange for receipts on the same amount at a variable interest rate based on the applicable LIBOR at the time of payment.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This interest rate swap fixed the interest rate on $250 million of borrowings under the Wynn Las Vegas Credit Agreement at approximately 5.485%. As of December 31, 2011, the liability fair value of this interest rate swap was approximately $4.6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had one interest rate swap intended to hedge a portion of the underlying interest rate risk on borrowings under the Wynn Macau Credit Facilities which matured in June 2012. Under this swap agreement, we paid a fixed interest rate of 2.15% on borrowings of approximately HK$2.3 billion (approximately US$300 million) incurred under the Wynn Macau Credit Facilities in exchange for receipts on the same amount at a variable interest rate based on the applicable HIBOR at the time of payment. This interest rate swap fixed the interest rate on HK$2.3 billion (approximately US$300 million) of borrowings under the Wynn Macau Credit Facilities at approximately 3.4%. As of December 31, 2011, the liability fair value of this interest rate swap was approximately $2.7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June 30, 2012, approximately 92% of our long-term debt was based on fixed rates. Based on our borrowings as of June 30, 2012, an assumed 1% change in the variable rates would cause our annual interest cost to change by $4.6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in addition to Hong Kong dollars, Wynn Macau also holds other foreign currencies, primarily CNH (offshore renminbi).</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56"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sz w:val="20"/>
          <w:szCs w:val="20"/>
          <w:color w:val="auto"/>
        </w:rPr>
      </w:pPr>
    </w:p>
    <w:p>
      <w:pPr>
        <w:ind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15 to our Condensed Consolidated Financial Statements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2011. Except as noted below, there were no material changes to those risk factors during the six months ended June 30, 2012.</w:t>
      </w:r>
    </w:p>
    <w:p>
      <w:pPr>
        <w:spacing w:after="0" w:line="21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In November 2009, our Board of Directors approved the commencement of a regular quarterly cash dividend program. On July 17, 2012, the Company announced a dividend of $0.50 per share, payable on August 14, 2012 to stockholders of record as of July 31, 2012. On May 7, 2012, the Company announced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dividend of $0.50 per share, payable on June 4, 2012 to stockholders of record as of May 21, 2012. 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The Wynn Las Vegas Credit Agreement contains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2012, the Company repurchased a total of 3,926 shares at an average price of $125.19 per share in satisfaction of tax withholding obligations on vested restricted stock. In addition, as previously disclosed, based on the Board of Directors’ finding of “unsuitability,” on February 18, 2012, we redeemed and canceled Aruze USA, Inc.’s 24,549,222 shares for a Redemption Price Promissory Note of $1.94 billion. None of the foregoing shares were purchased as part of a publicly announced repurchase plan or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161"/>
        </w:trPr>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rPr>
              <w:t>No.</w:t>
            </w:r>
          </w:p>
        </w:tc>
        <w:tc>
          <w:tcPr>
            <w:tcW w:w="109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300" w:type="dxa"/>
            <w:vAlign w:val="bottom"/>
            <w:shd w:val="clear" w:color="auto" w:fill="000000"/>
          </w:tcPr>
          <w:p>
            <w:pPr>
              <w:spacing w:after="0"/>
              <w:rPr>
                <w:sz w:val="2"/>
                <w:szCs w:val="2"/>
                <w:color w:val="auto"/>
              </w:rPr>
            </w:pPr>
          </w:p>
        </w:tc>
      </w:tr>
      <w:tr>
        <w:trPr>
          <w:trHeight w:val="309"/>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Fourth Amended and Restated Bylaws of the Registrant, as amended. (2)</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w w:val="89"/>
              </w:rPr>
              <w:t>First Amendment to Amended and Restated Agreement of Lease, dated as of April 9, 2012, by and between Wynn Las Vegas, LLC and Stephen</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A. Wynn. (3)</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w w:val="90"/>
              </w:rPr>
              <w:t>Land Concession Contract, published on May 2, 2012, by and among Palo Real Estate Company Limited, Wynn Resorts (Macau) S.A. and the</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w w:val="98"/>
              </w:rPr>
              <w:t>Macau Special Administration of the People’s Republic of China (translated to English from traditional Chinese and Portuguese. (4)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w w:val="90"/>
              </w:rPr>
              <w:t>The following financial information from the Company’s Quarterly Report on Form 10-Q for the quarter ended June 30, 2012, filed with the SEC</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660"/>
              <w:spacing w:after="0"/>
              <w:rPr>
                <w:sz w:val="20"/>
                <w:szCs w:val="20"/>
                <w:color w:val="auto"/>
              </w:rPr>
            </w:pPr>
            <w:r>
              <w:rPr>
                <w:rFonts w:ascii="Arial" w:cs="Arial" w:eastAsia="Arial" w:hAnsi="Arial"/>
                <w:sz w:val="18"/>
                <w:szCs w:val="18"/>
                <w:color w:val="auto"/>
                <w:w w:val="89"/>
              </w:rPr>
              <w:t>on August 9, 2012 formatted in Extensible Business Reporting Language (XBRL): (i) the Condensed Consolidated Statements of Income for the</w:t>
            </w:r>
          </w:p>
        </w:tc>
      </w:tr>
    </w:tbl>
    <w:p>
      <w:pPr>
        <w:ind w:left="1120" w:right="100"/>
        <w:spacing w:after="0" w:line="295" w:lineRule="auto"/>
        <w:rPr>
          <w:sz w:val="20"/>
          <w:szCs w:val="20"/>
          <w:color w:val="auto"/>
        </w:rPr>
      </w:pPr>
      <w:r>
        <w:rPr>
          <w:rFonts w:ascii="Arial" w:cs="Arial" w:eastAsia="Arial" w:hAnsi="Arial"/>
          <w:sz w:val="16"/>
          <w:szCs w:val="16"/>
          <w:color w:val="auto"/>
        </w:rPr>
        <w:t>three and six months ended June 30, 2012 and 2011, (ii) the Condensed Consolidated Statements of Comprehensive Income for the three and six months ended June 30, 2012 and 2011, (iii) the Condensed Consolidated Balance Sheets at June 30, 2012 and December 31 2011, (iv) the Condensed Consolidated Statements of Cash Flows for the six months ended June 30, 2012 and 2011, (v) the Condensed Consolidated Statement of Stockholders’ Equity at June 30, 2012, and (vi)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580" w:hanging="396"/>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580" w:right="80" w:hanging="484"/>
        <w:spacing w:after="0" w:line="252"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1" w:lineRule="exact"/>
        <w:rPr>
          <w:rFonts w:ascii="Arial" w:cs="Arial" w:eastAsia="Arial" w:hAnsi="Arial"/>
          <w:sz w:val="18"/>
          <w:szCs w:val="18"/>
          <w:color w:val="auto"/>
        </w:rPr>
      </w:pPr>
    </w:p>
    <w:p>
      <w:pPr>
        <w:ind w:left="460" w:right="5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April 12, 2012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Form 8-K filed by the Registrant on May 2, 2012 and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600" w:val="left"/>
          <w:tab w:leader="none" w:pos="6040" w:val="left"/>
          <w:tab w:leader="none" w:pos="6380" w:val="left"/>
        </w:tabs>
        <w:rPr>
          <w:sz w:val="20"/>
          <w:szCs w:val="20"/>
          <w:color w:val="auto"/>
        </w:rPr>
      </w:pPr>
      <w:r>
        <w:rPr>
          <w:rFonts w:ascii="Arial" w:cs="Arial" w:eastAsia="Arial" w:hAnsi="Arial"/>
          <w:sz w:val="18"/>
          <w:szCs w:val="18"/>
          <w:color w:val="auto"/>
        </w:rPr>
        <w:t>Dated: August 9, 2012</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0"/>
          </w:cols>
          <w:pgMar w:left="240" w:top="459" w:right="11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Matt Maddox, certify that:</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2012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Stephen A. Wynn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9, 2012</w:t>
            </w:r>
          </w:p>
        </w:tc>
      </w:tr>
      <w:tr>
        <w:trPr>
          <w:trHeight w:val="42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Matt Maddox</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9, 2012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5"/>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2019-12-09T15:31:12Z</dcterms:created>
  <dcterms:modified xsi:type="dcterms:W3CDTF">2019-12-09T15:31:12Z</dcterms:modified>
</cp:coreProperties>
</file>