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39"/>
        <w:spacing w:after="0"/>
        <w:rPr>
          <w:sz w:val="20"/>
          <w:szCs w:val="20"/>
          <w:color w:val="auto"/>
        </w:rPr>
      </w:pPr>
      <w:r>
        <w:rPr>
          <w:rFonts w:ascii="Arial" w:cs="Arial" w:eastAsia="Arial" w:hAnsi="Arial"/>
          <w:sz w:val="22"/>
          <w:szCs w:val="22"/>
          <w:b w:val="1"/>
          <w:bCs w:val="1"/>
          <w:color w:val="auto"/>
        </w:rPr>
        <w:t>SECURITIES AND EXCHANGE COMMISSION</w:t>
      </w:r>
    </w:p>
    <w:p>
      <w:pPr>
        <w:spacing w:after="0" w:line="19"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2677160</wp:posOffset>
            </wp:positionH>
            <wp:positionV relativeFrom="paragraph">
              <wp:posOffset>210820</wp:posOffset>
            </wp:positionV>
            <wp:extent cx="18268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2" w:lineRule="exact"/>
        <w:rPr>
          <w:sz w:val="24"/>
          <w:szCs w:val="24"/>
          <w:color w:val="auto"/>
        </w:rPr>
      </w:pPr>
    </w:p>
    <w:p>
      <w:pPr>
        <w:jc w:val="center"/>
        <w:ind w:right="-239"/>
        <w:spacing w:after="0"/>
        <w:rPr>
          <w:sz w:val="20"/>
          <w:szCs w:val="20"/>
          <w:color w:val="auto"/>
        </w:rPr>
      </w:pPr>
      <w:r>
        <w:rPr>
          <w:rFonts w:ascii="Arial" w:cs="Arial" w:eastAsia="Arial" w:hAnsi="Arial"/>
          <w:sz w:val="22"/>
          <w:szCs w:val="22"/>
          <w:b w:val="1"/>
          <w:bCs w:val="1"/>
          <w:color w:val="auto"/>
        </w:rPr>
        <w:t>SCHEDULE 13D/A</w:t>
      </w:r>
    </w:p>
    <w:p>
      <w:pPr>
        <w:spacing w:after="0" w:line="28"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[Rule 13d-101]</w:t>
      </w:r>
    </w:p>
    <w:p>
      <w:pPr>
        <w:spacing w:after="0" w:line="210" w:lineRule="exact"/>
        <w:rPr>
          <w:sz w:val="24"/>
          <w:szCs w:val="24"/>
          <w:color w:val="auto"/>
        </w:rPr>
      </w:pPr>
    </w:p>
    <w:p>
      <w:pPr>
        <w:jc w:val="center"/>
        <w:ind w:left="520"/>
        <w:spacing w:after="0" w:line="282" w:lineRule="auto"/>
        <w:rPr>
          <w:sz w:val="20"/>
          <w:szCs w:val="20"/>
          <w:color w:val="auto"/>
        </w:rPr>
      </w:pPr>
      <w:r>
        <w:rPr>
          <w:rFonts w:ascii="Arial" w:cs="Arial" w:eastAsia="Arial" w:hAnsi="Arial"/>
          <w:sz w:val="18"/>
          <w:szCs w:val="18"/>
          <w:b w:val="1"/>
          <w:bCs w:val="1"/>
          <w:color w:val="auto"/>
        </w:rPr>
        <w:t>INFORMATION TO BE INCLUDED IN STATEMENTS FILED PURSUANT TO § 240.13D-1(A) AND AMENDMENTS THERETO FILED PURSUANT TO § 240.13D-2(A)</w:t>
      </w:r>
    </w:p>
    <w:p>
      <w:pPr>
        <w:spacing w:after="0" w:line="162"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(Amendment No. 3)</w:t>
      </w:r>
    </w:p>
    <w:p>
      <w:pPr>
        <w:spacing w:after="0" w:line="252"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WYNN RESORTS, LIMITED</w:t>
      </w:r>
    </w:p>
    <w:p>
      <w:pPr>
        <w:spacing w:after="0" w:line="54"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(Name of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-130175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8"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Common Stock, $0.01 par value per share</w:t>
      </w:r>
    </w:p>
    <w:p>
      <w:pPr>
        <w:spacing w:after="0" w:line="40"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-130175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8"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983134 10 7</w:t>
      </w:r>
    </w:p>
    <w:p>
      <w:pPr>
        <w:spacing w:after="0" w:line="54"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-130175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1"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Michael J. Bonner</w:t>
      </w:r>
    </w:p>
    <w:p>
      <w:pPr>
        <w:spacing w:after="0" w:line="27"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Greenberg Traurig, LLP</w:t>
      </w:r>
    </w:p>
    <w:p>
      <w:pPr>
        <w:spacing w:after="0" w:line="9"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3773 Howard Hughes Parkway, Suite 400 North</w:t>
      </w:r>
    </w:p>
    <w:p>
      <w:pPr>
        <w:spacing w:after="0" w:line="9"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Las Vegas, Nevada 89169</w:t>
      </w:r>
    </w:p>
    <w:p>
      <w:pPr>
        <w:spacing w:after="0" w:line="9"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(702) 792-3773</w:t>
      </w:r>
    </w:p>
    <w:p>
      <w:pPr>
        <w:spacing w:after="0" w:line="35"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(Name, Address and Telephone Number of 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-130175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Authorized to Receive Notices and Communications)</w:t>
      </w:r>
    </w:p>
    <w:p>
      <w:pPr>
        <w:spacing w:after="0" w:line="234"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August 13, 2009</w:t>
      </w:r>
    </w:p>
    <w:p>
      <w:pPr>
        <w:spacing w:after="0" w:line="40"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-130175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4"/>
          <w:szCs w:val="24"/>
          <w:color w:val="auto"/>
        </w:rPr>
      </w:pPr>
    </w:p>
    <w:p>
      <w:pPr>
        <w:ind w:left="600" w:right="400"/>
        <w:spacing w:after="0" w:line="277" w:lineRule="auto"/>
        <w:rPr>
          <w:sz w:val="20"/>
          <w:szCs w:val="20"/>
          <w:color w:val="auto"/>
        </w:rPr>
      </w:pPr>
      <w:r>
        <w:rPr>
          <w:rFonts w:ascii="Arial" w:cs="Arial" w:eastAsia="Arial" w:hAnsi="Arial"/>
          <w:sz w:val="18"/>
          <w:szCs w:val="18"/>
          <w:color w:val="auto"/>
        </w:rPr>
        <w:t>If the filing person has previously filed a statement on Schedule 13G to report the acquisition that is the subject of this Schedule 13D, and is filing this schedule because of §§240.13d-1(e), 240.13d-1(f) or 240.13d-1(g), check the following box o.</w:t>
      </w:r>
    </w:p>
    <w:p>
      <w:pPr>
        <w:spacing w:after="0" w:line="45" w:lineRule="exact"/>
        <w:rPr>
          <w:sz w:val="24"/>
          <w:szCs w:val="24"/>
          <w:color w:val="auto"/>
        </w:rPr>
      </w:pPr>
    </w:p>
    <w:p>
      <w:pPr>
        <w:ind w:left="600" w:right="420"/>
        <w:spacing w:after="0" w:line="282" w:lineRule="auto"/>
        <w:rPr>
          <w:sz w:val="20"/>
          <w:szCs w:val="20"/>
          <w:color w:val="auto"/>
        </w:rPr>
      </w:pPr>
      <w:r>
        <w:rPr>
          <w:rFonts w:ascii="Arial" w:cs="Arial" w:eastAsia="Arial" w:hAnsi="Arial"/>
          <w:sz w:val="18"/>
          <w:szCs w:val="18"/>
          <w:b w:val="1"/>
          <w:bCs w:val="1"/>
          <w:color w:val="auto"/>
        </w:rPr>
        <w:t>Note</w:t>
      </w:r>
      <w:r>
        <w:rPr>
          <w:rFonts w:ascii="Arial" w:cs="Arial" w:eastAsia="Arial" w:hAnsi="Arial"/>
          <w:sz w:val="18"/>
          <w:szCs w:val="18"/>
          <w:color w:val="auto"/>
        </w:rPr>
        <w:t>: Schedules filed in paper format shall include a signed original and five copies of the schedule, including all exhibits. See § 240.13d-7</w:t>
      </w:r>
      <w:r>
        <w:rPr>
          <w:rFonts w:ascii="Arial" w:cs="Arial" w:eastAsia="Arial" w:hAnsi="Arial"/>
          <w:sz w:val="18"/>
          <w:szCs w:val="18"/>
          <w:b w:val="1"/>
          <w:bCs w:val="1"/>
          <w:color w:val="auto"/>
        </w:rPr>
        <w:t xml:space="preserve"> </w:t>
      </w:r>
      <w:r>
        <w:rPr>
          <w:rFonts w:ascii="Arial" w:cs="Arial" w:eastAsia="Arial" w:hAnsi="Arial"/>
          <w:sz w:val="18"/>
          <w:szCs w:val="18"/>
          <w:color w:val="auto"/>
        </w:rPr>
        <w:t>for other parties to whom copies are to be sent.</w:t>
      </w:r>
    </w:p>
    <w:p>
      <w:pPr>
        <w:spacing w:after="0" w:line="44" w:lineRule="exact"/>
        <w:rPr>
          <w:sz w:val="24"/>
          <w:szCs w:val="24"/>
          <w:color w:val="auto"/>
        </w:rPr>
      </w:pPr>
    </w:p>
    <w:p>
      <w:pPr>
        <w:ind w:left="600" w:right="640" w:hanging="4"/>
        <w:spacing w:after="0" w:line="267" w:lineRule="auto"/>
        <w:tabs>
          <w:tab w:leader="none" w:pos="700" w:val="left"/>
        </w:tabs>
        <w:numPr>
          <w:ilvl w:val="0"/>
          <w:numId w:val="1"/>
        </w:numPr>
        <w:rPr>
          <w:rFonts w:ascii="Arial" w:cs="Arial" w:eastAsia="Arial" w:hAnsi="Arial"/>
          <w:sz w:val="21"/>
          <w:szCs w:val="21"/>
          <w:color w:val="auto"/>
          <w:vertAlign w:val="superscript"/>
        </w:rPr>
      </w:pPr>
      <w:r>
        <w:rPr>
          <w:rFonts w:ascii="Arial" w:cs="Arial" w:eastAsia="Arial" w:hAnsi="Arial"/>
          <w:sz w:val="16"/>
          <w:szCs w:val="16"/>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40" w:lineRule="exact"/>
        <w:rPr>
          <w:sz w:val="24"/>
          <w:szCs w:val="24"/>
          <w:color w:val="auto"/>
        </w:rPr>
      </w:pPr>
    </w:p>
    <w:p>
      <w:pPr>
        <w:ind w:left="600" w:right="780"/>
        <w:spacing w:after="0" w:line="264"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207645</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8"/>
          <w:szCs w:val="18"/>
          <w:color w:val="auto"/>
        </w:rPr>
        <w:t>CUSIP No.  983134 10 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92075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2" w:lineRule="exact"/>
        <w:rPr>
          <w:sz w:val="24"/>
          <w:szCs w:val="24"/>
          <w:color w:val="auto"/>
        </w:rPr>
      </w:pPr>
    </w:p>
    <w:p>
      <w:pPr>
        <w:ind w:left="1040" w:right="7920" w:hanging="646"/>
        <w:spacing w:after="0" w:line="342" w:lineRule="auto"/>
        <w:tabs>
          <w:tab w:leader="none" w:pos="1040" w:val="left"/>
        </w:tabs>
        <w:numPr>
          <w:ilvl w:val="0"/>
          <w:numId w:val="2"/>
        </w:numPr>
        <w:rPr>
          <w:rFonts w:ascii="Arial" w:cs="Arial" w:eastAsia="Arial" w:hAnsi="Arial"/>
          <w:sz w:val="16"/>
          <w:szCs w:val="16"/>
          <w:color w:val="auto"/>
        </w:rPr>
      </w:pPr>
      <w:r>
        <w:rPr>
          <w:rFonts w:ascii="Arial" w:cs="Arial" w:eastAsia="Arial" w:hAnsi="Arial"/>
          <w:sz w:val="16"/>
          <w:szCs w:val="16"/>
          <w:color w:val="auto"/>
        </w:rPr>
        <w:t>Names of Reporting Persons. Aruze USA, Inc. (1)</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37" w:lineRule="exact"/>
        <w:rPr>
          <w:rFonts w:ascii="Arial" w:cs="Arial" w:eastAsia="Arial" w:hAnsi="Arial"/>
          <w:sz w:val="16"/>
          <w:szCs w:val="16"/>
          <w:color w:val="auto"/>
        </w:rPr>
      </w:pPr>
    </w:p>
    <w:p>
      <w:pPr>
        <w:ind w:left="1040" w:hanging="646"/>
        <w:spacing w:after="0"/>
        <w:tabs>
          <w:tab w:leader="none" w:pos="10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65" w:lineRule="exact"/>
        <w:rPr>
          <w:rFonts w:ascii="Arial" w:cs="Arial" w:eastAsia="Arial" w:hAnsi="Arial"/>
          <w:sz w:val="18"/>
          <w:szCs w:val="18"/>
          <w:color w:val="auto"/>
        </w:rPr>
      </w:pPr>
    </w:p>
    <w:p>
      <w:pPr>
        <w:ind w:left="2100" w:hanging="1058"/>
        <w:spacing w:after="0"/>
        <w:tabs>
          <w:tab w:leader="none" w:pos="2100" w:val="left"/>
        </w:tabs>
        <w:numPr>
          <w:ilvl w:val="1"/>
          <w:numId w:val="2"/>
        </w:numPr>
        <w:rPr>
          <w:rFonts w:ascii="Arial" w:cs="Arial" w:eastAsia="Arial" w:hAnsi="Arial"/>
          <w:sz w:val="18"/>
          <w:szCs w:val="18"/>
          <w:color w:val="auto"/>
        </w:rPr>
      </w:pPr>
      <w:r>
        <w:rPr>
          <w:rFonts w:ascii="Arial" w:cs="Arial" w:eastAsia="Arial" w:hAnsi="Arial"/>
          <w:sz w:val="18"/>
          <w:szCs w:val="18"/>
          <w:color w:val="auto"/>
        </w:rPr>
        <w:t>x</w:t>
      </w:r>
    </w:p>
    <w:p>
      <w:pPr>
        <w:spacing w:after="0" w:line="198" w:lineRule="exact"/>
        <w:rPr>
          <w:rFonts w:ascii="Arial" w:cs="Arial" w:eastAsia="Arial" w:hAnsi="Arial"/>
          <w:sz w:val="18"/>
          <w:szCs w:val="18"/>
          <w:color w:val="auto"/>
        </w:rPr>
      </w:pPr>
    </w:p>
    <w:p>
      <w:pPr>
        <w:ind w:left="2100" w:hanging="1058"/>
        <w:spacing w:after="0"/>
        <w:tabs>
          <w:tab w:leader="none" w:pos="2100" w:val="left"/>
        </w:tabs>
        <w:numPr>
          <w:ilvl w:val="1"/>
          <w:numId w:val="2"/>
        </w:numPr>
        <w:rPr>
          <w:rFonts w:ascii="Arial" w:cs="Arial" w:eastAsia="Arial" w:hAnsi="Arial"/>
          <w:sz w:val="18"/>
          <w:szCs w:val="18"/>
          <w:color w:val="auto"/>
        </w:rPr>
      </w:pPr>
      <w:r>
        <w:rPr>
          <w:rFonts w:ascii="Arial" w:cs="Arial" w:eastAsia="Arial" w:hAnsi="Arial"/>
          <w:sz w:val="18"/>
          <w:szCs w:val="18"/>
          <w:color w:val="auto"/>
        </w:rPr>
        <w:t>o</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1040" w:hanging="646"/>
        <w:spacing w:after="0"/>
        <w:tabs>
          <w:tab w:leader="none" w:pos="104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38" w:lineRule="exact"/>
        <w:rPr>
          <w:rFonts w:ascii="Arial" w:cs="Arial" w:eastAsia="Arial" w:hAnsi="Arial"/>
          <w:sz w:val="18"/>
          <w:szCs w:val="18"/>
          <w:color w:val="auto"/>
        </w:rPr>
      </w:pPr>
    </w:p>
    <w:p>
      <w:pPr>
        <w:ind w:left="1040" w:hanging="646"/>
        <w:spacing w:after="0"/>
        <w:tabs>
          <w:tab w:leader="none" w:pos="1040" w:val="left"/>
        </w:tabs>
        <w:numPr>
          <w:ilvl w:val="0"/>
          <w:numId w:val="2"/>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3" w:lineRule="exact"/>
        <w:rPr>
          <w:rFonts w:ascii="Arial" w:cs="Arial" w:eastAsia="Arial" w:hAnsi="Arial"/>
          <w:sz w:val="18"/>
          <w:szCs w:val="18"/>
          <w:color w:val="auto"/>
        </w:rPr>
      </w:pPr>
    </w:p>
    <w:p>
      <w:pPr>
        <w:ind w:left="1040"/>
        <w:spacing w:after="0"/>
        <w:rPr>
          <w:rFonts w:ascii="Arial" w:cs="Arial" w:eastAsia="Arial" w:hAnsi="Arial"/>
          <w:sz w:val="18"/>
          <w:szCs w:val="18"/>
          <w:color w:val="auto"/>
        </w:rPr>
      </w:pPr>
      <w:r>
        <w:rPr>
          <w:rFonts w:ascii="Arial" w:cs="Arial" w:eastAsia="Arial" w:hAnsi="Arial"/>
          <w:sz w:val="18"/>
          <w:szCs w:val="18"/>
          <w:color w:val="auto"/>
        </w:rPr>
        <w:t>AF (Funds for the acquisition of the Issuer securities were provided by Aruze Corp., the corporate parent of Aruze USA,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627380</wp:posOffset>
            </wp:positionH>
            <wp:positionV relativeFrom="paragraph">
              <wp:posOffset>83185</wp:posOffset>
            </wp:positionV>
            <wp:extent cx="65862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86220" cy="8890"/>
                    </a:xfrm>
                    <a:prstGeom prst="rect">
                      <a:avLst/>
                    </a:prstGeom>
                    <a:noFill/>
                  </pic:spPr>
                </pic:pic>
              </a:graphicData>
            </a:graphic>
          </wp:anchor>
        </w:drawing>
        <w:drawing>
          <wp:anchor simplePos="0" relativeHeight="251657728" behindDoc="1" locked="0" layoutInCell="0" allowOverlap="1">
            <wp:simplePos x="0" y="0"/>
            <wp:positionH relativeFrom="column">
              <wp:posOffset>627380</wp:posOffset>
            </wp:positionH>
            <wp:positionV relativeFrom="paragraph">
              <wp:posOffset>-654050</wp:posOffset>
            </wp:positionV>
            <wp:extent cx="65862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86220" cy="8890"/>
                    </a:xfrm>
                    <a:prstGeom prst="rect">
                      <a:avLst/>
                    </a:prstGeom>
                    <a:noFill/>
                  </pic:spPr>
                </pic:pic>
              </a:graphicData>
            </a:graphic>
          </wp:anchor>
        </w:drawing>
        <w:drawing>
          <wp:anchor simplePos="0" relativeHeight="251657728" behindDoc="1" locked="0" layoutInCell="0" allowOverlap="1">
            <wp:simplePos x="0" y="0"/>
            <wp:positionH relativeFrom="column">
              <wp:posOffset>1270635</wp:posOffset>
            </wp:positionH>
            <wp:positionV relativeFrom="paragraph">
              <wp:posOffset>-1254125</wp:posOffset>
            </wp:positionV>
            <wp:extent cx="59429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942965" cy="8890"/>
                    </a:xfrm>
                    <a:prstGeom prst="rect">
                      <a:avLst/>
                    </a:prstGeom>
                    <a:noFill/>
                  </pic:spPr>
                </pic:pic>
              </a:graphicData>
            </a:graphic>
          </wp:anchor>
        </w:drawing>
        <w:drawing>
          <wp:anchor simplePos="0" relativeHeight="251657728" behindDoc="1" locked="0" layoutInCell="0" allowOverlap="1">
            <wp:simplePos x="0" y="0"/>
            <wp:positionH relativeFrom="column">
              <wp:posOffset>1270635</wp:posOffset>
            </wp:positionH>
            <wp:positionV relativeFrom="paragraph">
              <wp:posOffset>-1511300</wp:posOffset>
            </wp:positionV>
            <wp:extent cx="594296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942965" cy="8890"/>
                    </a:xfrm>
                    <a:prstGeom prst="rect">
                      <a:avLst/>
                    </a:prstGeom>
                    <a:noFill/>
                  </pic:spPr>
                </pic:pic>
              </a:graphicData>
            </a:graphic>
          </wp:anchor>
        </w:drawing>
        <w:drawing>
          <wp:anchor simplePos="0" relativeHeight="251657728" behindDoc="1" locked="0" layoutInCell="0" allowOverlap="1">
            <wp:simplePos x="0" y="0"/>
            <wp:positionH relativeFrom="column">
              <wp:posOffset>627380</wp:posOffset>
            </wp:positionH>
            <wp:positionV relativeFrom="paragraph">
              <wp:posOffset>-2360295</wp:posOffset>
            </wp:positionV>
            <wp:extent cx="65862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ectPr>
          <w:pgSz w:w="11900" w:h="16838" w:orient="portrait"/>
          <w:cols w:equalWidth="0" w:num="1">
            <w:col w:w="11080"/>
          </w:cols>
          <w:pgMar w:left="300" w:top="463" w:right="519" w:bottom="0" w:gutter="0" w:footer="0" w:header="0"/>
        </w:sectPr>
      </w:pPr>
    </w:p>
    <w:bookmarkStart w:id="1" w:name="page2"/>
    <w:bookmarkEnd w:id="1"/>
    <w:p>
      <w:pPr>
        <w:ind w:left="452"/>
        <w:spacing w:after="0"/>
        <w:rPr>
          <w:sz w:val="20"/>
          <w:szCs w:val="20"/>
          <w:color w:val="auto"/>
        </w:rPr>
      </w:pPr>
      <w:r>
        <w:rPr>
          <w:rFonts w:ascii="Arial" w:cs="Arial" w:eastAsia="Arial" w:hAnsi="Arial"/>
          <w:sz w:val="18"/>
          <w:szCs w:val="18"/>
          <w:color w:val="auto"/>
        </w:rPr>
        <w:t>5.</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452"/>
        <w:spacing w:after="0"/>
        <w:rPr>
          <w:sz w:val="20"/>
          <w:szCs w:val="20"/>
          <w:color w:val="auto"/>
        </w:rPr>
      </w:pPr>
      <w:r>
        <w:rPr>
          <w:rFonts w:ascii="Arial" w:cs="Arial" w:eastAsia="Arial" w:hAnsi="Arial"/>
          <w:sz w:val="18"/>
          <w:szCs w:val="18"/>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52"/>
        <w:spacing w:after="0"/>
        <w:rPr>
          <w:sz w:val="20"/>
          <w:szCs w:val="20"/>
          <w:color w:val="auto"/>
        </w:rPr>
      </w:pPr>
      <w:r>
        <w:rPr>
          <w:rFonts w:ascii="Arial" w:cs="Arial" w:eastAsia="Arial" w:hAnsi="Arial"/>
          <w:sz w:val="18"/>
          <w:szCs w:val="18"/>
          <w:color w:val="auto"/>
        </w:rPr>
        <w:t>Number of</w:t>
      </w:r>
    </w:p>
    <w:p>
      <w:pPr>
        <w:spacing w:after="0" w:line="23" w:lineRule="exact"/>
        <w:rPr>
          <w:sz w:val="20"/>
          <w:szCs w:val="20"/>
          <w:color w:val="auto"/>
        </w:rPr>
      </w:pPr>
    </w:p>
    <w:p>
      <w:pPr>
        <w:ind w:left="52"/>
        <w:spacing w:after="0"/>
        <w:rPr>
          <w:sz w:val="20"/>
          <w:szCs w:val="20"/>
          <w:color w:val="auto"/>
        </w:rPr>
      </w:pPr>
      <w:r>
        <w:rPr>
          <w:rFonts w:ascii="Arial" w:cs="Arial" w:eastAsia="Arial" w:hAnsi="Arial"/>
          <w:sz w:val="18"/>
          <w:szCs w:val="18"/>
          <w:color w:val="auto"/>
        </w:rPr>
        <w:t>Shares</w:t>
      </w:r>
    </w:p>
    <w:p>
      <w:pPr>
        <w:spacing w:after="0" w:line="9" w:lineRule="exact"/>
        <w:rPr>
          <w:sz w:val="20"/>
          <w:szCs w:val="20"/>
          <w:color w:val="auto"/>
        </w:rPr>
      </w:pPr>
    </w:p>
    <w:p>
      <w:pPr>
        <w:ind w:left="52"/>
        <w:spacing w:after="0"/>
        <w:rPr>
          <w:sz w:val="20"/>
          <w:szCs w:val="20"/>
          <w:color w:val="auto"/>
        </w:rPr>
      </w:pPr>
      <w:r>
        <w:rPr>
          <w:rFonts w:ascii="Arial" w:cs="Arial" w:eastAsia="Arial" w:hAnsi="Arial"/>
          <w:sz w:val="17"/>
          <w:szCs w:val="17"/>
          <w:color w:val="auto"/>
        </w:rPr>
        <w:t>Beneficially</w:t>
      </w:r>
    </w:p>
    <w:p>
      <w:pPr>
        <w:spacing w:after="0" w:line="21" w:lineRule="exact"/>
        <w:rPr>
          <w:sz w:val="20"/>
          <w:szCs w:val="20"/>
          <w:color w:val="auto"/>
        </w:rPr>
      </w:pPr>
    </w:p>
    <w:p>
      <w:pPr>
        <w:ind w:left="52"/>
        <w:spacing w:after="0"/>
        <w:rPr>
          <w:sz w:val="20"/>
          <w:szCs w:val="20"/>
          <w:color w:val="auto"/>
        </w:rPr>
      </w:pPr>
      <w:r>
        <w:rPr>
          <w:rFonts w:ascii="Arial" w:cs="Arial" w:eastAsia="Arial" w:hAnsi="Arial"/>
          <w:sz w:val="18"/>
          <w:szCs w:val="18"/>
          <w:color w:val="auto"/>
        </w:rPr>
        <w:t>Owned by</w:t>
      </w:r>
    </w:p>
    <w:p>
      <w:pPr>
        <w:spacing w:after="0" w:line="9" w:lineRule="exact"/>
        <w:rPr>
          <w:sz w:val="20"/>
          <w:szCs w:val="20"/>
          <w:color w:val="auto"/>
        </w:rPr>
      </w:pPr>
    </w:p>
    <w:p>
      <w:pPr>
        <w:ind w:left="52"/>
        <w:spacing w:after="0"/>
        <w:rPr>
          <w:sz w:val="20"/>
          <w:szCs w:val="20"/>
          <w:color w:val="auto"/>
        </w:rPr>
      </w:pPr>
      <w:r>
        <w:rPr>
          <w:rFonts w:ascii="Arial" w:cs="Arial" w:eastAsia="Arial" w:hAnsi="Arial"/>
          <w:sz w:val="18"/>
          <w:szCs w:val="18"/>
          <w:color w:val="auto"/>
        </w:rPr>
        <w:t>Each</w:t>
      </w:r>
    </w:p>
    <w:p>
      <w:pPr>
        <w:spacing w:after="0" w:line="9" w:lineRule="exact"/>
        <w:rPr>
          <w:sz w:val="20"/>
          <w:szCs w:val="20"/>
          <w:color w:val="auto"/>
        </w:rPr>
      </w:pPr>
    </w:p>
    <w:p>
      <w:pPr>
        <w:ind w:left="52"/>
        <w:spacing w:after="0"/>
        <w:rPr>
          <w:sz w:val="20"/>
          <w:szCs w:val="20"/>
          <w:color w:val="auto"/>
        </w:rPr>
      </w:pPr>
      <w:r>
        <w:rPr>
          <w:rFonts w:ascii="Arial" w:cs="Arial" w:eastAsia="Arial" w:hAnsi="Arial"/>
          <w:sz w:val="18"/>
          <w:szCs w:val="18"/>
          <w:color w:val="auto"/>
        </w:rPr>
        <w:t>Reporting</w:t>
      </w:r>
    </w:p>
    <w:p>
      <w:pPr>
        <w:spacing w:after="0" w:line="9" w:lineRule="exact"/>
        <w:rPr>
          <w:sz w:val="20"/>
          <w:szCs w:val="20"/>
          <w:color w:val="auto"/>
        </w:rPr>
      </w:pPr>
    </w:p>
    <w:p>
      <w:pPr>
        <w:ind w:left="52"/>
        <w:spacing w:after="0"/>
        <w:rPr>
          <w:sz w:val="20"/>
          <w:szCs w:val="20"/>
          <w:color w:val="auto"/>
        </w:rPr>
      </w:pPr>
      <w:r>
        <w:rPr>
          <w:rFonts w:ascii="Arial" w:cs="Arial" w:eastAsia="Arial" w:hAnsi="Arial"/>
          <w:sz w:val="16"/>
          <w:szCs w:val="16"/>
          <w:color w:val="auto"/>
        </w:rPr>
        <w:t>Person With</w:t>
      </w:r>
    </w:p>
    <w:p>
      <w:pPr>
        <w:spacing w:after="0" w:line="20" w:lineRule="exact"/>
        <w:rPr>
          <w:sz w:val="20"/>
          <w:szCs w:val="20"/>
          <w:color w:val="auto"/>
        </w:rPr>
      </w:pPr>
      <w:r>
        <w:rPr>
          <w:sz w:val="20"/>
          <w:szCs w:val="20"/>
          <w:color w:val="auto"/>
        </w:rPr>
        <w:br w:type="column"/>
      </w:r>
    </w:p>
    <w:p>
      <w:pPr>
        <w:spacing w:after="0"/>
        <w:tabs>
          <w:tab w:leader="none" w:pos="6280" w:val="left"/>
        </w:tabs>
        <w:rPr>
          <w:sz w:val="20"/>
          <w:szCs w:val="20"/>
          <w:color w:val="auto"/>
        </w:rPr>
      </w:pPr>
      <w:r>
        <w:rPr>
          <w:rFonts w:ascii="Arial" w:cs="Arial" w:eastAsia="Arial" w:hAnsi="Arial"/>
          <w:sz w:val="17"/>
          <w:szCs w:val="17"/>
          <w:color w:val="auto"/>
        </w:rPr>
        <w:t>Check if Disclosure of Legal Proceedings Is Required Pursuant to Items 2(d) or 2(e)</w:t>
      </w:r>
      <w:r>
        <w:rPr>
          <w:sz w:val="20"/>
          <w:szCs w:val="20"/>
          <w:color w:val="auto"/>
        </w:rPr>
        <w:tab/>
      </w:r>
      <w:r>
        <w:rPr>
          <w:rFonts w:ascii="Arial" w:cs="Arial" w:eastAsia="Arial" w:hAnsi="Arial"/>
          <w:sz w:val="14"/>
          <w:szCs w:val="14"/>
          <w:color w:val="auto"/>
        </w:rPr>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99060</wp:posOffset>
            </wp:positionV>
            <wp:extent cx="65862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color w:val="auto"/>
        </w:rPr>
        <w:t>Citizenship or Place of Organization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Nevada, United States of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83185</wp:posOffset>
            </wp:positionV>
            <wp:extent cx="65862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940" w:right="8000" w:hanging="506"/>
        <w:spacing w:after="0" w:line="277" w:lineRule="auto"/>
        <w:tabs>
          <w:tab w:leader="none" w:pos="9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Sole Voting Power 0</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3" w:lineRule="exact"/>
        <w:rPr>
          <w:rFonts w:ascii="Arial" w:cs="Arial" w:eastAsia="Arial" w:hAnsi="Arial"/>
          <w:sz w:val="18"/>
          <w:szCs w:val="18"/>
          <w:color w:val="auto"/>
        </w:rPr>
      </w:pPr>
    </w:p>
    <w:p>
      <w:pPr>
        <w:ind w:left="940" w:right="7820" w:hanging="506"/>
        <w:spacing w:after="0" w:line="342" w:lineRule="auto"/>
        <w:tabs>
          <w:tab w:leader="none" w:pos="940" w:val="left"/>
        </w:tabs>
        <w:numPr>
          <w:ilvl w:val="0"/>
          <w:numId w:val="3"/>
        </w:numPr>
        <w:rPr>
          <w:rFonts w:ascii="Arial" w:cs="Arial" w:eastAsia="Arial" w:hAnsi="Arial"/>
          <w:sz w:val="16"/>
          <w:szCs w:val="16"/>
          <w:color w:val="auto"/>
        </w:rPr>
      </w:pPr>
      <w:r>
        <w:rPr>
          <w:rFonts w:ascii="Arial" w:cs="Arial" w:eastAsia="Arial" w:hAnsi="Arial"/>
          <w:sz w:val="16"/>
          <w:szCs w:val="16"/>
          <w:color w:val="auto"/>
        </w:rPr>
        <w:t>Shared Voting Power 46,702,639 (1), (2)</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37" w:lineRule="exact"/>
        <w:rPr>
          <w:rFonts w:ascii="Arial" w:cs="Arial" w:eastAsia="Arial" w:hAnsi="Arial"/>
          <w:sz w:val="16"/>
          <w:szCs w:val="16"/>
          <w:color w:val="auto"/>
        </w:rPr>
      </w:pPr>
    </w:p>
    <w:p>
      <w:pPr>
        <w:ind w:left="940" w:right="7660" w:hanging="506"/>
        <w:spacing w:after="0" w:line="277" w:lineRule="auto"/>
        <w:tabs>
          <w:tab w:leader="none" w:pos="9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Sole Dispositive Power 0</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3" w:lineRule="exact"/>
        <w:rPr>
          <w:rFonts w:ascii="Arial" w:cs="Arial" w:eastAsia="Arial" w:hAnsi="Arial"/>
          <w:sz w:val="18"/>
          <w:szCs w:val="18"/>
          <w:color w:val="auto"/>
        </w:rPr>
      </w:pPr>
    </w:p>
    <w:p>
      <w:pPr>
        <w:ind w:left="940" w:right="7480" w:hanging="506"/>
        <w:spacing w:after="0" w:line="342" w:lineRule="auto"/>
        <w:tabs>
          <w:tab w:leader="none" w:pos="940" w:val="left"/>
        </w:tabs>
        <w:numPr>
          <w:ilvl w:val="0"/>
          <w:numId w:val="3"/>
        </w:numPr>
        <w:rPr>
          <w:rFonts w:ascii="Arial" w:cs="Arial" w:eastAsia="Arial" w:hAnsi="Arial"/>
          <w:sz w:val="16"/>
          <w:szCs w:val="16"/>
          <w:color w:val="auto"/>
        </w:rPr>
      </w:pPr>
      <w:r>
        <w:rPr>
          <w:rFonts w:ascii="Arial" w:cs="Arial" w:eastAsia="Arial" w:hAnsi="Arial"/>
          <w:sz w:val="16"/>
          <w:szCs w:val="16"/>
          <w:color w:val="auto"/>
        </w:rPr>
        <w:t>Shared Dispositive Power 46,702,639 (1),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wp:posOffset>
            </wp:positionH>
            <wp:positionV relativeFrom="paragraph">
              <wp:posOffset>27940</wp:posOffset>
            </wp:positionV>
            <wp:extent cx="59944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994400" cy="8890"/>
                    </a:xfrm>
                    <a:prstGeom prst="rect">
                      <a:avLst/>
                    </a:prstGeom>
                    <a:noFill/>
                  </pic:spPr>
                </pic:pic>
              </a:graphicData>
            </a:graphic>
          </wp:anchor>
        </w:drawing>
        <w:drawing>
          <wp:anchor simplePos="0" relativeHeight="251657728" behindDoc="1" locked="0" layoutInCell="0" allowOverlap="1">
            <wp:simplePos x="0" y="0"/>
            <wp:positionH relativeFrom="column">
              <wp:posOffset>558800</wp:posOffset>
            </wp:positionH>
            <wp:positionV relativeFrom="paragraph">
              <wp:posOffset>-709295</wp:posOffset>
            </wp:positionV>
            <wp:extent cx="59944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994400" cy="8890"/>
                    </a:xfrm>
                    <a:prstGeom prst="rect">
                      <a:avLst/>
                    </a:prstGeom>
                    <a:noFill/>
                  </pic:spPr>
                </pic:pic>
              </a:graphicData>
            </a:graphic>
          </wp:anchor>
        </w:drawing>
        <w:drawing>
          <wp:anchor simplePos="0" relativeHeight="251657728" behindDoc="1" locked="0" layoutInCell="0" allowOverlap="1">
            <wp:simplePos x="0" y="0"/>
            <wp:positionH relativeFrom="column">
              <wp:posOffset>558800</wp:posOffset>
            </wp:positionH>
            <wp:positionV relativeFrom="paragraph">
              <wp:posOffset>-1446530</wp:posOffset>
            </wp:positionV>
            <wp:extent cx="59944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994400" cy="8890"/>
                    </a:xfrm>
                    <a:prstGeom prst="rect">
                      <a:avLst/>
                    </a:prstGeom>
                    <a:noFill/>
                  </pic:spPr>
                </pic:pic>
              </a:graphicData>
            </a:graphic>
          </wp:anchor>
        </w:drawing>
        <w:drawing>
          <wp:anchor simplePos="0" relativeHeight="251657728" behindDoc="1" locked="0" layoutInCell="0" allowOverlap="1">
            <wp:simplePos x="0" y="0"/>
            <wp:positionH relativeFrom="column">
              <wp:posOffset>558800</wp:posOffset>
            </wp:positionH>
            <wp:positionV relativeFrom="paragraph">
              <wp:posOffset>-2184400</wp:posOffset>
            </wp:positionV>
            <wp:extent cx="59944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99440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32" w:space="160"/>
            <w:col w:w="10280"/>
          </w:cols>
          <w:pgMar w:left="248" w:top="679" w:right="279" w:bottom="262" w:gutter="0" w:footer="0" w:header="0"/>
        </w:sectPr>
      </w:pPr>
    </w:p>
    <w:p>
      <w:pPr>
        <w:spacing w:after="0" w:line="200" w:lineRule="exact"/>
        <w:rPr>
          <w:sz w:val="20"/>
          <w:szCs w:val="20"/>
          <w:color w:val="auto"/>
        </w:rPr>
      </w:pPr>
    </w:p>
    <w:p>
      <w:pPr>
        <w:spacing w:after="0" w:line="237" w:lineRule="exact"/>
        <w:rPr>
          <w:sz w:val="20"/>
          <w:szCs w:val="20"/>
          <w:color w:val="auto"/>
        </w:rPr>
      </w:pPr>
    </w:p>
    <w:p>
      <w:pPr>
        <w:ind w:left="1092" w:right="5480" w:hanging="646"/>
        <w:spacing w:after="0" w:line="277" w:lineRule="auto"/>
        <w:tabs>
          <w:tab w:leader="none" w:pos="1092" w:val="left"/>
        </w:tabs>
        <w:numPr>
          <w:ilvl w:val="0"/>
          <w:numId w:val="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46,702,639 (1),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660400</wp:posOffset>
            </wp:positionH>
            <wp:positionV relativeFrom="paragraph">
              <wp:posOffset>57150</wp:posOffset>
            </wp:positionV>
            <wp:extent cx="65862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452"/>
        <w:spacing w:after="0"/>
        <w:tabs>
          <w:tab w:leader="none" w:pos="1072"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Check if the Aggregate Amount in Row (11) Excludes Certain Shares (See Instructions)  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660400</wp:posOffset>
            </wp:positionH>
            <wp:positionV relativeFrom="paragraph">
              <wp:posOffset>92075</wp:posOffset>
            </wp:positionV>
            <wp:extent cx="65862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1092" w:right="6520" w:hanging="646"/>
        <w:spacing w:after="0" w:line="277" w:lineRule="auto"/>
        <w:tabs>
          <w:tab w:leader="none" w:pos="1092"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Percent of Class Represented by Amount in Row 11 37.9% (3)</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3" w:lineRule="exact"/>
        <w:rPr>
          <w:rFonts w:ascii="Arial" w:cs="Arial" w:eastAsia="Arial" w:hAnsi="Arial"/>
          <w:sz w:val="18"/>
          <w:szCs w:val="18"/>
          <w:color w:val="auto"/>
        </w:rPr>
      </w:pPr>
    </w:p>
    <w:p>
      <w:pPr>
        <w:ind w:left="1092" w:hanging="646"/>
        <w:spacing w:after="0"/>
        <w:tabs>
          <w:tab w:leader="none" w:pos="1092" w:val="left"/>
        </w:tabs>
        <w:numPr>
          <w:ilvl w:val="1"/>
          <w:numId w:val="5"/>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092"/>
        <w:spacing w:after="0"/>
        <w:rPr>
          <w:rFonts w:ascii="Arial" w:cs="Arial" w:eastAsia="Arial" w:hAnsi="Arial"/>
          <w:sz w:val="18"/>
          <w:szCs w:val="18"/>
          <w:color w:val="auto"/>
        </w:rPr>
      </w:pPr>
      <w:r>
        <w:rPr>
          <w:rFonts w:ascii="Arial" w:cs="Arial" w:eastAsia="Arial" w:hAnsi="Arial"/>
          <w:sz w:val="18"/>
          <w:szCs w:val="18"/>
          <w:color w:val="auto"/>
        </w:rPr>
        <w:t>CO</w:t>
      </w:r>
    </w:p>
    <w:p>
      <w:pPr>
        <w:spacing w:after="0" w:line="200" w:lineRule="exact"/>
        <w:rPr>
          <w:rFonts w:ascii="Arial" w:cs="Arial" w:eastAsia="Arial" w:hAnsi="Arial"/>
          <w:sz w:val="18"/>
          <w:szCs w:val="18"/>
          <w:color w:val="auto"/>
        </w:rPr>
      </w:pPr>
    </w:p>
    <w:p>
      <w:pPr>
        <w:spacing w:after="0" w:line="375" w:lineRule="exact"/>
        <w:rPr>
          <w:rFonts w:ascii="Arial" w:cs="Arial" w:eastAsia="Arial" w:hAnsi="Arial"/>
          <w:sz w:val="18"/>
          <w:szCs w:val="18"/>
          <w:color w:val="auto"/>
        </w:rPr>
      </w:pPr>
    </w:p>
    <w:p>
      <w:pPr>
        <w:ind w:left="512" w:hanging="512"/>
        <w:spacing w:after="0" w:line="259" w:lineRule="auto"/>
        <w:tabs>
          <w:tab w:leader="none" w:pos="512" w:val="left"/>
        </w:tabs>
        <w:numPr>
          <w:ilvl w:val="0"/>
          <w:numId w:val="6"/>
        </w:numPr>
        <w:rPr>
          <w:rFonts w:ascii="Arial" w:cs="Arial" w:eastAsia="Arial" w:hAnsi="Arial"/>
          <w:sz w:val="18"/>
          <w:szCs w:val="18"/>
          <w:color w:val="auto"/>
        </w:rPr>
      </w:pPr>
      <w:r>
        <w:rPr>
          <w:rFonts w:ascii="Arial" w:cs="Arial" w:eastAsia="Arial" w:hAnsi="Arial"/>
          <w:sz w:val="18"/>
          <w:szCs w:val="18"/>
          <w:color w:val="auto"/>
        </w:rPr>
        <w:t>Aruze USA, Inc. is a wholly owned subsidiary of Aruze Corp., of which Mr. Kazuo Okada owns a controlling interest and is its Chairman. The subject securities were acquired and are owned by Aruze USA, Inc. but may be considered beneficially owned by Aruze Corp. and Kazuo Okada. Accordingly, Aruze USA, Inc., Aruze Corp. and Mr. Okada may be deemed to have shared voting and dispositive power over the shares which are owned by Aruze USA, Inc.</w:t>
      </w:r>
    </w:p>
    <w:p>
      <w:pPr>
        <w:spacing w:after="0" w:line="186" w:lineRule="exact"/>
        <w:rPr>
          <w:rFonts w:ascii="Arial" w:cs="Arial" w:eastAsia="Arial" w:hAnsi="Arial"/>
          <w:sz w:val="18"/>
          <w:szCs w:val="18"/>
          <w:color w:val="auto"/>
        </w:rPr>
      </w:pPr>
    </w:p>
    <w:p>
      <w:pPr>
        <w:ind w:left="512" w:hanging="512"/>
        <w:spacing w:after="0" w:line="279" w:lineRule="auto"/>
        <w:tabs>
          <w:tab w:leader="none" w:pos="512" w:val="left"/>
        </w:tabs>
        <w:numPr>
          <w:ilvl w:val="0"/>
          <w:numId w:val="6"/>
        </w:numPr>
        <w:rPr>
          <w:rFonts w:ascii="Arial" w:cs="Arial" w:eastAsia="Arial" w:hAnsi="Arial"/>
          <w:sz w:val="17"/>
          <w:szCs w:val="17"/>
          <w:color w:val="auto"/>
        </w:rPr>
      </w:pPr>
      <w:r>
        <w:rPr>
          <w:rFonts w:ascii="Arial" w:cs="Arial" w:eastAsia="Arial" w:hAnsi="Arial"/>
          <w:sz w:val="17"/>
          <w:szCs w:val="17"/>
          <w:color w:val="auto"/>
        </w:rPr>
        <w:t>Includes 22,153,417 shares held by Stephen A. Wynn (the “Wynn Shares”) that are beneficially owned by the Reporting Person as a result of that certain stockholders agreement, dated as of April 11, 2002, among Mr. Wynn, Aruze USA, Inc. and Baron Investment Funds Trust (formerly known as Baron Asset Fund) (“Baron”), as amended on November 8, 2006 and as further amended by that certain Waiver and Consent dated July 31, 2009 and that certain Waiver and Consent dated August 13, 2009 (the “Stockholders Agreement”).</w:t>
      </w:r>
    </w:p>
    <w:p>
      <w:pPr>
        <w:spacing w:after="0" w:line="171" w:lineRule="exact"/>
        <w:rPr>
          <w:rFonts w:ascii="Arial" w:cs="Arial" w:eastAsia="Arial" w:hAnsi="Arial"/>
          <w:sz w:val="17"/>
          <w:szCs w:val="17"/>
          <w:color w:val="auto"/>
        </w:rPr>
      </w:pPr>
    </w:p>
    <w:p>
      <w:pPr>
        <w:ind w:left="512" w:right="100" w:hanging="512"/>
        <w:spacing w:after="0" w:line="264" w:lineRule="auto"/>
        <w:tabs>
          <w:tab w:leader="none" w:pos="512"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aggregate percentage of the outstanding shares that the Reporting Person may be deemed to beneficially own is approximately 37.9%. Excluding the Wynn Shares that the Reporting Person may be deemed to beneficially own as a result of the Stockholders Agreement, the Reporting Person directly beneficially owns approximately 19.9% of the outstanding shares. (See Item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660400</wp:posOffset>
            </wp:positionH>
            <wp:positionV relativeFrom="paragraph">
              <wp:posOffset>-2087880</wp:posOffset>
            </wp:positionV>
            <wp:extent cx="65862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586220" cy="8890"/>
                    </a:xfrm>
                    <a:prstGeom prst="rect">
                      <a:avLst/>
                    </a:prstGeom>
                    <a:noFill/>
                  </pic:spPr>
                </pic:pic>
              </a:graphicData>
            </a:graphic>
          </wp:anchor>
        </w:drawing>
        <w:drawing>
          <wp:anchor simplePos="0" relativeHeight="251657728" behindDoc="1" locked="0" layoutInCell="0" allowOverlap="1">
            <wp:simplePos x="0" y="0"/>
            <wp:positionH relativeFrom="column">
              <wp:posOffset>660400</wp:posOffset>
            </wp:positionH>
            <wp:positionV relativeFrom="paragraph">
              <wp:posOffset>-2825115</wp:posOffset>
            </wp:positionV>
            <wp:extent cx="65862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58622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-1873250</wp:posOffset>
            </wp:positionV>
            <wp:extent cx="182689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161"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52"/>
        <w:spacing w:after="0"/>
        <w:rPr>
          <w:sz w:val="20"/>
          <w:szCs w:val="20"/>
          <w:color w:val="auto"/>
        </w:rPr>
      </w:pPr>
      <w:r>
        <w:rPr>
          <w:rFonts w:ascii="Arial" w:cs="Arial" w:eastAsia="Arial" w:hAnsi="Arial"/>
          <w:sz w:val="18"/>
          <w:szCs w:val="18"/>
          <w:color w:val="auto"/>
        </w:rPr>
        <w:t>CUSIP No.  983134 10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92075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72"/>
          </w:cols>
          <w:pgMar w:left="248" w:top="679" w:right="279" w:bottom="262" w:gutter="0" w:footer="0" w:header="0"/>
          <w:type w:val="continuous"/>
        </w:sectPr>
      </w:pPr>
    </w:p>
    <w:bookmarkStart w:id="2" w:name="page3"/>
    <w:bookmarkEnd w:id="2"/>
    <w:p>
      <w:pPr>
        <w:spacing w:after="0" w:line="56" w:lineRule="exact"/>
        <w:rPr>
          <w:sz w:val="20"/>
          <w:szCs w:val="20"/>
          <w:color w:val="auto"/>
        </w:rPr>
      </w:pPr>
    </w:p>
    <w:p>
      <w:pPr>
        <w:ind w:left="1092" w:right="8160" w:hanging="646"/>
        <w:spacing w:after="0" w:line="277" w:lineRule="auto"/>
        <w:tabs>
          <w:tab w:leader="none" w:pos="1092" w:val="left"/>
        </w:tabs>
        <w:numPr>
          <w:ilvl w:val="0"/>
          <w:numId w:val="7"/>
        </w:numPr>
        <w:rPr>
          <w:rFonts w:ascii="Arial" w:cs="Arial" w:eastAsia="Arial" w:hAnsi="Arial"/>
          <w:sz w:val="18"/>
          <w:szCs w:val="18"/>
          <w:color w:val="auto"/>
        </w:rPr>
      </w:pPr>
      <w:r>
        <w:rPr>
          <w:rFonts w:ascii="Arial" w:cs="Arial" w:eastAsia="Arial" w:hAnsi="Arial"/>
          <w:sz w:val="18"/>
          <w:szCs w:val="18"/>
          <w:color w:val="auto"/>
        </w:rPr>
        <w:t>Names of Reporting Persons. Aruze Corp. (1)</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3" w:lineRule="exact"/>
        <w:rPr>
          <w:rFonts w:ascii="Arial" w:cs="Arial" w:eastAsia="Arial" w:hAnsi="Arial"/>
          <w:sz w:val="18"/>
          <w:szCs w:val="18"/>
          <w:color w:val="auto"/>
        </w:rPr>
      </w:pPr>
    </w:p>
    <w:p>
      <w:pPr>
        <w:ind w:left="1092" w:hanging="646"/>
        <w:spacing w:after="0"/>
        <w:tabs>
          <w:tab w:leader="none" w:pos="1092" w:val="left"/>
        </w:tabs>
        <w:numPr>
          <w:ilvl w:val="0"/>
          <w:numId w:val="7"/>
        </w:numPr>
        <w:rPr>
          <w:rFonts w:ascii="Arial" w:cs="Arial" w:eastAsia="Arial" w:hAnsi="Arial"/>
          <w:sz w:val="16"/>
          <w:szCs w:val="16"/>
          <w:color w:val="auto"/>
        </w:rPr>
      </w:pPr>
      <w:r>
        <w:rPr>
          <w:rFonts w:ascii="Arial" w:cs="Arial" w:eastAsia="Arial" w:hAnsi="Arial"/>
          <w:sz w:val="16"/>
          <w:szCs w:val="16"/>
          <w:color w:val="auto"/>
        </w:rPr>
        <w:t>Check the Appropriate Box if a Member of a Group (See Instructions)</w:t>
      </w:r>
    </w:p>
    <w:p>
      <w:pPr>
        <w:spacing w:after="0" w:line="288" w:lineRule="exact"/>
        <w:rPr>
          <w:rFonts w:ascii="Arial" w:cs="Arial" w:eastAsia="Arial" w:hAnsi="Arial"/>
          <w:sz w:val="16"/>
          <w:szCs w:val="16"/>
          <w:color w:val="auto"/>
        </w:rPr>
      </w:pPr>
    </w:p>
    <w:p>
      <w:pPr>
        <w:ind w:left="2152" w:hanging="1058"/>
        <w:spacing w:after="0"/>
        <w:tabs>
          <w:tab w:leader="none" w:pos="2152" w:val="left"/>
        </w:tabs>
        <w:numPr>
          <w:ilvl w:val="1"/>
          <w:numId w:val="7"/>
        </w:numPr>
        <w:rPr>
          <w:rFonts w:ascii="Arial" w:cs="Arial" w:eastAsia="Arial" w:hAnsi="Arial"/>
          <w:sz w:val="18"/>
          <w:szCs w:val="18"/>
          <w:color w:val="auto"/>
        </w:rPr>
      </w:pPr>
      <w:r>
        <w:rPr>
          <w:rFonts w:ascii="Arial" w:cs="Arial" w:eastAsia="Arial" w:hAnsi="Arial"/>
          <w:sz w:val="18"/>
          <w:szCs w:val="18"/>
          <w:color w:val="auto"/>
        </w:rPr>
        <w:t>x</w:t>
      </w:r>
    </w:p>
    <w:p>
      <w:pPr>
        <w:spacing w:after="0" w:line="198" w:lineRule="exact"/>
        <w:rPr>
          <w:rFonts w:ascii="Arial" w:cs="Arial" w:eastAsia="Arial" w:hAnsi="Arial"/>
          <w:sz w:val="18"/>
          <w:szCs w:val="18"/>
          <w:color w:val="auto"/>
        </w:rPr>
      </w:pPr>
    </w:p>
    <w:p>
      <w:pPr>
        <w:ind w:left="2152" w:hanging="1058"/>
        <w:spacing w:after="0"/>
        <w:tabs>
          <w:tab w:leader="none" w:pos="2152" w:val="left"/>
        </w:tabs>
        <w:numPr>
          <w:ilvl w:val="1"/>
          <w:numId w:val="7"/>
        </w:numPr>
        <w:rPr>
          <w:rFonts w:ascii="Arial" w:cs="Arial" w:eastAsia="Arial" w:hAnsi="Arial"/>
          <w:sz w:val="18"/>
          <w:szCs w:val="18"/>
          <w:color w:val="auto"/>
        </w:rPr>
      </w:pPr>
      <w:r>
        <w:rPr>
          <w:rFonts w:ascii="Arial" w:cs="Arial" w:eastAsia="Arial" w:hAnsi="Arial"/>
          <w:sz w:val="18"/>
          <w:szCs w:val="18"/>
          <w:color w:val="auto"/>
        </w:rPr>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1303655</wp:posOffset>
            </wp:positionH>
            <wp:positionV relativeFrom="paragraph">
              <wp:posOffset>40640</wp:posOffset>
            </wp:positionV>
            <wp:extent cx="594296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942965" cy="8890"/>
                    </a:xfrm>
                    <a:prstGeom prst="rect">
                      <a:avLst/>
                    </a:prstGeom>
                    <a:noFill/>
                  </pic:spPr>
                </pic:pic>
              </a:graphicData>
            </a:graphic>
          </wp:anchor>
        </w:drawing>
        <w:drawing>
          <wp:anchor simplePos="0" relativeHeight="251657728" behindDoc="1" locked="0" layoutInCell="0" allowOverlap="1">
            <wp:simplePos x="0" y="0"/>
            <wp:positionH relativeFrom="column">
              <wp:posOffset>1303655</wp:posOffset>
            </wp:positionH>
            <wp:positionV relativeFrom="paragraph">
              <wp:posOffset>-215900</wp:posOffset>
            </wp:positionV>
            <wp:extent cx="594296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942965" cy="8890"/>
                    </a:xfrm>
                    <a:prstGeom prst="rect">
                      <a:avLst/>
                    </a:prstGeom>
                    <a:noFill/>
                  </pic:spPr>
                </pic:pic>
              </a:graphicData>
            </a:graphic>
          </wp:anchor>
        </w:drawing>
        <w:drawing>
          <wp:anchor simplePos="0" relativeHeight="251657728" behindDoc="1" locked="0" layoutInCell="0" allowOverlap="1">
            <wp:simplePos x="0" y="0"/>
            <wp:positionH relativeFrom="column">
              <wp:posOffset>660400</wp:posOffset>
            </wp:positionH>
            <wp:positionV relativeFrom="paragraph">
              <wp:posOffset>-1064895</wp:posOffset>
            </wp:positionV>
            <wp:extent cx="65862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ectPr>
          <w:pgSz w:w="11900" w:h="16894" w:orient="portrait"/>
          <w:cols w:equalWidth="0" w:num="1">
            <w:col w:w="11372"/>
          </w:cols>
          <w:pgMar w:left="248" w:top="125" w:right="27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52"/>
        <w:spacing w:after="0"/>
        <w:rPr>
          <w:sz w:val="20"/>
          <w:szCs w:val="20"/>
          <w:color w:val="auto"/>
        </w:rPr>
      </w:pPr>
      <w:r>
        <w:rPr>
          <w:rFonts w:ascii="Arial" w:cs="Arial" w:eastAsia="Arial" w:hAnsi="Arial"/>
          <w:sz w:val="18"/>
          <w:szCs w:val="18"/>
          <w:color w:val="auto"/>
        </w:rPr>
        <w:t>3.</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452"/>
        <w:spacing w:after="0"/>
        <w:rPr>
          <w:sz w:val="20"/>
          <w:szCs w:val="20"/>
          <w:color w:val="auto"/>
        </w:rPr>
      </w:pPr>
      <w:r>
        <w:rPr>
          <w:rFonts w:ascii="Arial" w:cs="Arial" w:eastAsia="Arial" w:hAnsi="Arial"/>
          <w:sz w:val="18"/>
          <w:szCs w:val="18"/>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452"/>
        <w:spacing w:after="0"/>
        <w:rPr>
          <w:sz w:val="20"/>
          <w:szCs w:val="20"/>
          <w:color w:val="auto"/>
        </w:rPr>
      </w:pPr>
      <w:r>
        <w:rPr>
          <w:rFonts w:ascii="Arial" w:cs="Arial" w:eastAsia="Arial" w:hAnsi="Arial"/>
          <w:sz w:val="18"/>
          <w:szCs w:val="18"/>
          <w:color w:val="auto"/>
        </w:rPr>
        <w:t>5.</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452"/>
        <w:spacing w:after="0"/>
        <w:rPr>
          <w:sz w:val="20"/>
          <w:szCs w:val="20"/>
          <w:color w:val="auto"/>
        </w:rPr>
      </w:pPr>
      <w:r>
        <w:rPr>
          <w:rFonts w:ascii="Arial" w:cs="Arial" w:eastAsia="Arial" w:hAnsi="Arial"/>
          <w:sz w:val="18"/>
          <w:szCs w:val="18"/>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52"/>
        <w:spacing w:after="0"/>
        <w:rPr>
          <w:sz w:val="20"/>
          <w:szCs w:val="20"/>
          <w:color w:val="auto"/>
        </w:rPr>
      </w:pPr>
      <w:r>
        <w:rPr>
          <w:rFonts w:ascii="Arial" w:cs="Arial" w:eastAsia="Arial" w:hAnsi="Arial"/>
          <w:sz w:val="18"/>
          <w:szCs w:val="18"/>
          <w:color w:val="auto"/>
        </w:rPr>
        <w:t>Number of</w:t>
      </w:r>
    </w:p>
    <w:p>
      <w:pPr>
        <w:spacing w:after="0" w:line="23" w:lineRule="exact"/>
        <w:rPr>
          <w:sz w:val="20"/>
          <w:szCs w:val="20"/>
          <w:color w:val="auto"/>
        </w:rPr>
      </w:pPr>
    </w:p>
    <w:p>
      <w:pPr>
        <w:ind w:left="52"/>
        <w:spacing w:after="0"/>
        <w:rPr>
          <w:sz w:val="20"/>
          <w:szCs w:val="20"/>
          <w:color w:val="auto"/>
        </w:rPr>
      </w:pPr>
      <w:r>
        <w:rPr>
          <w:rFonts w:ascii="Arial" w:cs="Arial" w:eastAsia="Arial" w:hAnsi="Arial"/>
          <w:sz w:val="18"/>
          <w:szCs w:val="18"/>
          <w:color w:val="auto"/>
        </w:rPr>
        <w:t>Shares</w:t>
      </w:r>
    </w:p>
    <w:p>
      <w:pPr>
        <w:spacing w:after="0" w:line="9" w:lineRule="exact"/>
        <w:rPr>
          <w:sz w:val="20"/>
          <w:szCs w:val="20"/>
          <w:color w:val="auto"/>
        </w:rPr>
      </w:pPr>
    </w:p>
    <w:p>
      <w:pPr>
        <w:ind w:left="52"/>
        <w:spacing w:after="0"/>
        <w:rPr>
          <w:sz w:val="20"/>
          <w:szCs w:val="20"/>
          <w:color w:val="auto"/>
        </w:rPr>
      </w:pPr>
      <w:r>
        <w:rPr>
          <w:rFonts w:ascii="Arial" w:cs="Arial" w:eastAsia="Arial" w:hAnsi="Arial"/>
          <w:sz w:val="17"/>
          <w:szCs w:val="17"/>
          <w:color w:val="auto"/>
        </w:rPr>
        <w:t>Beneficially</w:t>
      </w:r>
    </w:p>
    <w:p>
      <w:pPr>
        <w:spacing w:after="0" w:line="21" w:lineRule="exact"/>
        <w:rPr>
          <w:sz w:val="20"/>
          <w:szCs w:val="20"/>
          <w:color w:val="auto"/>
        </w:rPr>
      </w:pPr>
    </w:p>
    <w:p>
      <w:pPr>
        <w:ind w:left="52"/>
        <w:spacing w:after="0"/>
        <w:rPr>
          <w:sz w:val="20"/>
          <w:szCs w:val="20"/>
          <w:color w:val="auto"/>
        </w:rPr>
      </w:pPr>
      <w:r>
        <w:rPr>
          <w:rFonts w:ascii="Arial" w:cs="Arial" w:eastAsia="Arial" w:hAnsi="Arial"/>
          <w:sz w:val="18"/>
          <w:szCs w:val="18"/>
          <w:color w:val="auto"/>
        </w:rPr>
        <w:t>Owned by</w:t>
      </w:r>
    </w:p>
    <w:p>
      <w:pPr>
        <w:spacing w:after="0" w:line="9" w:lineRule="exact"/>
        <w:rPr>
          <w:sz w:val="20"/>
          <w:szCs w:val="20"/>
          <w:color w:val="auto"/>
        </w:rPr>
      </w:pPr>
    </w:p>
    <w:p>
      <w:pPr>
        <w:ind w:left="52"/>
        <w:spacing w:after="0"/>
        <w:rPr>
          <w:sz w:val="20"/>
          <w:szCs w:val="20"/>
          <w:color w:val="auto"/>
        </w:rPr>
      </w:pPr>
      <w:r>
        <w:rPr>
          <w:rFonts w:ascii="Arial" w:cs="Arial" w:eastAsia="Arial" w:hAnsi="Arial"/>
          <w:sz w:val="18"/>
          <w:szCs w:val="18"/>
          <w:color w:val="auto"/>
        </w:rPr>
        <w:t>Each</w:t>
      </w:r>
    </w:p>
    <w:p>
      <w:pPr>
        <w:spacing w:after="0" w:line="9" w:lineRule="exact"/>
        <w:rPr>
          <w:sz w:val="20"/>
          <w:szCs w:val="20"/>
          <w:color w:val="auto"/>
        </w:rPr>
      </w:pPr>
    </w:p>
    <w:p>
      <w:pPr>
        <w:ind w:left="52"/>
        <w:spacing w:after="0"/>
        <w:rPr>
          <w:sz w:val="20"/>
          <w:szCs w:val="20"/>
          <w:color w:val="auto"/>
        </w:rPr>
      </w:pPr>
      <w:r>
        <w:rPr>
          <w:rFonts w:ascii="Arial" w:cs="Arial" w:eastAsia="Arial" w:hAnsi="Arial"/>
          <w:sz w:val="18"/>
          <w:szCs w:val="18"/>
          <w:color w:val="auto"/>
        </w:rPr>
        <w:t>Reporting</w:t>
      </w:r>
    </w:p>
    <w:p>
      <w:pPr>
        <w:spacing w:after="0" w:line="9" w:lineRule="exact"/>
        <w:rPr>
          <w:sz w:val="20"/>
          <w:szCs w:val="20"/>
          <w:color w:val="auto"/>
        </w:rPr>
      </w:pPr>
    </w:p>
    <w:p>
      <w:pPr>
        <w:ind w:left="52"/>
        <w:spacing w:after="0"/>
        <w:rPr>
          <w:sz w:val="20"/>
          <w:szCs w:val="20"/>
          <w:color w:val="auto"/>
        </w:rPr>
      </w:pPr>
      <w:r>
        <w:rPr>
          <w:rFonts w:ascii="Arial" w:cs="Arial" w:eastAsia="Arial" w:hAnsi="Arial"/>
          <w:sz w:val="16"/>
          <w:szCs w:val="16"/>
          <w:color w:val="auto"/>
        </w:rPr>
        <w:t>Person With</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92075</wp:posOffset>
            </wp:positionV>
            <wp:extent cx="65862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color w:val="auto"/>
        </w:rPr>
        <w:t>Source of Funds (See Instructions)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83185</wp:posOffset>
            </wp:positionV>
            <wp:extent cx="65862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tabs>
          <w:tab w:leader="none" w:pos="6280" w:val="left"/>
        </w:tabs>
        <w:rPr>
          <w:sz w:val="20"/>
          <w:szCs w:val="20"/>
          <w:color w:val="auto"/>
        </w:rPr>
      </w:pPr>
      <w:r>
        <w:rPr>
          <w:rFonts w:ascii="Arial" w:cs="Arial" w:eastAsia="Arial" w:hAnsi="Arial"/>
          <w:sz w:val="17"/>
          <w:szCs w:val="17"/>
          <w:color w:val="auto"/>
        </w:rPr>
        <w:t>Check if Disclosure of Legal Proceedings Is Required Pursuant to Items 2(d) or 2(e)</w:t>
      </w:r>
      <w:r>
        <w:rPr>
          <w:sz w:val="20"/>
          <w:szCs w:val="20"/>
          <w:color w:val="auto"/>
        </w:rPr>
        <w:tab/>
      </w:r>
      <w:r>
        <w:rPr>
          <w:rFonts w:ascii="Arial" w:cs="Arial" w:eastAsia="Arial" w:hAnsi="Arial"/>
          <w:sz w:val="14"/>
          <w:szCs w:val="14"/>
          <w:color w:val="auto"/>
        </w:rPr>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99060</wp:posOffset>
            </wp:positionV>
            <wp:extent cx="65862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color w:val="auto"/>
        </w:rPr>
        <w:t>Citizenship or Place of Organization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Japan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83185</wp:posOffset>
            </wp:positionV>
            <wp:extent cx="65862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940" w:right="8000" w:hanging="506"/>
        <w:spacing w:after="0" w:line="277" w:lineRule="auto"/>
        <w:tabs>
          <w:tab w:leader="none" w:pos="940" w:val="left"/>
        </w:tabs>
        <w:numPr>
          <w:ilvl w:val="0"/>
          <w:numId w:val="8"/>
        </w:numPr>
        <w:rPr>
          <w:rFonts w:ascii="Arial" w:cs="Arial" w:eastAsia="Arial" w:hAnsi="Arial"/>
          <w:sz w:val="18"/>
          <w:szCs w:val="18"/>
          <w:color w:val="auto"/>
        </w:rPr>
      </w:pPr>
      <w:r>
        <w:rPr>
          <w:rFonts w:ascii="Arial" w:cs="Arial" w:eastAsia="Arial" w:hAnsi="Arial"/>
          <w:sz w:val="18"/>
          <w:szCs w:val="18"/>
          <w:color w:val="auto"/>
        </w:rPr>
        <w:t>Sole Voting Power 0</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3" w:lineRule="exact"/>
        <w:rPr>
          <w:rFonts w:ascii="Arial" w:cs="Arial" w:eastAsia="Arial" w:hAnsi="Arial"/>
          <w:sz w:val="18"/>
          <w:szCs w:val="18"/>
          <w:color w:val="auto"/>
        </w:rPr>
      </w:pPr>
    </w:p>
    <w:p>
      <w:pPr>
        <w:ind w:left="940" w:right="7820" w:hanging="506"/>
        <w:spacing w:after="0" w:line="342" w:lineRule="auto"/>
        <w:tabs>
          <w:tab w:leader="none" w:pos="940" w:val="left"/>
        </w:tabs>
        <w:numPr>
          <w:ilvl w:val="0"/>
          <w:numId w:val="8"/>
        </w:numPr>
        <w:rPr>
          <w:rFonts w:ascii="Arial" w:cs="Arial" w:eastAsia="Arial" w:hAnsi="Arial"/>
          <w:sz w:val="16"/>
          <w:szCs w:val="16"/>
          <w:color w:val="auto"/>
        </w:rPr>
      </w:pPr>
      <w:r>
        <w:rPr>
          <w:rFonts w:ascii="Arial" w:cs="Arial" w:eastAsia="Arial" w:hAnsi="Arial"/>
          <w:sz w:val="16"/>
          <w:szCs w:val="16"/>
          <w:color w:val="auto"/>
        </w:rPr>
        <w:t>Shared Voting Power 46,702,639 (1), (2)</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37" w:lineRule="exact"/>
        <w:rPr>
          <w:rFonts w:ascii="Arial" w:cs="Arial" w:eastAsia="Arial" w:hAnsi="Arial"/>
          <w:sz w:val="16"/>
          <w:szCs w:val="16"/>
          <w:color w:val="auto"/>
        </w:rPr>
      </w:pPr>
    </w:p>
    <w:p>
      <w:pPr>
        <w:ind w:left="940" w:right="7660" w:hanging="506"/>
        <w:spacing w:after="0" w:line="277" w:lineRule="auto"/>
        <w:tabs>
          <w:tab w:leader="none" w:pos="940" w:val="left"/>
        </w:tabs>
        <w:numPr>
          <w:ilvl w:val="0"/>
          <w:numId w:val="8"/>
        </w:numPr>
        <w:rPr>
          <w:rFonts w:ascii="Arial" w:cs="Arial" w:eastAsia="Arial" w:hAnsi="Arial"/>
          <w:sz w:val="18"/>
          <w:szCs w:val="18"/>
          <w:color w:val="auto"/>
        </w:rPr>
      </w:pPr>
      <w:r>
        <w:rPr>
          <w:rFonts w:ascii="Arial" w:cs="Arial" w:eastAsia="Arial" w:hAnsi="Arial"/>
          <w:sz w:val="18"/>
          <w:szCs w:val="18"/>
          <w:color w:val="auto"/>
        </w:rPr>
        <w:t>Sole Dispositive Power 0</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3" w:lineRule="exact"/>
        <w:rPr>
          <w:rFonts w:ascii="Arial" w:cs="Arial" w:eastAsia="Arial" w:hAnsi="Arial"/>
          <w:sz w:val="18"/>
          <w:szCs w:val="18"/>
          <w:color w:val="auto"/>
        </w:rPr>
      </w:pPr>
    </w:p>
    <w:p>
      <w:pPr>
        <w:ind w:left="940" w:right="7480" w:hanging="506"/>
        <w:spacing w:after="0" w:line="342" w:lineRule="auto"/>
        <w:tabs>
          <w:tab w:leader="none" w:pos="940" w:val="left"/>
        </w:tabs>
        <w:numPr>
          <w:ilvl w:val="0"/>
          <w:numId w:val="8"/>
        </w:numPr>
        <w:rPr>
          <w:rFonts w:ascii="Arial" w:cs="Arial" w:eastAsia="Arial" w:hAnsi="Arial"/>
          <w:sz w:val="16"/>
          <w:szCs w:val="16"/>
          <w:color w:val="auto"/>
        </w:rPr>
      </w:pPr>
      <w:r>
        <w:rPr>
          <w:rFonts w:ascii="Arial" w:cs="Arial" w:eastAsia="Arial" w:hAnsi="Arial"/>
          <w:sz w:val="16"/>
          <w:szCs w:val="16"/>
          <w:color w:val="auto"/>
        </w:rPr>
        <w:t>Shared Dispositive Power 46,702,639 (1),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wp:posOffset>
            </wp:positionH>
            <wp:positionV relativeFrom="paragraph">
              <wp:posOffset>27940</wp:posOffset>
            </wp:positionV>
            <wp:extent cx="59944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994400" cy="8890"/>
                    </a:xfrm>
                    <a:prstGeom prst="rect">
                      <a:avLst/>
                    </a:prstGeom>
                    <a:noFill/>
                  </pic:spPr>
                </pic:pic>
              </a:graphicData>
            </a:graphic>
          </wp:anchor>
        </w:drawing>
        <w:drawing>
          <wp:anchor simplePos="0" relativeHeight="251657728" behindDoc="1" locked="0" layoutInCell="0" allowOverlap="1">
            <wp:simplePos x="0" y="0"/>
            <wp:positionH relativeFrom="column">
              <wp:posOffset>558800</wp:posOffset>
            </wp:positionH>
            <wp:positionV relativeFrom="paragraph">
              <wp:posOffset>-709295</wp:posOffset>
            </wp:positionV>
            <wp:extent cx="59944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994400" cy="8890"/>
                    </a:xfrm>
                    <a:prstGeom prst="rect">
                      <a:avLst/>
                    </a:prstGeom>
                    <a:noFill/>
                  </pic:spPr>
                </pic:pic>
              </a:graphicData>
            </a:graphic>
          </wp:anchor>
        </w:drawing>
        <w:drawing>
          <wp:anchor simplePos="0" relativeHeight="251657728" behindDoc="1" locked="0" layoutInCell="0" allowOverlap="1">
            <wp:simplePos x="0" y="0"/>
            <wp:positionH relativeFrom="column">
              <wp:posOffset>558800</wp:posOffset>
            </wp:positionH>
            <wp:positionV relativeFrom="paragraph">
              <wp:posOffset>-1446530</wp:posOffset>
            </wp:positionV>
            <wp:extent cx="59944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994400" cy="8890"/>
                    </a:xfrm>
                    <a:prstGeom prst="rect">
                      <a:avLst/>
                    </a:prstGeom>
                    <a:noFill/>
                  </pic:spPr>
                </pic:pic>
              </a:graphicData>
            </a:graphic>
          </wp:anchor>
        </w:drawing>
        <w:drawing>
          <wp:anchor simplePos="0" relativeHeight="251657728" behindDoc="1" locked="0" layoutInCell="0" allowOverlap="1">
            <wp:simplePos x="0" y="0"/>
            <wp:positionH relativeFrom="column">
              <wp:posOffset>558800</wp:posOffset>
            </wp:positionH>
            <wp:positionV relativeFrom="paragraph">
              <wp:posOffset>-2184400</wp:posOffset>
            </wp:positionV>
            <wp:extent cx="59944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994400" cy="8890"/>
                    </a:xfrm>
                    <a:prstGeom prst="rect">
                      <a:avLst/>
                    </a:prstGeom>
                    <a:noFill/>
                  </pic:spPr>
                </pic:pic>
              </a:graphicData>
            </a:graphic>
          </wp:anchor>
        </w:drawing>
      </w:r>
    </w:p>
    <w:p>
      <w:pPr>
        <w:spacing w:after="0" w:line="200" w:lineRule="exact"/>
        <w:rPr>
          <w:sz w:val="20"/>
          <w:szCs w:val="20"/>
          <w:color w:val="auto"/>
        </w:rPr>
      </w:pPr>
    </w:p>
    <w:p>
      <w:pPr>
        <w:sectPr>
          <w:pgSz w:w="11900" w:h="16894" w:orient="portrait"/>
          <w:cols w:equalWidth="0" w:num="2">
            <w:col w:w="932" w:space="160"/>
            <w:col w:w="10280"/>
          </w:cols>
          <w:pgMar w:left="248" w:top="125" w:right="279" w:bottom="0" w:gutter="0" w:footer="0" w:header="0"/>
          <w:type w:val="continuous"/>
        </w:sectPr>
      </w:pPr>
    </w:p>
    <w:p>
      <w:pPr>
        <w:spacing w:after="0" w:line="200" w:lineRule="exact"/>
        <w:rPr>
          <w:sz w:val="20"/>
          <w:szCs w:val="20"/>
          <w:color w:val="auto"/>
        </w:rPr>
      </w:pPr>
    </w:p>
    <w:p>
      <w:pPr>
        <w:spacing w:after="0" w:line="237" w:lineRule="exact"/>
        <w:rPr>
          <w:sz w:val="20"/>
          <w:szCs w:val="20"/>
          <w:color w:val="auto"/>
        </w:rPr>
      </w:pPr>
    </w:p>
    <w:p>
      <w:pPr>
        <w:ind w:left="1092" w:right="5480" w:hanging="646"/>
        <w:spacing w:after="0" w:line="277" w:lineRule="auto"/>
        <w:tabs>
          <w:tab w:leader="none" w:pos="1092" w:val="left"/>
        </w:tabs>
        <w:numPr>
          <w:ilvl w:val="0"/>
          <w:numId w:val="9"/>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46,702,639 (1),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660400</wp:posOffset>
            </wp:positionH>
            <wp:positionV relativeFrom="paragraph">
              <wp:posOffset>57150</wp:posOffset>
            </wp:positionV>
            <wp:extent cx="65862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452"/>
        <w:spacing w:after="0"/>
        <w:tabs>
          <w:tab w:leader="none" w:pos="1072"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Check if the Aggregate Amount in Row (11) Excludes Certain Shares (See Instructions)  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660400</wp:posOffset>
            </wp:positionH>
            <wp:positionV relativeFrom="paragraph">
              <wp:posOffset>92075</wp:posOffset>
            </wp:positionV>
            <wp:extent cx="65862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1092" w:right="6520" w:hanging="646"/>
        <w:spacing w:after="0" w:line="277" w:lineRule="auto"/>
        <w:tabs>
          <w:tab w:leader="none" w:pos="1092" w:val="left"/>
        </w:tabs>
        <w:numPr>
          <w:ilvl w:val="1"/>
          <w:numId w:val="10"/>
        </w:numPr>
        <w:rPr>
          <w:rFonts w:ascii="Arial" w:cs="Arial" w:eastAsia="Arial" w:hAnsi="Arial"/>
          <w:sz w:val="18"/>
          <w:szCs w:val="18"/>
          <w:color w:val="auto"/>
        </w:rPr>
      </w:pPr>
      <w:r>
        <w:rPr>
          <w:rFonts w:ascii="Arial" w:cs="Arial" w:eastAsia="Arial" w:hAnsi="Arial"/>
          <w:sz w:val="18"/>
          <w:szCs w:val="18"/>
          <w:color w:val="auto"/>
        </w:rPr>
        <w:t>Percent of Class Represented by Amount in Row 11 37.9% (3)</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3" w:lineRule="exact"/>
        <w:rPr>
          <w:rFonts w:ascii="Arial" w:cs="Arial" w:eastAsia="Arial" w:hAnsi="Arial"/>
          <w:sz w:val="18"/>
          <w:szCs w:val="18"/>
          <w:color w:val="auto"/>
        </w:rPr>
      </w:pPr>
    </w:p>
    <w:p>
      <w:pPr>
        <w:ind w:left="1092" w:hanging="646"/>
        <w:spacing w:after="0"/>
        <w:tabs>
          <w:tab w:leader="none" w:pos="1092" w:val="left"/>
        </w:tabs>
        <w:numPr>
          <w:ilvl w:val="1"/>
          <w:numId w:val="10"/>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092"/>
        <w:spacing w:after="0"/>
        <w:rPr>
          <w:rFonts w:ascii="Arial" w:cs="Arial" w:eastAsia="Arial" w:hAnsi="Arial"/>
          <w:sz w:val="18"/>
          <w:szCs w:val="18"/>
          <w:color w:val="auto"/>
        </w:rPr>
      </w:pPr>
      <w:r>
        <w:rPr>
          <w:rFonts w:ascii="Arial" w:cs="Arial" w:eastAsia="Arial" w:hAnsi="Arial"/>
          <w:sz w:val="18"/>
          <w:szCs w:val="18"/>
          <w:color w:val="auto"/>
        </w:rPr>
        <w:t>CO</w:t>
      </w:r>
    </w:p>
    <w:p>
      <w:pPr>
        <w:spacing w:after="0" w:line="200" w:lineRule="exact"/>
        <w:rPr>
          <w:rFonts w:ascii="Arial" w:cs="Arial" w:eastAsia="Arial" w:hAnsi="Arial"/>
          <w:sz w:val="18"/>
          <w:szCs w:val="18"/>
          <w:color w:val="auto"/>
        </w:rPr>
      </w:pPr>
    </w:p>
    <w:p>
      <w:pPr>
        <w:spacing w:after="0" w:line="375" w:lineRule="exact"/>
        <w:rPr>
          <w:rFonts w:ascii="Arial" w:cs="Arial" w:eastAsia="Arial" w:hAnsi="Arial"/>
          <w:sz w:val="18"/>
          <w:szCs w:val="18"/>
          <w:color w:val="auto"/>
        </w:rPr>
      </w:pPr>
    </w:p>
    <w:p>
      <w:pPr>
        <w:ind w:left="512" w:hanging="512"/>
        <w:spacing w:after="0" w:line="342" w:lineRule="auto"/>
        <w:tabs>
          <w:tab w:leader="none" w:pos="512" w:val="left"/>
        </w:tabs>
        <w:numPr>
          <w:ilvl w:val="0"/>
          <w:numId w:val="11"/>
        </w:numPr>
        <w:rPr>
          <w:rFonts w:ascii="Arial" w:cs="Arial" w:eastAsia="Arial" w:hAnsi="Arial"/>
          <w:sz w:val="16"/>
          <w:szCs w:val="16"/>
          <w:color w:val="auto"/>
        </w:rPr>
      </w:pPr>
      <w:r>
        <w:rPr>
          <w:rFonts w:ascii="Arial" w:cs="Arial" w:eastAsia="Arial" w:hAnsi="Arial"/>
          <w:sz w:val="16"/>
          <w:szCs w:val="16"/>
          <w:color w:val="auto"/>
        </w:rPr>
        <w:t>Aruze USA, Inc. is a wholly owned subsidiary of Aruze Corp., of which Mr. Kazuo Okada owns a controlling interest and is its Chairman. The subject securities were acquired and are owned by Aruze USA, Inc. but may be considered beneficially owned by Aruze Corp. and Kazuo Okada.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660400</wp:posOffset>
            </wp:positionH>
            <wp:positionV relativeFrom="paragraph">
              <wp:posOffset>-614680</wp:posOffset>
            </wp:positionV>
            <wp:extent cx="65862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586220" cy="8890"/>
                    </a:xfrm>
                    <a:prstGeom prst="rect">
                      <a:avLst/>
                    </a:prstGeom>
                    <a:noFill/>
                  </pic:spPr>
                </pic:pic>
              </a:graphicData>
            </a:graphic>
          </wp:anchor>
        </w:drawing>
        <w:drawing>
          <wp:anchor simplePos="0" relativeHeight="251657728" behindDoc="1" locked="0" layoutInCell="0" allowOverlap="1">
            <wp:simplePos x="0" y="0"/>
            <wp:positionH relativeFrom="column">
              <wp:posOffset>660400</wp:posOffset>
            </wp:positionH>
            <wp:positionV relativeFrom="paragraph">
              <wp:posOffset>-1352550</wp:posOffset>
            </wp:positionV>
            <wp:extent cx="65862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58622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-400685</wp:posOffset>
            </wp:positionV>
            <wp:extent cx="182689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94" w:orient="portrait"/>
          <w:cols w:equalWidth="0" w:num="1">
            <w:col w:w="11372"/>
          </w:cols>
          <w:pgMar w:left="248" w:top="125" w:right="279" w:bottom="0" w:gutter="0" w:footer="0" w:header="0"/>
          <w:type w:val="continuous"/>
        </w:sectPr>
      </w:pPr>
    </w:p>
    <w:bookmarkStart w:id="3" w:name="page4"/>
    <w:bookmarkEnd w:id="3"/>
    <w:p>
      <w:pPr>
        <w:ind w:left="512" w:right="200"/>
        <w:spacing w:after="0" w:line="277" w:lineRule="auto"/>
        <w:rPr>
          <w:sz w:val="20"/>
          <w:szCs w:val="20"/>
          <w:color w:val="auto"/>
        </w:rPr>
      </w:pPr>
      <w:r>
        <w:rPr>
          <w:rFonts w:ascii="Arial" w:cs="Arial" w:eastAsia="Arial" w:hAnsi="Arial"/>
          <w:sz w:val="18"/>
          <w:szCs w:val="18"/>
          <w:color w:val="auto"/>
        </w:rPr>
        <w:t>Accordingly, Aruze USA, Inc., Aruze Corp. and Mr. Okada may be deemed to have shared voting and dispositive power over the shares which are owned by Aruze USA, Inc.</w:t>
      </w:r>
    </w:p>
    <w:p>
      <w:pPr>
        <w:spacing w:after="0" w:line="170" w:lineRule="exact"/>
        <w:rPr>
          <w:sz w:val="20"/>
          <w:szCs w:val="20"/>
          <w:color w:val="auto"/>
        </w:rPr>
      </w:pPr>
    </w:p>
    <w:p>
      <w:pPr>
        <w:ind w:left="512" w:hanging="512"/>
        <w:spacing w:after="0"/>
        <w:tabs>
          <w:tab w:leader="none" w:pos="512"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the Wynn Shares that are beneficially owned by the Reporting Person as a result of the Stockholders Agreement.</w:t>
      </w:r>
    </w:p>
    <w:p>
      <w:pPr>
        <w:spacing w:after="0" w:line="225" w:lineRule="exact"/>
        <w:rPr>
          <w:rFonts w:ascii="Arial" w:cs="Arial" w:eastAsia="Arial" w:hAnsi="Arial"/>
          <w:sz w:val="18"/>
          <w:szCs w:val="18"/>
          <w:color w:val="auto"/>
        </w:rPr>
      </w:pPr>
    </w:p>
    <w:p>
      <w:pPr>
        <w:ind w:left="512" w:hanging="512"/>
        <w:spacing w:after="0" w:line="264" w:lineRule="auto"/>
        <w:tabs>
          <w:tab w:leader="none" w:pos="512"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aggregate percentage of the outstanding shares that the Reporting Person may be deemed to beneficially own is approximately 37.9%. Excluding the Wynn Shares that the Reporting Person may be deemed to beneficially own as a result of the Stockholders Agreement, the Reporting Person directly beneficially owns approximately 19.9% of the outstanding shares. (See Item 6)</w:t>
      </w:r>
    </w:p>
    <w:p>
      <w:pPr>
        <w:spacing w:after="0" w:line="181" w:lineRule="exact"/>
        <w:rPr>
          <w:sz w:val="20"/>
          <w:szCs w:val="20"/>
          <w:color w:val="auto"/>
        </w:rPr>
      </w:pPr>
    </w:p>
    <w:p>
      <w:pPr>
        <w:jc w:val="center"/>
        <w:ind w:right="-131"/>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52"/>
        <w:spacing w:after="0"/>
        <w:rPr>
          <w:sz w:val="20"/>
          <w:szCs w:val="20"/>
          <w:color w:val="auto"/>
        </w:rPr>
      </w:pPr>
      <w:r>
        <w:rPr>
          <w:rFonts w:ascii="Arial" w:cs="Arial" w:eastAsia="Arial" w:hAnsi="Arial"/>
          <w:sz w:val="18"/>
          <w:szCs w:val="18"/>
          <w:color w:val="auto"/>
        </w:rPr>
        <w:t>CUSIP No.  983134 10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92075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1092" w:right="8060" w:hanging="646"/>
        <w:spacing w:after="0" w:line="308" w:lineRule="auto"/>
        <w:tabs>
          <w:tab w:leader="none" w:pos="1092" w:val="left"/>
        </w:tabs>
        <w:numPr>
          <w:ilvl w:val="0"/>
          <w:numId w:val="13"/>
        </w:numPr>
        <w:rPr>
          <w:rFonts w:ascii="Arial" w:cs="Arial" w:eastAsia="Arial" w:hAnsi="Arial"/>
          <w:sz w:val="17"/>
          <w:szCs w:val="17"/>
          <w:color w:val="auto"/>
        </w:rPr>
      </w:pPr>
      <w:r>
        <w:rPr>
          <w:rFonts w:ascii="Arial" w:cs="Arial" w:eastAsia="Arial" w:hAnsi="Arial"/>
          <w:sz w:val="17"/>
          <w:szCs w:val="17"/>
          <w:color w:val="auto"/>
        </w:rPr>
        <w:t>Names of Reporting Persons. Kazuo Okada (1)</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59" w:lineRule="exact"/>
        <w:rPr>
          <w:rFonts w:ascii="Arial" w:cs="Arial" w:eastAsia="Arial" w:hAnsi="Arial"/>
          <w:sz w:val="17"/>
          <w:szCs w:val="17"/>
          <w:color w:val="auto"/>
        </w:rPr>
      </w:pPr>
    </w:p>
    <w:p>
      <w:pPr>
        <w:ind w:left="1092" w:hanging="646"/>
        <w:spacing w:after="0"/>
        <w:tabs>
          <w:tab w:leader="none" w:pos="1092"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65" w:lineRule="exact"/>
        <w:rPr>
          <w:rFonts w:ascii="Arial" w:cs="Arial" w:eastAsia="Arial" w:hAnsi="Arial"/>
          <w:sz w:val="18"/>
          <w:szCs w:val="18"/>
          <w:color w:val="auto"/>
        </w:rPr>
      </w:pPr>
    </w:p>
    <w:p>
      <w:pPr>
        <w:ind w:left="2152" w:hanging="1058"/>
        <w:spacing w:after="0"/>
        <w:tabs>
          <w:tab w:leader="none" w:pos="2152" w:val="left"/>
        </w:tabs>
        <w:numPr>
          <w:ilvl w:val="1"/>
          <w:numId w:val="13"/>
        </w:numPr>
        <w:rPr>
          <w:rFonts w:ascii="Arial" w:cs="Arial" w:eastAsia="Arial" w:hAnsi="Arial"/>
          <w:sz w:val="18"/>
          <w:szCs w:val="18"/>
          <w:color w:val="auto"/>
        </w:rPr>
      </w:pPr>
      <w:r>
        <w:rPr>
          <w:rFonts w:ascii="Arial" w:cs="Arial" w:eastAsia="Arial" w:hAnsi="Arial"/>
          <w:sz w:val="18"/>
          <w:szCs w:val="18"/>
          <w:color w:val="auto"/>
        </w:rPr>
        <w:t>x</w:t>
      </w:r>
    </w:p>
    <w:p>
      <w:pPr>
        <w:spacing w:after="0" w:line="198" w:lineRule="exact"/>
        <w:rPr>
          <w:rFonts w:ascii="Arial" w:cs="Arial" w:eastAsia="Arial" w:hAnsi="Arial"/>
          <w:sz w:val="18"/>
          <w:szCs w:val="18"/>
          <w:color w:val="auto"/>
        </w:rPr>
      </w:pPr>
    </w:p>
    <w:p>
      <w:pPr>
        <w:ind w:left="2152" w:hanging="1058"/>
        <w:spacing w:after="0"/>
        <w:tabs>
          <w:tab w:leader="none" w:pos="2152" w:val="left"/>
        </w:tabs>
        <w:numPr>
          <w:ilvl w:val="1"/>
          <w:numId w:val="13"/>
        </w:numPr>
        <w:rPr>
          <w:rFonts w:ascii="Arial" w:cs="Arial" w:eastAsia="Arial" w:hAnsi="Arial"/>
          <w:sz w:val="18"/>
          <w:szCs w:val="18"/>
          <w:color w:val="auto"/>
        </w:rPr>
      </w:pPr>
      <w:r>
        <w:rPr>
          <w:rFonts w:ascii="Arial" w:cs="Arial" w:eastAsia="Arial" w:hAnsi="Arial"/>
          <w:sz w:val="18"/>
          <w:szCs w:val="18"/>
          <w:color w:val="auto"/>
        </w:rPr>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1303655</wp:posOffset>
            </wp:positionH>
            <wp:positionV relativeFrom="paragraph">
              <wp:posOffset>40640</wp:posOffset>
            </wp:positionV>
            <wp:extent cx="594296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942965" cy="8890"/>
                    </a:xfrm>
                    <a:prstGeom prst="rect">
                      <a:avLst/>
                    </a:prstGeom>
                    <a:noFill/>
                  </pic:spPr>
                </pic:pic>
              </a:graphicData>
            </a:graphic>
          </wp:anchor>
        </w:drawing>
        <w:drawing>
          <wp:anchor simplePos="0" relativeHeight="251657728" behindDoc="1" locked="0" layoutInCell="0" allowOverlap="1">
            <wp:simplePos x="0" y="0"/>
            <wp:positionH relativeFrom="column">
              <wp:posOffset>1303655</wp:posOffset>
            </wp:positionH>
            <wp:positionV relativeFrom="paragraph">
              <wp:posOffset>-215900</wp:posOffset>
            </wp:positionV>
            <wp:extent cx="594296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942965" cy="8890"/>
                    </a:xfrm>
                    <a:prstGeom prst="rect">
                      <a:avLst/>
                    </a:prstGeom>
                    <a:noFill/>
                  </pic:spPr>
                </pic:pic>
              </a:graphicData>
            </a:graphic>
          </wp:anchor>
        </w:drawing>
        <w:drawing>
          <wp:anchor simplePos="0" relativeHeight="251657728" behindDoc="1" locked="0" layoutInCell="0" allowOverlap="1">
            <wp:simplePos x="0" y="0"/>
            <wp:positionH relativeFrom="column">
              <wp:posOffset>660400</wp:posOffset>
            </wp:positionH>
            <wp:positionV relativeFrom="paragraph">
              <wp:posOffset>-1064895</wp:posOffset>
            </wp:positionV>
            <wp:extent cx="65862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ectPr>
          <w:pgSz w:w="11900" w:h="16838" w:orient="portrait"/>
          <w:cols w:equalWidth="0" w:num="1">
            <w:col w:w="11272"/>
          </w:cols>
          <w:pgMar w:left="248" w:top="125" w:right="37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52"/>
        <w:spacing w:after="0"/>
        <w:rPr>
          <w:sz w:val="20"/>
          <w:szCs w:val="20"/>
          <w:color w:val="auto"/>
        </w:rPr>
      </w:pPr>
      <w:r>
        <w:rPr>
          <w:rFonts w:ascii="Arial" w:cs="Arial" w:eastAsia="Arial" w:hAnsi="Arial"/>
          <w:sz w:val="18"/>
          <w:szCs w:val="18"/>
          <w:color w:val="auto"/>
        </w:rPr>
        <w:t>3.</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452"/>
        <w:spacing w:after="0"/>
        <w:rPr>
          <w:sz w:val="20"/>
          <w:szCs w:val="20"/>
          <w:color w:val="auto"/>
        </w:rPr>
      </w:pPr>
      <w:r>
        <w:rPr>
          <w:rFonts w:ascii="Arial" w:cs="Arial" w:eastAsia="Arial" w:hAnsi="Arial"/>
          <w:sz w:val="18"/>
          <w:szCs w:val="18"/>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452"/>
        <w:spacing w:after="0"/>
        <w:rPr>
          <w:sz w:val="20"/>
          <w:szCs w:val="20"/>
          <w:color w:val="auto"/>
        </w:rPr>
      </w:pPr>
      <w:r>
        <w:rPr>
          <w:rFonts w:ascii="Arial" w:cs="Arial" w:eastAsia="Arial" w:hAnsi="Arial"/>
          <w:sz w:val="18"/>
          <w:szCs w:val="18"/>
          <w:color w:val="auto"/>
        </w:rPr>
        <w:t>5.</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452"/>
        <w:spacing w:after="0"/>
        <w:rPr>
          <w:sz w:val="20"/>
          <w:szCs w:val="20"/>
          <w:color w:val="auto"/>
        </w:rPr>
      </w:pPr>
      <w:r>
        <w:rPr>
          <w:rFonts w:ascii="Arial" w:cs="Arial" w:eastAsia="Arial" w:hAnsi="Arial"/>
          <w:sz w:val="18"/>
          <w:szCs w:val="18"/>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52"/>
        <w:spacing w:after="0"/>
        <w:rPr>
          <w:sz w:val="20"/>
          <w:szCs w:val="20"/>
          <w:color w:val="auto"/>
        </w:rPr>
      </w:pPr>
      <w:r>
        <w:rPr>
          <w:rFonts w:ascii="Arial" w:cs="Arial" w:eastAsia="Arial" w:hAnsi="Arial"/>
          <w:sz w:val="18"/>
          <w:szCs w:val="18"/>
          <w:color w:val="auto"/>
        </w:rPr>
        <w:t>Number of</w:t>
      </w:r>
    </w:p>
    <w:p>
      <w:pPr>
        <w:spacing w:after="0" w:line="23" w:lineRule="exact"/>
        <w:rPr>
          <w:sz w:val="20"/>
          <w:szCs w:val="20"/>
          <w:color w:val="auto"/>
        </w:rPr>
      </w:pPr>
    </w:p>
    <w:p>
      <w:pPr>
        <w:ind w:left="52"/>
        <w:spacing w:after="0"/>
        <w:rPr>
          <w:sz w:val="20"/>
          <w:szCs w:val="20"/>
          <w:color w:val="auto"/>
        </w:rPr>
      </w:pPr>
      <w:r>
        <w:rPr>
          <w:rFonts w:ascii="Arial" w:cs="Arial" w:eastAsia="Arial" w:hAnsi="Arial"/>
          <w:sz w:val="18"/>
          <w:szCs w:val="18"/>
          <w:color w:val="auto"/>
        </w:rPr>
        <w:t>Shares</w:t>
      </w:r>
    </w:p>
    <w:p>
      <w:pPr>
        <w:spacing w:after="0" w:line="9" w:lineRule="exact"/>
        <w:rPr>
          <w:sz w:val="20"/>
          <w:szCs w:val="20"/>
          <w:color w:val="auto"/>
        </w:rPr>
      </w:pPr>
    </w:p>
    <w:p>
      <w:pPr>
        <w:ind w:left="52"/>
        <w:spacing w:after="0"/>
        <w:rPr>
          <w:sz w:val="20"/>
          <w:szCs w:val="20"/>
          <w:color w:val="auto"/>
        </w:rPr>
      </w:pPr>
      <w:r>
        <w:rPr>
          <w:rFonts w:ascii="Arial" w:cs="Arial" w:eastAsia="Arial" w:hAnsi="Arial"/>
          <w:sz w:val="17"/>
          <w:szCs w:val="17"/>
          <w:color w:val="auto"/>
        </w:rPr>
        <w:t>Beneficially</w:t>
      </w:r>
    </w:p>
    <w:p>
      <w:pPr>
        <w:spacing w:after="0" w:line="21" w:lineRule="exact"/>
        <w:rPr>
          <w:sz w:val="20"/>
          <w:szCs w:val="20"/>
          <w:color w:val="auto"/>
        </w:rPr>
      </w:pPr>
    </w:p>
    <w:p>
      <w:pPr>
        <w:ind w:left="52"/>
        <w:spacing w:after="0"/>
        <w:rPr>
          <w:sz w:val="20"/>
          <w:szCs w:val="20"/>
          <w:color w:val="auto"/>
        </w:rPr>
      </w:pPr>
      <w:r>
        <w:rPr>
          <w:rFonts w:ascii="Arial" w:cs="Arial" w:eastAsia="Arial" w:hAnsi="Arial"/>
          <w:sz w:val="18"/>
          <w:szCs w:val="18"/>
          <w:color w:val="auto"/>
        </w:rPr>
        <w:t>Owned by</w:t>
      </w:r>
    </w:p>
    <w:p>
      <w:pPr>
        <w:spacing w:after="0" w:line="9" w:lineRule="exact"/>
        <w:rPr>
          <w:sz w:val="20"/>
          <w:szCs w:val="20"/>
          <w:color w:val="auto"/>
        </w:rPr>
      </w:pPr>
    </w:p>
    <w:p>
      <w:pPr>
        <w:ind w:left="52"/>
        <w:spacing w:after="0"/>
        <w:rPr>
          <w:sz w:val="20"/>
          <w:szCs w:val="20"/>
          <w:color w:val="auto"/>
        </w:rPr>
      </w:pPr>
      <w:r>
        <w:rPr>
          <w:rFonts w:ascii="Arial" w:cs="Arial" w:eastAsia="Arial" w:hAnsi="Arial"/>
          <w:sz w:val="18"/>
          <w:szCs w:val="18"/>
          <w:color w:val="auto"/>
        </w:rPr>
        <w:t>Each</w:t>
      </w:r>
    </w:p>
    <w:p>
      <w:pPr>
        <w:spacing w:after="0" w:line="9" w:lineRule="exact"/>
        <w:rPr>
          <w:sz w:val="20"/>
          <w:szCs w:val="20"/>
          <w:color w:val="auto"/>
        </w:rPr>
      </w:pPr>
    </w:p>
    <w:p>
      <w:pPr>
        <w:ind w:left="52"/>
        <w:spacing w:after="0"/>
        <w:rPr>
          <w:sz w:val="20"/>
          <w:szCs w:val="20"/>
          <w:color w:val="auto"/>
        </w:rPr>
      </w:pPr>
      <w:r>
        <w:rPr>
          <w:rFonts w:ascii="Arial" w:cs="Arial" w:eastAsia="Arial" w:hAnsi="Arial"/>
          <w:sz w:val="18"/>
          <w:szCs w:val="18"/>
          <w:color w:val="auto"/>
        </w:rPr>
        <w:t>Reporting</w:t>
      </w:r>
    </w:p>
    <w:p>
      <w:pPr>
        <w:spacing w:after="0" w:line="9" w:lineRule="exact"/>
        <w:rPr>
          <w:sz w:val="20"/>
          <w:szCs w:val="20"/>
          <w:color w:val="auto"/>
        </w:rPr>
      </w:pPr>
    </w:p>
    <w:p>
      <w:pPr>
        <w:ind w:left="52"/>
        <w:spacing w:after="0"/>
        <w:rPr>
          <w:sz w:val="20"/>
          <w:szCs w:val="20"/>
          <w:color w:val="auto"/>
        </w:rPr>
      </w:pPr>
      <w:r>
        <w:rPr>
          <w:rFonts w:ascii="Arial" w:cs="Arial" w:eastAsia="Arial" w:hAnsi="Arial"/>
          <w:sz w:val="16"/>
          <w:szCs w:val="16"/>
          <w:color w:val="auto"/>
        </w:rPr>
        <w:t>Person With</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92075</wp:posOffset>
            </wp:positionV>
            <wp:extent cx="65862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color w:val="auto"/>
        </w:rPr>
        <w:t>Source of Funds (See Instructions)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83185</wp:posOffset>
            </wp:positionV>
            <wp:extent cx="65862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tabs>
          <w:tab w:leader="none" w:pos="6280" w:val="left"/>
        </w:tabs>
        <w:rPr>
          <w:sz w:val="20"/>
          <w:szCs w:val="20"/>
          <w:color w:val="auto"/>
        </w:rPr>
      </w:pPr>
      <w:r>
        <w:rPr>
          <w:rFonts w:ascii="Arial" w:cs="Arial" w:eastAsia="Arial" w:hAnsi="Arial"/>
          <w:sz w:val="17"/>
          <w:szCs w:val="17"/>
          <w:color w:val="auto"/>
        </w:rPr>
        <w:t>Check if Disclosure of Legal Proceedings Is Required Pursuant to Items 2(d) or 2(e)</w:t>
      </w:r>
      <w:r>
        <w:rPr>
          <w:sz w:val="20"/>
          <w:szCs w:val="20"/>
          <w:color w:val="auto"/>
        </w:rPr>
        <w:tab/>
      </w:r>
      <w:r>
        <w:rPr>
          <w:rFonts w:ascii="Arial" w:cs="Arial" w:eastAsia="Arial" w:hAnsi="Arial"/>
          <w:sz w:val="14"/>
          <w:szCs w:val="14"/>
          <w:color w:val="auto"/>
        </w:rPr>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99060</wp:posOffset>
            </wp:positionV>
            <wp:extent cx="65862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color w:val="auto"/>
        </w:rPr>
        <w:t>Citizenship or Place of Organization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Japan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83185</wp:posOffset>
            </wp:positionV>
            <wp:extent cx="65862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940" w:right="7900" w:hanging="506"/>
        <w:spacing w:after="0" w:line="277" w:lineRule="auto"/>
        <w:tabs>
          <w:tab w:leader="none" w:pos="9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Sole Voting Power 0</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3" w:lineRule="exact"/>
        <w:rPr>
          <w:rFonts w:ascii="Arial" w:cs="Arial" w:eastAsia="Arial" w:hAnsi="Arial"/>
          <w:sz w:val="18"/>
          <w:szCs w:val="18"/>
          <w:color w:val="auto"/>
        </w:rPr>
      </w:pPr>
    </w:p>
    <w:p>
      <w:pPr>
        <w:ind w:left="940" w:right="7720" w:hanging="506"/>
        <w:spacing w:after="0" w:line="342" w:lineRule="auto"/>
        <w:tabs>
          <w:tab w:leader="none" w:pos="9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Shared Voting Power 46,702,639 (1), (2)</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37" w:lineRule="exact"/>
        <w:rPr>
          <w:rFonts w:ascii="Arial" w:cs="Arial" w:eastAsia="Arial" w:hAnsi="Arial"/>
          <w:sz w:val="16"/>
          <w:szCs w:val="16"/>
          <w:color w:val="auto"/>
        </w:rPr>
      </w:pPr>
    </w:p>
    <w:p>
      <w:pPr>
        <w:ind w:left="940" w:right="7560" w:hanging="506"/>
        <w:spacing w:after="0" w:line="277" w:lineRule="auto"/>
        <w:tabs>
          <w:tab w:leader="none" w:pos="9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Sole Dispositive Power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wp:posOffset>
            </wp:positionH>
            <wp:positionV relativeFrom="paragraph">
              <wp:posOffset>57150</wp:posOffset>
            </wp:positionV>
            <wp:extent cx="59944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994400" cy="8890"/>
                    </a:xfrm>
                    <a:prstGeom prst="rect">
                      <a:avLst/>
                    </a:prstGeom>
                    <a:noFill/>
                  </pic:spPr>
                </pic:pic>
              </a:graphicData>
            </a:graphic>
          </wp:anchor>
        </w:drawing>
        <w:drawing>
          <wp:anchor simplePos="0" relativeHeight="251657728" behindDoc="1" locked="0" layoutInCell="0" allowOverlap="1">
            <wp:simplePos x="0" y="0"/>
            <wp:positionH relativeFrom="column">
              <wp:posOffset>558800</wp:posOffset>
            </wp:positionH>
            <wp:positionV relativeFrom="paragraph">
              <wp:posOffset>-679450</wp:posOffset>
            </wp:positionV>
            <wp:extent cx="59944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994400" cy="8890"/>
                    </a:xfrm>
                    <a:prstGeom prst="rect">
                      <a:avLst/>
                    </a:prstGeom>
                    <a:noFill/>
                  </pic:spPr>
                </pic:pic>
              </a:graphicData>
            </a:graphic>
          </wp:anchor>
        </w:drawing>
        <w:drawing>
          <wp:anchor simplePos="0" relativeHeight="251657728" behindDoc="1" locked="0" layoutInCell="0" allowOverlap="1">
            <wp:simplePos x="0" y="0"/>
            <wp:positionH relativeFrom="column">
              <wp:posOffset>558800</wp:posOffset>
            </wp:positionH>
            <wp:positionV relativeFrom="paragraph">
              <wp:posOffset>-1417320</wp:posOffset>
            </wp:positionV>
            <wp:extent cx="59944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99440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32" w:space="160"/>
            <w:col w:w="10180"/>
          </w:cols>
          <w:pgMar w:left="248" w:top="125" w:right="379" w:bottom="0" w:gutter="0" w:footer="0" w:header="0"/>
          <w:type w:val="continuous"/>
        </w:sectPr>
      </w:pPr>
    </w:p>
    <w:p>
      <w:pPr>
        <w:spacing w:after="0" w:line="200" w:lineRule="exact"/>
        <w:rPr>
          <w:sz w:val="20"/>
          <w:szCs w:val="20"/>
          <w:color w:val="auto"/>
        </w:rPr>
      </w:pPr>
    </w:p>
    <w:p>
      <w:pPr>
        <w:spacing w:after="0" w:line="284" w:lineRule="exact"/>
        <w:rPr>
          <w:sz w:val="20"/>
          <w:szCs w:val="20"/>
          <w:color w:val="auto"/>
        </w:rPr>
      </w:pPr>
    </w:p>
    <w:p>
      <w:pPr>
        <w:ind w:left="2032" w:right="7380" w:hanging="506"/>
        <w:spacing w:after="0" w:line="342" w:lineRule="auto"/>
        <w:tabs>
          <w:tab w:leader="none" w:pos="2032" w:val="left"/>
        </w:tabs>
        <w:numPr>
          <w:ilvl w:val="1"/>
          <w:numId w:val="15"/>
        </w:numPr>
        <w:rPr>
          <w:rFonts w:ascii="Arial" w:cs="Arial" w:eastAsia="Arial" w:hAnsi="Arial"/>
          <w:sz w:val="16"/>
          <w:szCs w:val="16"/>
          <w:color w:val="auto"/>
        </w:rPr>
      </w:pPr>
      <w:r>
        <w:rPr>
          <w:rFonts w:ascii="Arial" w:cs="Arial" w:eastAsia="Arial" w:hAnsi="Arial"/>
          <w:sz w:val="16"/>
          <w:szCs w:val="16"/>
          <w:color w:val="auto"/>
        </w:rPr>
        <w:t>Shared Dispositive Power 46,702,639 (1), (2)</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37" w:lineRule="exact"/>
        <w:rPr>
          <w:rFonts w:ascii="Arial" w:cs="Arial" w:eastAsia="Arial" w:hAnsi="Arial"/>
          <w:sz w:val="16"/>
          <w:szCs w:val="16"/>
          <w:color w:val="auto"/>
        </w:rPr>
      </w:pPr>
    </w:p>
    <w:p>
      <w:pPr>
        <w:ind w:left="1092" w:right="5380" w:hanging="646"/>
        <w:spacing w:after="0" w:line="277" w:lineRule="auto"/>
        <w:tabs>
          <w:tab w:leader="none" w:pos="1092" w:val="left"/>
        </w:tabs>
        <w:numPr>
          <w:ilvl w:val="0"/>
          <w:numId w:val="16"/>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46,702,639 (1),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660400</wp:posOffset>
            </wp:positionH>
            <wp:positionV relativeFrom="paragraph">
              <wp:posOffset>57150</wp:posOffset>
            </wp:positionV>
            <wp:extent cx="65862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586220" cy="8890"/>
                    </a:xfrm>
                    <a:prstGeom prst="rect">
                      <a:avLst/>
                    </a:prstGeom>
                    <a:noFill/>
                  </pic:spPr>
                </pic:pic>
              </a:graphicData>
            </a:graphic>
          </wp:anchor>
        </w:drawing>
        <w:drawing>
          <wp:anchor simplePos="0" relativeHeight="251657728" behindDoc="1" locked="0" layoutInCell="0" allowOverlap="1">
            <wp:simplePos x="0" y="0"/>
            <wp:positionH relativeFrom="column">
              <wp:posOffset>1252220</wp:posOffset>
            </wp:positionH>
            <wp:positionV relativeFrom="paragraph">
              <wp:posOffset>-679450</wp:posOffset>
            </wp:positionV>
            <wp:extent cx="59944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994400" cy="8890"/>
                    </a:xfrm>
                    <a:prstGeom prst="rect">
                      <a:avLst/>
                    </a:prstGeom>
                    <a:noFill/>
                  </pic:spPr>
                </pic:pic>
              </a:graphicData>
            </a:graphic>
          </wp:anchor>
        </w:drawing>
      </w:r>
    </w:p>
    <w:p>
      <w:pPr>
        <w:sectPr>
          <w:pgSz w:w="11900" w:h="16838" w:orient="portrait"/>
          <w:cols w:equalWidth="0" w:num="1">
            <w:col w:w="11272"/>
          </w:cols>
          <w:pgMar w:left="248" w:top="125" w:right="379" w:bottom="0" w:gutter="0" w:footer="0" w:header="0"/>
          <w:type w:val="continuous"/>
        </w:sectPr>
      </w:pPr>
    </w:p>
    <w:bookmarkStart w:id="4" w:name="page5"/>
    <w:bookmarkEnd w:id="4"/>
    <w:p>
      <w:pPr>
        <w:ind w:left="460"/>
        <w:spacing w:after="0"/>
        <w:tabs>
          <w:tab w:leader="none" w:pos="108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Check if the Aggregate Amount in Row (11) Excludes Certain Shares (See Instructions)  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92075</wp:posOffset>
            </wp:positionV>
            <wp:extent cx="65862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1100" w:right="6520" w:hanging="646"/>
        <w:spacing w:after="0" w:line="277" w:lineRule="auto"/>
        <w:tabs>
          <w:tab w:leader="none" w:pos="11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Percent of Class Represented by Amount in Row 11 37.9% (3)</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3" w:lineRule="exact"/>
        <w:rPr>
          <w:rFonts w:ascii="Arial" w:cs="Arial" w:eastAsia="Arial" w:hAnsi="Arial"/>
          <w:sz w:val="18"/>
          <w:szCs w:val="18"/>
          <w:color w:val="auto"/>
        </w:rPr>
      </w:pPr>
    </w:p>
    <w:p>
      <w:pPr>
        <w:ind w:left="1100" w:hanging="646"/>
        <w:spacing w:after="0"/>
        <w:tabs>
          <w:tab w:leader="none" w:pos="11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100"/>
        <w:spacing w:after="0"/>
        <w:rPr>
          <w:rFonts w:ascii="Arial" w:cs="Arial" w:eastAsia="Arial" w:hAnsi="Arial"/>
          <w:sz w:val="18"/>
          <w:szCs w:val="18"/>
          <w:color w:val="auto"/>
        </w:rPr>
      </w:pPr>
      <w:r>
        <w:rPr>
          <w:rFonts w:ascii="Arial" w:cs="Arial" w:eastAsia="Arial" w:hAnsi="Arial"/>
          <w:sz w:val="18"/>
          <w:szCs w:val="18"/>
          <w:color w:val="auto"/>
        </w:rPr>
        <w:t>IN</w:t>
      </w:r>
    </w:p>
    <w:p>
      <w:pPr>
        <w:spacing w:after="0" w:line="200" w:lineRule="exact"/>
        <w:rPr>
          <w:rFonts w:ascii="Arial" w:cs="Arial" w:eastAsia="Arial" w:hAnsi="Arial"/>
          <w:sz w:val="18"/>
          <w:szCs w:val="18"/>
          <w:color w:val="auto"/>
        </w:rPr>
      </w:pPr>
    </w:p>
    <w:p>
      <w:pPr>
        <w:spacing w:after="0" w:line="375" w:lineRule="exact"/>
        <w:rPr>
          <w:rFonts w:ascii="Arial" w:cs="Arial" w:eastAsia="Arial" w:hAnsi="Arial"/>
          <w:sz w:val="18"/>
          <w:szCs w:val="18"/>
          <w:color w:val="auto"/>
        </w:rPr>
      </w:pPr>
    </w:p>
    <w:p>
      <w:pPr>
        <w:ind w:left="520" w:hanging="512"/>
        <w:spacing w:after="0" w:line="259" w:lineRule="auto"/>
        <w:tabs>
          <w:tab w:leader="none" w:pos="5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Aruze USA, Inc. is a wholly owned subsidiary of Aruze Corp., of which Mr. Kazuo Okada owns a controlling interest and is its Chairman. The subject securities were acquired and are owned by Aruze USA, Inc. but may be considered beneficially owned by Aruze Corp. and Kazuo Okada. Accordingly, Aruze USA, Inc., Aruze Corp. and Mr. Okada may be deemed to have shared voting and dispositive power over the shares which are owned by Aruze USA, Inc.</w:t>
      </w:r>
    </w:p>
    <w:p>
      <w:pPr>
        <w:spacing w:after="0" w:line="186" w:lineRule="exact"/>
        <w:rPr>
          <w:rFonts w:ascii="Arial" w:cs="Arial" w:eastAsia="Arial" w:hAnsi="Arial"/>
          <w:sz w:val="18"/>
          <w:szCs w:val="18"/>
          <w:color w:val="auto"/>
        </w:rPr>
      </w:pPr>
    </w:p>
    <w:p>
      <w:pPr>
        <w:ind w:left="520" w:hanging="512"/>
        <w:spacing w:after="0"/>
        <w:tabs>
          <w:tab w:leader="none" w:pos="5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Includes the Wynn Shares that are beneficially owned by the Reporting Person as a result of the Stockholders Agreement.</w:t>
      </w:r>
    </w:p>
    <w:p>
      <w:pPr>
        <w:spacing w:after="0" w:line="225" w:lineRule="exact"/>
        <w:rPr>
          <w:rFonts w:ascii="Arial" w:cs="Arial" w:eastAsia="Arial" w:hAnsi="Arial"/>
          <w:sz w:val="18"/>
          <w:szCs w:val="18"/>
          <w:color w:val="auto"/>
        </w:rPr>
      </w:pPr>
    </w:p>
    <w:p>
      <w:pPr>
        <w:ind w:left="520" w:right="100" w:hanging="512"/>
        <w:spacing w:after="0" w:line="264" w:lineRule="auto"/>
        <w:tabs>
          <w:tab w:leader="none" w:pos="5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aggregate percentage of the outstanding shares that the Reporting Person may be deemed to beneficially own is approximately 37.9%. Excluding the Wynn Shares that the Reporting Person may be deemed to beneficially own as a result of the Stockholders Agreement, the Reporting Person directly beneficially owns approximately 19.9% of the outstanding shares. (See Item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-1675765</wp:posOffset>
            </wp:positionV>
            <wp:extent cx="65862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586220" cy="8890"/>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-2413635</wp:posOffset>
            </wp:positionV>
            <wp:extent cx="65862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5862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-1461770</wp:posOffset>
            </wp:positionV>
            <wp:extent cx="182689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This Schedule 13D/A (this “Amendment No. 3”) hereby amends and supplements the Schedule 13D filed by the Reporting Persons with the Securities and Exchange Commission (the “Commission”) on November 13, 2002 (the “Original Schedule 13D”), as amended by the Schedule 13D/A filed by the Reporting Persons with the Commission on November 14, 2006 (“Amendment No. 1”) and as amended by the Schedule 13D/A filed by the Reporting Persons with the Commission on August 3, 2009 (“Amendment No. 2” and, together with Amendment No. 1 and the Original Schedule 13D, the “Schedule 13D”). Capitalized terms used but not defined herein shall have the respective meanings set forth in the Schedule 13D.</w:t>
      </w:r>
    </w:p>
    <w:p>
      <w:pPr>
        <w:spacing w:after="0" w:line="223" w:lineRule="exact"/>
        <w:rPr>
          <w:sz w:val="20"/>
          <w:szCs w:val="20"/>
          <w:color w:val="auto"/>
        </w:rPr>
      </w:pPr>
    </w:p>
    <w:p>
      <w:pPr>
        <w:ind w:left="60"/>
        <w:spacing w:after="0"/>
        <w:tabs>
          <w:tab w:leader="none" w:pos="10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Interest in Securities of the Issuer</w:t>
      </w:r>
    </w:p>
    <w:p>
      <w:pPr>
        <w:spacing w:after="0" w:line="121"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response set forth in Item 5 of the Schedule 13D is hereby amended and restated in its entirety as follows:</w:t>
      </w:r>
    </w:p>
    <w:p>
      <w:pPr>
        <w:spacing w:after="0" w:line="225" w:lineRule="exact"/>
        <w:rPr>
          <w:sz w:val="20"/>
          <w:szCs w:val="20"/>
          <w:color w:val="auto"/>
        </w:rPr>
      </w:pPr>
    </w:p>
    <w:p>
      <w:pPr>
        <w:ind w:left="60" w:right="20" w:firstLine="648"/>
        <w:spacing w:after="0" w:line="255" w:lineRule="auto"/>
        <w:rPr>
          <w:sz w:val="20"/>
          <w:szCs w:val="20"/>
          <w:color w:val="auto"/>
        </w:rPr>
      </w:pPr>
      <w:r>
        <w:rPr>
          <w:rFonts w:ascii="Arial" w:cs="Arial" w:eastAsia="Arial" w:hAnsi="Arial"/>
          <w:sz w:val="18"/>
          <w:szCs w:val="18"/>
          <w:color w:val="auto"/>
        </w:rPr>
        <w:t>(a)-(c) On the date hereof, the Reporting Persons have the shared power to vote or to direct the vote and to dispose or to direct the disposition of 24,549,222 shares of Common Stock of the Issuer owned by Aruze USA. Such 24,549,222 shares include 18,972,299 shares of Common Stock of the Issuer which were acquired by Aruze USA from the Issuer as a result of the contribution of its membership interest in Valvino Lamore, LLC, a Nevada limited liability company (“Valvino”), to the Issuer on September 24, 2002. In the contribution, approximately 189.7 shares of Issuer Common Stock were issued to Aruze USA in exchange for each common share of Valvino membership interest contributed. Aruze USA acquired an additional 5,576,923 shares of Common Stock from the Issuer on October 30, 2002 pursuant to the Purchase Agreement for $13.00 per share, which was the price offered to the public in the Issuer’s initial public offering.</w:t>
      </w:r>
    </w:p>
    <w:p>
      <w:pPr>
        <w:spacing w:after="0" w:line="189" w:lineRule="exact"/>
        <w:rPr>
          <w:sz w:val="20"/>
          <w:szCs w:val="20"/>
          <w:color w:val="auto"/>
        </w:rPr>
      </w:pPr>
    </w:p>
    <w:p>
      <w:pPr>
        <w:ind w:left="60" w:right="200" w:firstLine="648"/>
        <w:spacing w:after="0" w:line="277" w:lineRule="auto"/>
        <w:rPr>
          <w:sz w:val="20"/>
          <w:szCs w:val="20"/>
          <w:color w:val="auto"/>
        </w:rPr>
      </w:pPr>
      <w:r>
        <w:rPr>
          <w:rFonts w:ascii="Arial" w:cs="Arial" w:eastAsia="Arial" w:hAnsi="Arial"/>
          <w:sz w:val="18"/>
          <w:szCs w:val="18"/>
          <w:color w:val="auto"/>
        </w:rPr>
        <w:t>As a result of entering into the Stockholders Agreement with Stephen A. Wynn (see Item 6), Aruze USA possesses shared power to vote or direct the vote of, and thus beneficially owns, an additional 22,153,417 shares of Common Stock of the Issuer held by Mr. Wynn.</w:t>
      </w:r>
    </w:p>
    <w:p>
      <w:pPr>
        <w:spacing w:after="0" w:line="170" w:lineRule="exact"/>
        <w:rPr>
          <w:sz w:val="20"/>
          <w:szCs w:val="20"/>
          <w:color w:val="auto"/>
        </w:rPr>
      </w:pPr>
    </w:p>
    <w:p>
      <w:pPr>
        <w:jc w:val="both"/>
        <w:ind w:left="60" w:right="40" w:firstLine="648"/>
        <w:spacing w:after="0" w:line="342" w:lineRule="auto"/>
        <w:rPr>
          <w:sz w:val="20"/>
          <w:szCs w:val="20"/>
          <w:color w:val="auto"/>
        </w:rPr>
      </w:pPr>
      <w:r>
        <w:rPr>
          <w:rFonts w:ascii="Arial" w:cs="Arial" w:eastAsia="Arial" w:hAnsi="Arial"/>
          <w:sz w:val="16"/>
          <w:szCs w:val="16"/>
          <w:color w:val="auto"/>
        </w:rPr>
        <w:t>Mr. Wynn is a United States citizen with his business address at 3131 Las Vegas Boulevard South, Las Vegas, Nevada 89109. To the knowledge of the Reporting Persons, Mr. Wynn directly beneficially owns 22,153,417 shares of Common Stock, or 18.0% of the outstanding Common Stock of the Issuer.</w:t>
      </w:r>
    </w:p>
    <w:p>
      <w:pPr>
        <w:spacing w:after="0" w:line="124" w:lineRule="exact"/>
        <w:rPr>
          <w:sz w:val="20"/>
          <w:szCs w:val="20"/>
          <w:color w:val="auto"/>
        </w:rPr>
      </w:pPr>
    </w:p>
    <w:p>
      <w:pPr>
        <w:ind w:left="60" w:right="100" w:firstLine="648"/>
        <w:spacing w:after="0" w:line="272" w:lineRule="auto"/>
        <w:rPr>
          <w:sz w:val="20"/>
          <w:szCs w:val="20"/>
          <w:color w:val="auto"/>
        </w:rPr>
      </w:pPr>
      <w:r>
        <w:rPr>
          <w:rFonts w:ascii="Arial" w:cs="Arial" w:eastAsia="Arial" w:hAnsi="Arial"/>
          <w:sz w:val="17"/>
          <w:szCs w:val="17"/>
          <w:color w:val="auto"/>
        </w:rPr>
        <w:t>As described in Item 6, under the Stockholders Agreement, Aruze USA and Mr. Wynn have agreed to vote their shares of the Issuer’s Common Stock for a slate of directors of the Board of Directors of the Issuer, a majority of which will be designated by Mr. Wynn, of which at least two will be independent directors, and the remaining members of which will be designated by Aruze USA. Aruze USA, Aruze Corp. and Kazuo Okada, on the one hand, and Mr. Wynn, on the other hand, are a “group” under Rule 13d-5 under the Securities Exchange Act of 1934, as amended, because of the voting arrangement with respect to the election of directors under the Stockholders Agreement. Other than the Stockholders Agreement, Amendment and Waiver and Consents described in Item 6, the Reporting Persons and Mr. Wynn do not have any other arrangement or understanding with respect to the acquisition, holding, voting or disposition of equity securities of the Issuer.</w:t>
      </w:r>
    </w:p>
    <w:p>
      <w:pPr>
        <w:spacing w:after="0" w:line="178" w:lineRule="exact"/>
        <w:rPr>
          <w:sz w:val="20"/>
          <w:szCs w:val="20"/>
          <w:color w:val="auto"/>
        </w:rPr>
      </w:pPr>
    </w:p>
    <w:p>
      <w:pPr>
        <w:ind w:left="60" w:right="240" w:firstLine="648"/>
        <w:spacing w:after="0" w:line="259" w:lineRule="auto"/>
        <w:rPr>
          <w:sz w:val="20"/>
          <w:szCs w:val="20"/>
          <w:color w:val="auto"/>
        </w:rPr>
      </w:pPr>
      <w:r>
        <w:rPr>
          <w:rFonts w:ascii="Arial" w:cs="Arial" w:eastAsia="Arial" w:hAnsi="Arial"/>
          <w:sz w:val="18"/>
          <w:szCs w:val="18"/>
          <w:color w:val="auto"/>
        </w:rPr>
        <w:t>The aggregate percentage of the outstanding Common Stock of the Issuer, which the Reporting Persons beneficially own, including the shares of Common Stock which the Reporting Persons beneficially own as a result of the Stockholders Agreement, is 37.9%. Excluding the additional shares of Common Stock that the Reporting Persons beneficially own as a result of the Stockholders Agreement, the Reporting Persons directly beneficially own 19.9% of the outstanding Common Stock of the Issuer.</w:t>
      </w: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40" w:firstLine="648"/>
        <w:spacing w:after="0" w:line="308" w:lineRule="auto"/>
        <w:rPr>
          <w:sz w:val="20"/>
          <w:szCs w:val="20"/>
          <w:color w:val="auto"/>
        </w:rPr>
      </w:pPr>
      <w:r>
        <w:rPr>
          <w:rFonts w:ascii="Arial" w:cs="Arial" w:eastAsia="Arial" w:hAnsi="Arial"/>
          <w:sz w:val="17"/>
          <w:szCs w:val="17"/>
          <w:color w:val="auto"/>
        </w:rPr>
        <w:t>Unless otherwise indicated, all percentages in this Amendment No. 3 assume that the Issuer had 123,114,040 shares of Common Stock outstanding as of July 31, 2009, as reported in the Issuer’s Quarterly Report on Form 10-Q for the period ended June 30, 2009, filed August 5, 2009.</w:t>
      </w:r>
    </w:p>
    <w:p>
      <w:pPr>
        <w:sectPr>
          <w:pgSz w:w="11900" w:h="16838" w:orient="portrait"/>
          <w:cols w:equalWidth="0" w:num="1">
            <w:col w:w="11380"/>
          </w:cols>
          <w:pgMar w:left="240" w:top="598" w:right="279" w:bottom="0" w:gutter="0" w:footer="0" w:header="0"/>
        </w:sectPr>
      </w:pPr>
    </w:p>
    <w:bookmarkStart w:id="5" w:name="page6"/>
    <w:bookmarkEnd w:id="5"/>
    <w:p>
      <w:pPr>
        <w:ind w:left="920" w:hanging="264"/>
        <w:spacing w:after="0"/>
        <w:tabs>
          <w:tab w:leader="none" w:pos="9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5" w:lineRule="exact"/>
        <w:rPr>
          <w:rFonts w:ascii="Arial" w:cs="Arial" w:eastAsia="Arial" w:hAnsi="Arial"/>
          <w:sz w:val="18"/>
          <w:szCs w:val="18"/>
          <w:color w:val="auto"/>
        </w:rPr>
      </w:pPr>
    </w:p>
    <w:p>
      <w:pPr>
        <w:ind w:left="900" w:hanging="244"/>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75" w:lineRule="exact"/>
        <w:rPr>
          <w:sz w:val="20"/>
          <w:szCs w:val="20"/>
          <w:color w:val="auto"/>
        </w:rPr>
      </w:pPr>
    </w:p>
    <w:p>
      <w:pPr>
        <w:ind w:left="60"/>
        <w:spacing w:after="0"/>
        <w:tabs>
          <w:tab w:leader="none" w:pos="10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Contracts, Arrangements, Understandings or Relationships with Respect to Securities of the Issuer.</w:t>
      </w:r>
    </w:p>
    <w:p>
      <w:pPr>
        <w:spacing w:after="0" w:line="121" w:lineRule="exact"/>
        <w:rPr>
          <w:sz w:val="20"/>
          <w:szCs w:val="20"/>
          <w:color w:val="auto"/>
        </w:rPr>
      </w:pPr>
    </w:p>
    <w:p>
      <w:pPr>
        <w:ind w:left="60"/>
        <w:spacing w:after="0"/>
        <w:rPr>
          <w:sz w:val="20"/>
          <w:szCs w:val="20"/>
          <w:color w:val="auto"/>
        </w:rPr>
      </w:pPr>
      <w:r>
        <w:rPr>
          <w:rFonts w:ascii="Arial" w:cs="Arial" w:eastAsia="Arial" w:hAnsi="Arial"/>
          <w:sz w:val="17"/>
          <w:szCs w:val="17"/>
          <w:color w:val="auto"/>
        </w:rPr>
        <w:t>The response to Item 6 of the Schedule 13D is hereby amended and supplemented by adding the following paragraphs at the end of such Item 6:</w:t>
      </w:r>
    </w:p>
    <w:p>
      <w:pPr>
        <w:spacing w:after="0" w:line="233" w:lineRule="exact"/>
        <w:rPr>
          <w:sz w:val="20"/>
          <w:szCs w:val="20"/>
          <w:color w:val="auto"/>
        </w:rPr>
      </w:pPr>
    </w:p>
    <w:p>
      <w:pPr>
        <w:ind w:left="720"/>
        <w:spacing w:after="0"/>
        <w:rPr>
          <w:sz w:val="20"/>
          <w:szCs w:val="20"/>
          <w:color w:val="auto"/>
        </w:rPr>
      </w:pPr>
      <w:r>
        <w:rPr>
          <w:rFonts w:ascii="Arial" w:cs="Arial" w:eastAsia="Arial" w:hAnsi="Arial"/>
          <w:sz w:val="18"/>
          <w:szCs w:val="18"/>
          <w:b w:val="1"/>
          <w:bCs w:val="1"/>
          <w:color w:val="auto"/>
        </w:rPr>
        <w:t>Waiver and Consent with respect to Stockholders Agreement</w:t>
      </w:r>
    </w:p>
    <w:p>
      <w:pPr>
        <w:spacing w:after="0" w:line="229" w:lineRule="exact"/>
        <w:rPr>
          <w:sz w:val="20"/>
          <w:szCs w:val="20"/>
          <w:color w:val="auto"/>
        </w:rPr>
      </w:pPr>
    </w:p>
    <w:p>
      <w:pPr>
        <w:ind w:left="60" w:right="400" w:firstLine="648"/>
        <w:spacing w:after="0" w:line="302" w:lineRule="auto"/>
        <w:rPr>
          <w:sz w:val="20"/>
          <w:szCs w:val="20"/>
          <w:color w:val="auto"/>
        </w:rPr>
      </w:pPr>
      <w:r>
        <w:rPr>
          <w:rFonts w:ascii="Arial" w:cs="Arial" w:eastAsia="Arial" w:hAnsi="Arial"/>
          <w:sz w:val="16"/>
          <w:szCs w:val="16"/>
          <w:color w:val="auto"/>
        </w:rPr>
        <w:t>On August 13, 2009, Mr. Wynn and Aruze USA entered into that certain Waiver and Consent (the “Waiver and Consent”) with respect to the Stockholders Agreement. Pursuant to the Waiver and Consent, Mr. Wynn and Aruze USA each (a) consented to the transfer of up to 2,000,000 shares of Common Stock (the “Released Shares”) held by each other and (b) waived all of their respective rights under the Stockholders Agreement, including without limitation their rights of first refusal, in connection with a transfer or proposed transfer of the Released Shares.</w:t>
      </w:r>
    </w:p>
    <w:p>
      <w:pPr>
        <w:spacing w:after="0" w:line="154" w:lineRule="exact"/>
        <w:rPr>
          <w:sz w:val="20"/>
          <w:szCs w:val="20"/>
          <w:color w:val="auto"/>
        </w:rPr>
      </w:pPr>
    </w:p>
    <w:p>
      <w:pPr>
        <w:ind w:left="60" w:right="180" w:firstLine="648"/>
        <w:spacing w:after="0" w:line="277" w:lineRule="auto"/>
        <w:rPr>
          <w:sz w:val="20"/>
          <w:szCs w:val="20"/>
          <w:color w:val="auto"/>
        </w:rPr>
      </w:pPr>
      <w:r>
        <w:rPr>
          <w:rFonts w:ascii="Arial" w:cs="Arial" w:eastAsia="Arial" w:hAnsi="Arial"/>
          <w:sz w:val="18"/>
          <w:szCs w:val="18"/>
          <w:color w:val="auto"/>
        </w:rPr>
        <w:t>The foregoing description of the Waiver and Consent does not purport to be complete and is qualified in its entirety by reference to the Waiver and Consent which is filed herewith as Exhibit 6 and is incorporated herein by this reference.</w:t>
      </w:r>
    </w:p>
    <w:p>
      <w:pPr>
        <w:spacing w:after="0" w:line="383" w:lineRule="exact"/>
        <w:rPr>
          <w:sz w:val="20"/>
          <w:szCs w:val="20"/>
          <w:color w:val="auto"/>
        </w:rPr>
      </w:pPr>
    </w:p>
    <w:p>
      <w:pPr>
        <w:ind w:left="60"/>
        <w:spacing w:after="0"/>
        <w:tabs>
          <w:tab w:leader="none" w:pos="10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Material to be Filed as Exhibits.</w:t>
      </w:r>
    </w:p>
    <w:p>
      <w:pPr>
        <w:spacing w:after="0" w:line="121"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response to Item 7 of the Schedule 13D is hereby amended and supplemented by adding the following items at the end of such Item 7:</w:t>
      </w:r>
    </w:p>
    <w:p>
      <w:pPr>
        <w:spacing w:after="0" w:line="333" w:lineRule="exact"/>
        <w:rPr>
          <w:sz w:val="20"/>
          <w:szCs w:val="20"/>
          <w:color w:val="auto"/>
        </w:rPr>
      </w:pPr>
    </w:p>
    <w:p>
      <w:pPr>
        <w:ind w:left="60"/>
        <w:spacing w:after="0"/>
        <w:tabs>
          <w:tab w:leader="none" w:pos="1400" w:val="left"/>
        </w:tabs>
        <w:rPr>
          <w:sz w:val="20"/>
          <w:szCs w:val="20"/>
          <w:color w:val="auto"/>
        </w:rPr>
      </w:pPr>
      <w:r>
        <w:rPr>
          <w:rFonts w:ascii="Arial" w:cs="Arial" w:eastAsia="Arial" w:hAnsi="Arial"/>
          <w:sz w:val="18"/>
          <w:szCs w:val="18"/>
          <w:color w:val="auto"/>
        </w:rPr>
        <w:t>Exhibit 99.6</w:t>
      </w:r>
      <w:r>
        <w:rPr>
          <w:sz w:val="20"/>
          <w:szCs w:val="20"/>
          <w:color w:val="auto"/>
        </w:rPr>
        <w:tab/>
      </w:r>
      <w:r>
        <w:rPr>
          <w:rFonts w:ascii="Arial" w:cs="Arial" w:eastAsia="Arial" w:hAnsi="Arial"/>
          <w:sz w:val="16"/>
          <w:szCs w:val="16"/>
          <w:color w:val="auto"/>
        </w:rPr>
        <w:t>Waiver and Consent, dated August 13, 2009, by and between Stephen A. Wynn and Aruze USA, Inc.</w:t>
      </w:r>
    </w:p>
    <w:p>
      <w:pPr>
        <w:spacing w:after="0" w:line="333" w:lineRule="exact"/>
        <w:rPr>
          <w:sz w:val="20"/>
          <w:szCs w:val="20"/>
          <w:color w:val="auto"/>
        </w:rPr>
      </w:pPr>
    </w:p>
    <w:p>
      <w:pPr>
        <w:ind w:left="1420" w:right="580" w:hanging="1363"/>
        <w:spacing w:after="0" w:line="264" w:lineRule="auto"/>
        <w:tabs>
          <w:tab w:leader="none" w:pos="1400" w:val="left"/>
        </w:tabs>
        <w:rPr>
          <w:sz w:val="20"/>
          <w:szCs w:val="20"/>
          <w:color w:val="auto"/>
        </w:rPr>
      </w:pPr>
      <w:r>
        <w:rPr>
          <w:rFonts w:ascii="Arial" w:cs="Arial" w:eastAsia="Arial" w:hAnsi="Arial"/>
          <w:sz w:val="18"/>
          <w:szCs w:val="18"/>
          <w:color w:val="auto"/>
        </w:rPr>
        <w:t>Exhibit 99.7</w:t>
      </w:r>
      <w:r>
        <w:rPr>
          <w:sz w:val="20"/>
          <w:szCs w:val="20"/>
          <w:color w:val="auto"/>
        </w:rPr>
        <w:tab/>
      </w:r>
      <w:r>
        <w:rPr>
          <w:rFonts w:ascii="Arial" w:cs="Arial" w:eastAsia="Arial" w:hAnsi="Arial"/>
          <w:sz w:val="18"/>
          <w:szCs w:val="18"/>
          <w:color w:val="auto"/>
        </w:rPr>
        <w:t>Joint Filing Agreement, dated November 11, 2006, between Aruze Corp., Aruze USA, Inc. and Kazuo Okada (previously filed as Exhibit 4 to the Schedule 13D/A of Aruze Corp., Aruze USA, Inc. and Kazuo Okada filed on November 14, 2006 and incorporated herein by reference).</w:t>
      </w: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After reasonable inquiry and to the best of my knowledge and belief, I certify that the information set forth in this statement is true, complete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Dated: August 18, 2009</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ARUZE USA, INC.</w:t>
            </w:r>
          </w:p>
        </w:tc>
        <w:tc>
          <w:tcPr>
            <w:tcW w:w="40" w:type="dxa"/>
            <w:vAlign w:val="bottom"/>
          </w:tcPr>
          <w:p>
            <w:pPr>
              <w:spacing w:after="0"/>
              <w:rPr>
                <w:sz w:val="20"/>
                <w:szCs w:val="20"/>
                <w:color w:val="auto"/>
              </w:rPr>
            </w:pPr>
          </w:p>
        </w:tc>
      </w:tr>
      <w:tr>
        <w:trPr>
          <w:trHeight w:val="648"/>
        </w:trPr>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5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Kazuo Okada</w:t>
            </w:r>
          </w:p>
        </w:tc>
        <w:tc>
          <w:tcPr>
            <w:tcW w:w="40" w:type="dxa"/>
            <w:vAlign w:val="bottom"/>
          </w:tcPr>
          <w:p>
            <w:pPr>
              <w:spacing w:after="0"/>
              <w:rPr>
                <w:sz w:val="24"/>
                <w:szCs w:val="24"/>
                <w:color w:val="auto"/>
              </w:rPr>
            </w:pPr>
          </w:p>
        </w:tc>
      </w:tr>
      <w:tr>
        <w:trPr>
          <w:trHeight w:val="195"/>
        </w:trPr>
        <w:tc>
          <w:tcPr>
            <w:tcW w:w="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560" w:type="dxa"/>
            <w:vAlign w:val="bottom"/>
          </w:tcPr>
          <w:p>
            <w:pPr>
              <w:spacing w:after="0"/>
              <w:rPr>
                <w:sz w:val="16"/>
                <w:szCs w:val="16"/>
                <w:color w:val="auto"/>
              </w:rPr>
            </w:pPr>
          </w:p>
        </w:tc>
        <w:tc>
          <w:tcPr>
            <w:tcW w:w="5680" w:type="dxa"/>
            <w:vAlign w:val="bottom"/>
          </w:tcPr>
          <w:p>
            <w:pPr>
              <w:spacing w:after="0" w:line="195" w:lineRule="exact"/>
              <w:rPr>
                <w:sz w:val="20"/>
                <w:szCs w:val="20"/>
                <w:color w:val="auto"/>
              </w:rPr>
            </w:pPr>
            <w:r>
              <w:rPr>
                <w:rFonts w:ascii="Arial" w:cs="Arial" w:eastAsia="Arial" w:hAnsi="Arial"/>
                <w:sz w:val="18"/>
                <w:szCs w:val="18"/>
                <w:color w:val="auto"/>
              </w:rPr>
              <w:t>By: Kazuo Okada</w:t>
            </w:r>
          </w:p>
        </w:tc>
        <w:tc>
          <w:tcPr>
            <w:tcW w:w="40" w:type="dxa"/>
            <w:vAlign w:val="bottom"/>
          </w:tcPr>
          <w:p>
            <w:pPr>
              <w:spacing w:after="0"/>
              <w:rPr>
                <w:sz w:val="16"/>
                <w:szCs w:val="16"/>
                <w:color w:val="auto"/>
              </w:rPr>
            </w:pPr>
          </w:p>
        </w:tc>
      </w:tr>
      <w:tr>
        <w:trPr>
          <w:trHeight w:val="230"/>
        </w:trPr>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Its: President</w:t>
            </w:r>
          </w:p>
        </w:tc>
        <w:tc>
          <w:tcPr>
            <w:tcW w:w="40" w:type="dxa"/>
            <w:vAlign w:val="bottom"/>
          </w:tcPr>
          <w:p>
            <w:pPr>
              <w:spacing w:after="0"/>
              <w:rPr>
                <w:sz w:val="20"/>
                <w:szCs w:val="20"/>
                <w:color w:val="auto"/>
              </w:rPr>
            </w:pPr>
          </w:p>
        </w:tc>
      </w:tr>
      <w:tr>
        <w:trPr>
          <w:trHeight w:val="648"/>
        </w:trPr>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ARUZE CORP.</w:t>
            </w:r>
          </w:p>
        </w:tc>
        <w:tc>
          <w:tcPr>
            <w:tcW w:w="40" w:type="dxa"/>
            <w:vAlign w:val="bottom"/>
          </w:tcPr>
          <w:p>
            <w:pPr>
              <w:spacing w:after="0"/>
              <w:rPr>
                <w:sz w:val="24"/>
                <w:szCs w:val="24"/>
                <w:color w:val="auto"/>
              </w:rPr>
            </w:pPr>
          </w:p>
        </w:tc>
      </w:tr>
      <w:tr>
        <w:trPr>
          <w:trHeight w:val="648"/>
        </w:trPr>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5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Kazuo Okada</w:t>
            </w:r>
          </w:p>
        </w:tc>
        <w:tc>
          <w:tcPr>
            <w:tcW w:w="40" w:type="dxa"/>
            <w:vAlign w:val="bottom"/>
          </w:tcPr>
          <w:p>
            <w:pPr>
              <w:spacing w:after="0"/>
              <w:rPr>
                <w:sz w:val="24"/>
                <w:szCs w:val="24"/>
                <w:color w:val="auto"/>
              </w:rPr>
            </w:pPr>
          </w:p>
        </w:tc>
      </w:tr>
      <w:tr>
        <w:trPr>
          <w:trHeight w:val="195"/>
        </w:trPr>
        <w:tc>
          <w:tcPr>
            <w:tcW w:w="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560" w:type="dxa"/>
            <w:vAlign w:val="bottom"/>
          </w:tcPr>
          <w:p>
            <w:pPr>
              <w:spacing w:after="0"/>
              <w:rPr>
                <w:sz w:val="16"/>
                <w:szCs w:val="16"/>
                <w:color w:val="auto"/>
              </w:rPr>
            </w:pPr>
          </w:p>
        </w:tc>
        <w:tc>
          <w:tcPr>
            <w:tcW w:w="5680" w:type="dxa"/>
            <w:vAlign w:val="bottom"/>
          </w:tcPr>
          <w:p>
            <w:pPr>
              <w:spacing w:after="0" w:line="195" w:lineRule="exact"/>
              <w:rPr>
                <w:sz w:val="20"/>
                <w:szCs w:val="20"/>
                <w:color w:val="auto"/>
              </w:rPr>
            </w:pPr>
            <w:r>
              <w:rPr>
                <w:rFonts w:ascii="Arial" w:cs="Arial" w:eastAsia="Arial" w:hAnsi="Arial"/>
                <w:sz w:val="18"/>
                <w:szCs w:val="18"/>
                <w:color w:val="auto"/>
              </w:rPr>
              <w:t>By: Kazuo Okada</w:t>
            </w:r>
          </w:p>
        </w:tc>
        <w:tc>
          <w:tcPr>
            <w:tcW w:w="40" w:type="dxa"/>
            <w:vAlign w:val="bottom"/>
          </w:tcPr>
          <w:p>
            <w:pPr>
              <w:spacing w:after="0"/>
              <w:rPr>
                <w:sz w:val="16"/>
                <w:szCs w:val="16"/>
                <w:color w:val="auto"/>
              </w:rPr>
            </w:pPr>
          </w:p>
        </w:tc>
      </w:tr>
      <w:tr>
        <w:trPr>
          <w:trHeight w:val="230"/>
        </w:trPr>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Its: Chief Executive Officer</w:t>
            </w:r>
          </w:p>
        </w:tc>
        <w:tc>
          <w:tcPr>
            <w:tcW w:w="40" w:type="dxa"/>
            <w:vAlign w:val="bottom"/>
          </w:tcPr>
          <w:p>
            <w:pPr>
              <w:spacing w:after="0"/>
              <w:rPr>
                <w:sz w:val="20"/>
                <w:szCs w:val="20"/>
                <w:color w:val="auto"/>
              </w:rPr>
            </w:pPr>
          </w:p>
        </w:tc>
      </w:tr>
      <w:tr>
        <w:trPr>
          <w:trHeight w:val="648"/>
        </w:trPr>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KAZUO OKADA</w:t>
            </w:r>
          </w:p>
        </w:tc>
        <w:tc>
          <w:tcPr>
            <w:tcW w:w="40" w:type="dxa"/>
            <w:vAlign w:val="bottom"/>
          </w:tcPr>
          <w:p>
            <w:pPr>
              <w:spacing w:after="0"/>
              <w:rPr>
                <w:sz w:val="24"/>
                <w:szCs w:val="24"/>
                <w:color w:val="auto"/>
              </w:rPr>
            </w:pPr>
          </w:p>
        </w:tc>
      </w:tr>
      <w:tr>
        <w:trPr>
          <w:trHeight w:val="648"/>
        </w:trPr>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5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Kazuo Okada</w:t>
            </w:r>
          </w:p>
        </w:tc>
        <w:tc>
          <w:tcPr>
            <w:tcW w:w="40" w:type="dxa"/>
            <w:vAlign w:val="bottom"/>
          </w:tcPr>
          <w:p>
            <w:pPr>
              <w:spacing w:after="0"/>
              <w:rPr>
                <w:sz w:val="24"/>
                <w:szCs w:val="24"/>
                <w:color w:val="auto"/>
              </w:rPr>
            </w:pPr>
          </w:p>
        </w:tc>
      </w:tr>
      <w:tr>
        <w:trPr>
          <w:trHeight w:val="224"/>
        </w:trPr>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Kazuo Okada, Individually</w:t>
            </w:r>
          </w:p>
        </w:tc>
        <w:tc>
          <w:tcPr>
            <w:tcW w:w="40" w:type="dxa"/>
            <w:vAlign w:val="bottom"/>
          </w:tcPr>
          <w:p>
            <w:pPr>
              <w:spacing w:after="0"/>
              <w:rPr>
                <w:sz w:val="19"/>
                <w:szCs w:val="19"/>
                <w:color w:val="auto"/>
              </w:rPr>
            </w:pPr>
          </w:p>
        </w:tc>
      </w:tr>
      <w:tr>
        <w:trPr>
          <w:trHeight w:val="418"/>
        </w:trPr>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40" w:type="dxa"/>
            <w:vAlign w:val="bottom"/>
            <w:gridSpan w:val="2"/>
          </w:tcPr>
          <w:p>
            <w:pPr>
              <w:jc w:val="right"/>
              <w:ind w:right="5571"/>
              <w:spacing w:after="0"/>
              <w:rPr>
                <w:sz w:val="20"/>
                <w:szCs w:val="20"/>
                <w:color w:val="auto"/>
              </w:rPr>
            </w:pPr>
            <w:r>
              <w:rPr>
                <w:rFonts w:ascii="Arial" w:cs="Arial" w:eastAsia="Arial" w:hAnsi="Arial"/>
                <w:sz w:val="18"/>
                <w:szCs w:val="18"/>
                <w:color w:val="auto"/>
              </w:rPr>
              <w:t>7</w:t>
            </w:r>
          </w:p>
        </w:tc>
        <w:tc>
          <w:tcPr>
            <w:tcW w:w="40" w:type="dxa"/>
            <w:vAlign w:val="bottom"/>
          </w:tcPr>
          <w:p>
            <w:pPr>
              <w:spacing w:after="0"/>
              <w:rPr>
                <w:sz w:val="24"/>
                <w:szCs w:val="24"/>
                <w:color w:val="auto"/>
              </w:rPr>
            </w:pPr>
          </w:p>
        </w:tc>
      </w:tr>
      <w:tr>
        <w:trPr>
          <w:trHeight w:val="132"/>
        </w:trPr>
        <w:tc>
          <w:tcPr>
            <w:tcW w:w="92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10240" w:type="dxa"/>
            <w:vAlign w:val="bottom"/>
            <w:tcBorders>
              <w:bottom w:val="single" w:sz="8" w:color="010101"/>
            </w:tcBorders>
            <w:gridSpan w:val="2"/>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r>
        <w:trPr>
          <w:trHeight w:val="780"/>
        </w:trPr>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40" w:type="dxa"/>
            <w:vAlign w:val="bottom"/>
            <w:gridSpan w:val="2"/>
          </w:tcPr>
          <w:p>
            <w:pPr>
              <w:jc w:val="center"/>
              <w:ind w:right="1071"/>
              <w:spacing w:after="0"/>
              <w:rPr>
                <w:sz w:val="20"/>
                <w:szCs w:val="20"/>
                <w:color w:val="auto"/>
              </w:rPr>
            </w:pPr>
            <w:r>
              <w:rPr>
                <w:rFonts w:ascii="Arial" w:cs="Arial" w:eastAsia="Arial" w:hAnsi="Arial"/>
                <w:sz w:val="18"/>
                <w:szCs w:val="18"/>
                <w:b w:val="1"/>
                <w:bCs w:val="1"/>
                <w:color w:val="auto"/>
              </w:rPr>
              <w:t>EXHIBIT INDEX</w:t>
            </w:r>
          </w:p>
        </w:tc>
        <w:tc>
          <w:tcPr>
            <w:tcW w:w="40" w:type="dxa"/>
            <w:vAlign w:val="bottom"/>
          </w:tcPr>
          <w:p>
            <w:pPr>
              <w:spacing w:after="0"/>
              <w:rPr>
                <w:sz w:val="24"/>
                <w:szCs w:val="24"/>
                <w:color w:val="auto"/>
              </w:rPr>
            </w:pPr>
          </w:p>
        </w:tc>
      </w:tr>
      <w:tr>
        <w:trPr>
          <w:trHeight w:val="365"/>
        </w:trPr>
        <w:tc>
          <w:tcPr>
            <w:tcW w:w="118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4560" w:type="dxa"/>
            <w:vAlign w:val="bottom"/>
          </w:tcPr>
          <w:p>
            <w:pPr>
              <w:spacing w:after="0"/>
              <w:rPr>
                <w:sz w:val="24"/>
                <w:szCs w:val="24"/>
                <w:color w:val="auto"/>
              </w:rPr>
            </w:pPr>
          </w:p>
        </w:tc>
        <w:tc>
          <w:tcPr>
            <w:tcW w:w="5680" w:type="dxa"/>
            <w:vAlign w:val="bottom"/>
          </w:tcPr>
          <w:p>
            <w:pPr>
              <w:ind w:left="200"/>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24"/>
                <w:szCs w:val="24"/>
                <w:color w:val="auto"/>
              </w:rPr>
            </w:pPr>
          </w:p>
        </w:tc>
      </w:tr>
      <w:tr>
        <w:trPr>
          <w:trHeight w:val="426"/>
        </w:trPr>
        <w:tc>
          <w:tcPr>
            <w:tcW w:w="9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99.6</w:t>
            </w:r>
          </w:p>
        </w:tc>
        <w:tc>
          <w:tcPr>
            <w:tcW w:w="260" w:type="dxa"/>
            <w:vAlign w:val="bottom"/>
          </w:tcPr>
          <w:p>
            <w:pPr>
              <w:spacing w:after="0"/>
              <w:rPr>
                <w:sz w:val="24"/>
                <w:szCs w:val="24"/>
                <w:color w:val="auto"/>
              </w:rPr>
            </w:pPr>
          </w:p>
        </w:tc>
        <w:tc>
          <w:tcPr>
            <w:tcW w:w="102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Waiver and Consent, dated August 13, 2009, by and between Stephen A. Wynn and Aruze USA, Inc.</w:t>
            </w:r>
          </w:p>
        </w:tc>
        <w:tc>
          <w:tcPr>
            <w:tcW w:w="40" w:type="dxa"/>
            <w:vAlign w:val="bottom"/>
          </w:tcPr>
          <w:p>
            <w:pPr>
              <w:spacing w:after="0"/>
              <w:rPr>
                <w:sz w:val="24"/>
                <w:szCs w:val="24"/>
                <w:color w:val="auto"/>
              </w:rPr>
            </w:pP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99.7</w:t>
            </w:r>
          </w:p>
        </w:tc>
        <w:tc>
          <w:tcPr>
            <w:tcW w:w="26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1"/>
              </w:rPr>
              <w:t>Joint Filing Agreement, dated November 11, 2006, between Aruze Corp., Aruze USA, Inc. and Kazuo Okada (previously filed as Exhibit 4 to</w:t>
            </w:r>
          </w:p>
        </w:tc>
        <w:tc>
          <w:tcPr>
            <w:tcW w:w="40" w:type="dxa"/>
            <w:vAlign w:val="bottom"/>
          </w:tcPr>
          <w:p>
            <w:pPr>
              <w:spacing w:after="0"/>
              <w:rPr>
                <w:sz w:val="24"/>
                <w:szCs w:val="24"/>
                <w:color w:val="auto"/>
              </w:rPr>
            </w:pPr>
          </w:p>
        </w:tc>
      </w:tr>
      <w:tr>
        <w:trPr>
          <w:trHeight w:val="230"/>
        </w:trPr>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2"/>
              </w:rPr>
              <w:t>the Schedule 13D/A of Aruze Corp., Aruze USA, Inc. and Kazuo Okada filed on November 14, 2006 and incorporated herein by reference).</w:t>
            </w:r>
          </w:p>
        </w:tc>
        <w:tc>
          <w:tcPr>
            <w:tcW w:w="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-1450975</wp:posOffset>
            </wp:positionV>
            <wp:extent cx="12700"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-1450975</wp:posOffset>
            </wp:positionV>
            <wp:extent cx="12700"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0"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292735</wp:posOffset>
            </wp:positionV>
            <wp:extent cx="7267575"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jc w:val="right"/>
        <w:spacing w:after="0"/>
        <w:rPr>
          <w:sz w:val="20"/>
          <w:szCs w:val="20"/>
          <w:color w:val="auto"/>
        </w:rPr>
      </w:pPr>
      <w:r>
        <w:rPr>
          <w:rFonts w:ascii="Arial" w:cs="Arial" w:eastAsia="Arial" w:hAnsi="Arial"/>
          <w:sz w:val="18"/>
          <w:szCs w:val="18"/>
          <w:b w:val="1"/>
          <w:bCs w:val="1"/>
          <w:color w:val="auto"/>
        </w:rPr>
        <w:t>Exhibit 99.6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WAIVER AND CONSENT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This WAIVER AND CONSENT (this “Waiver and Consent”), dated as of the 13th day of August, 2009, is entered into by and between Stephen 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Wynn (“Wynn”), an individual, and Aruze USA, Inc., a Nevada corporation (“Aruze”).</w:t>
      </w:r>
    </w:p>
    <w:p>
      <w:pPr>
        <w:spacing w:after="0" w:line="21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Reference is made to that certain Stockholders Agreement, entered into as of April 11, 2002, among Wynn, Aruze and Baron, as amended by that certain Amendment to Stockholders Agreement, entered into as of November 8, 2006, between Wynn and Aruze, and Waiver and Consent dated as of July 31, 2009 (as amended, the “Stockholders Agreement”). Capitalized terms not otherwise defined herein shall have respective meanings ascribed to such terms in the Stockholders Agreement.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RECITALS</w:t>
      </w:r>
    </w:p>
    <w:p>
      <w:pPr>
        <w:spacing w:after="0" w:line="225"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WHEREAS, Section 2(e) of the Stockholders Agreement provides that neither party has the right to Transfer any Shares without the prior written consent of the other; and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each party has consented to the transfer by the other of up to 2 million Shares; and</w:t>
      </w:r>
    </w:p>
    <w:p>
      <w:pPr>
        <w:spacing w:after="0" w:line="225"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WHEREAS, Section 9 of the Stockholders Agreement provides for a right of first refusal in favor of the non-transferring Stockholders in the event any Stockholder wishes to Transfer any or all of its Shares to any Person other than a Permitted Transferee and who receives a bona fide offer from any Person who is not a Prohibited Transferee for the purchase of all or any portion of such Stockholder’s Shares; and</w:t>
      </w:r>
    </w:p>
    <w:p>
      <w:pPr>
        <w:spacing w:after="0" w:line="181" w:lineRule="exact"/>
        <w:rPr>
          <w:sz w:val="20"/>
          <w:szCs w:val="20"/>
          <w:color w:val="auto"/>
        </w:rPr>
      </w:pPr>
    </w:p>
    <w:p>
      <w:pPr>
        <w:jc w:val="center"/>
        <w:ind w:left="460"/>
        <w:spacing w:after="0"/>
        <w:rPr>
          <w:sz w:val="20"/>
          <w:szCs w:val="20"/>
          <w:color w:val="auto"/>
        </w:rPr>
      </w:pPr>
      <w:r>
        <w:rPr>
          <w:rFonts w:ascii="Arial" w:cs="Arial" w:eastAsia="Arial" w:hAnsi="Arial"/>
          <w:sz w:val="17"/>
          <w:szCs w:val="17"/>
          <w:color w:val="auto"/>
        </w:rPr>
        <w:t>WHEREAS, Wynn and Aruze each desire to waive their right of first refusal in connection with the Transfer of up to 2 million Shares by the other.</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AGREEMENT</w:t>
      </w:r>
    </w:p>
    <w:p>
      <w:pPr>
        <w:spacing w:after="0" w:line="225" w:lineRule="exact"/>
        <w:rPr>
          <w:sz w:val="20"/>
          <w:szCs w:val="20"/>
          <w:color w:val="auto"/>
        </w:rPr>
      </w:pPr>
    </w:p>
    <w:p>
      <w:pPr>
        <w:ind w:right="700" w:firstLine="648"/>
        <w:spacing w:after="0" w:line="308" w:lineRule="auto"/>
        <w:rPr>
          <w:sz w:val="20"/>
          <w:szCs w:val="20"/>
          <w:color w:val="auto"/>
        </w:rPr>
      </w:pPr>
      <w:r>
        <w:rPr>
          <w:rFonts w:ascii="Arial" w:cs="Arial" w:eastAsia="Arial" w:hAnsi="Arial"/>
          <w:sz w:val="17"/>
          <w:szCs w:val="17"/>
          <w:color w:val="auto"/>
        </w:rPr>
        <w:t>NOW THEREFORE, in consideration of the premises, the mutual covenants and agreements contained herein, and other good and valuable consideration, the receipt and adequacy of which are hereby acknowledged, the parties hereto hereby agree as follows:</w:t>
      </w:r>
    </w:p>
    <w:p>
      <w:pPr>
        <w:spacing w:after="0" w:line="147" w:lineRule="exact"/>
        <w:rPr>
          <w:sz w:val="20"/>
          <w:szCs w:val="20"/>
          <w:color w:val="auto"/>
        </w:rPr>
      </w:pPr>
    </w:p>
    <w:p>
      <w:pPr>
        <w:ind w:right="120" w:firstLine="656"/>
        <w:spacing w:after="0" w:line="312" w:lineRule="auto"/>
        <w:tabs>
          <w:tab w:leader="none" w:pos="1368" w:val="left"/>
        </w:tabs>
        <w:numPr>
          <w:ilvl w:val="0"/>
          <w:numId w:val="20"/>
        </w:numPr>
        <w:rPr>
          <w:rFonts w:ascii="Arial" w:cs="Arial" w:eastAsia="Arial" w:hAnsi="Arial"/>
          <w:sz w:val="16"/>
          <w:szCs w:val="16"/>
          <w:color w:val="auto"/>
        </w:rPr>
      </w:pPr>
      <w:r>
        <w:rPr>
          <w:rFonts w:ascii="Arial" w:cs="Arial" w:eastAsia="Arial" w:hAnsi="Arial"/>
          <w:sz w:val="16"/>
          <w:szCs w:val="16"/>
          <w:u w:val="single" w:color="auto"/>
          <w:color w:val="auto"/>
        </w:rPr>
        <w:t>Waivers and Consents</w:t>
      </w:r>
      <w:r>
        <w:rPr>
          <w:rFonts w:ascii="Arial" w:cs="Arial" w:eastAsia="Arial" w:hAnsi="Arial"/>
          <w:sz w:val="16"/>
          <w:szCs w:val="16"/>
          <w:color w:val="auto"/>
        </w:rPr>
        <w:t>. Each of Wynn and Aruze consent to the Transfer by the other of up to 2 million Shares (such Shares referred to as the “Released Shares”) and hereby waives all rights such party may have in connection with a Transfer under the Stockholders Agreement with respect to such shares, including without limitation, the right of first refusal in connection with a Transfer or proposed Transfer of Shares.</w:t>
      </w:r>
    </w:p>
    <w:p>
      <w:pPr>
        <w:spacing w:after="0" w:line="146" w:lineRule="exact"/>
        <w:rPr>
          <w:rFonts w:ascii="Arial" w:cs="Arial" w:eastAsia="Arial" w:hAnsi="Arial"/>
          <w:sz w:val="16"/>
          <w:szCs w:val="16"/>
          <w:color w:val="auto"/>
        </w:rPr>
      </w:pPr>
    </w:p>
    <w:p>
      <w:pPr>
        <w:ind w:left="1380" w:hanging="724"/>
        <w:spacing w:after="0"/>
        <w:tabs>
          <w:tab w:leader="none" w:pos="1380" w:val="left"/>
        </w:tabs>
        <w:numPr>
          <w:ilvl w:val="0"/>
          <w:numId w:val="20"/>
        </w:numPr>
        <w:rPr>
          <w:rFonts w:ascii="Arial" w:cs="Arial" w:eastAsia="Arial" w:hAnsi="Arial"/>
          <w:sz w:val="17"/>
          <w:szCs w:val="17"/>
          <w:color w:val="auto"/>
        </w:rPr>
      </w:pPr>
      <w:r>
        <w:rPr>
          <w:rFonts w:ascii="Arial" w:cs="Arial" w:eastAsia="Arial" w:hAnsi="Arial"/>
          <w:sz w:val="17"/>
          <w:szCs w:val="17"/>
          <w:u w:val="single" w:color="auto"/>
          <w:color w:val="auto"/>
        </w:rPr>
        <w:t>Transferee Not Bound</w:t>
      </w:r>
      <w:r>
        <w:rPr>
          <w:rFonts w:ascii="Arial" w:cs="Arial" w:eastAsia="Arial" w:hAnsi="Arial"/>
          <w:sz w:val="17"/>
          <w:szCs w:val="17"/>
          <w:color w:val="auto"/>
        </w:rPr>
        <w:t>. The transferee of the Released Shares shall not be bound by the terms of the Stockholders Agreement.</w:t>
      </w:r>
    </w:p>
    <w:p>
      <w:pPr>
        <w:spacing w:after="0" w:line="236" w:lineRule="exact"/>
        <w:rPr>
          <w:rFonts w:ascii="Arial" w:cs="Arial" w:eastAsia="Arial" w:hAnsi="Arial"/>
          <w:sz w:val="17"/>
          <w:szCs w:val="17"/>
          <w:color w:val="auto"/>
        </w:rPr>
      </w:pPr>
    </w:p>
    <w:p>
      <w:pPr>
        <w:ind w:right="40" w:firstLine="656"/>
        <w:spacing w:after="0" w:line="308" w:lineRule="auto"/>
        <w:tabs>
          <w:tab w:leader="none" w:pos="1368" w:val="left"/>
        </w:tabs>
        <w:numPr>
          <w:ilvl w:val="0"/>
          <w:numId w:val="20"/>
        </w:numPr>
        <w:rPr>
          <w:rFonts w:ascii="Arial" w:cs="Arial" w:eastAsia="Arial" w:hAnsi="Arial"/>
          <w:sz w:val="17"/>
          <w:szCs w:val="17"/>
          <w:color w:val="auto"/>
        </w:rPr>
      </w:pPr>
      <w:r>
        <w:rPr>
          <w:rFonts w:ascii="Arial" w:cs="Arial" w:eastAsia="Arial" w:hAnsi="Arial"/>
          <w:sz w:val="17"/>
          <w:szCs w:val="17"/>
          <w:u w:val="single" w:color="auto"/>
          <w:color w:val="auto"/>
        </w:rPr>
        <w:t>Limited Scope</w:t>
      </w:r>
      <w:r>
        <w:rPr>
          <w:rFonts w:ascii="Arial" w:cs="Arial" w:eastAsia="Arial" w:hAnsi="Arial"/>
          <w:sz w:val="17"/>
          <w:szCs w:val="17"/>
          <w:color w:val="auto"/>
        </w:rPr>
        <w:t>. The waivers and consents set forth herein are limited as written and shall not be deemed to be a waiver of or consent to, or modification of in any respect, any other term or condition in the Stockholders Agreement. Except as expressly waived hereby, all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168910</wp:posOffset>
            </wp:positionV>
            <wp:extent cx="726757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the terms and provisions of the Stockholders Agreement are and shall remain in full force and effect.</w:t>
      </w:r>
    </w:p>
    <w:p>
      <w:pPr>
        <w:spacing w:after="0" w:line="225" w:lineRule="exact"/>
        <w:rPr>
          <w:sz w:val="20"/>
          <w:szCs w:val="20"/>
          <w:color w:val="auto"/>
        </w:rPr>
      </w:pPr>
    </w:p>
    <w:p>
      <w:pPr>
        <w:ind w:right="300" w:firstLine="656"/>
        <w:spacing w:after="0" w:line="277" w:lineRule="auto"/>
        <w:tabs>
          <w:tab w:leader="none" w:pos="1368"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Authorization</w:t>
      </w:r>
      <w:r>
        <w:rPr>
          <w:rFonts w:ascii="Arial" w:cs="Arial" w:eastAsia="Arial" w:hAnsi="Arial"/>
          <w:sz w:val="18"/>
          <w:szCs w:val="18"/>
          <w:color w:val="auto"/>
        </w:rPr>
        <w:t>. This Waiver and Consent has been duly authorized and executed by each of Wynn and Aruze and is a valid and binding waiver and consent of each such party, enforceable against each such party in accordance with its terms.</w:t>
      </w:r>
    </w:p>
    <w:p>
      <w:pPr>
        <w:spacing w:after="0" w:line="170"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IN WITNESS WHEREOF, this Waiver and Consent has been duly executed and delivered by Wynn and a duly authorized officer of Aruze on the day and year first written above.</w:t>
      </w:r>
    </w:p>
    <w:p>
      <w:pPr>
        <w:spacing w:after="0" w:line="38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Stephen A. Wynn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Stephen A. Wynn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ARUZE USA, INC.</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Kazuo Okada</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Kazuo Okada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Title: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1."/>
      <w:numFmt w:val="decimal"/>
      <w:start w:val="1"/>
    </w:lvl>
    <w:lvl w:ilvl="1">
      <w:lvlJc w:val="left"/>
      <w:lvlText w:val="(%2)"/>
      <w:numFmt w:val="lowerLetter"/>
      <w:start w:val="1"/>
    </w:lvl>
  </w:abstractNum>
  <w:abstractNum w:abstractNumId="2">
    <w:nsid w:val="66EF438D"/>
    <w:multiLevelType w:val="hybridMultilevel"/>
    <w:lvl w:ilvl="0">
      <w:lvlJc w:val="left"/>
      <w:lvlText w:val="%1."/>
      <w:numFmt w:val="decimal"/>
      <w:start w:val="7"/>
    </w:lvl>
  </w:abstractNum>
  <w:abstractNum w:abstractNumId="3">
    <w:nsid w:val="140E0F76"/>
    <w:multiLevelType w:val="hybridMultilevel"/>
    <w:lvl w:ilvl="0">
      <w:lvlJc w:val="left"/>
      <w:lvlText w:val="%1."/>
      <w:numFmt w:val="decimal"/>
      <w:start w:val="11"/>
    </w:lvl>
  </w:abstractNum>
  <w:abstractNum w:abstractNumId="4">
    <w:nsid w:val="3352255A"/>
    <w:multiLevelType w:val="hybridMultilevel"/>
    <w:lvl w:ilvl="0">
      <w:lvlJc w:val="left"/>
      <w:lvlText w:val="%1"/>
      <w:numFmt w:val="decimal"/>
      <w:start w:val="1"/>
    </w:lvl>
    <w:lvl w:ilvl="1">
      <w:lvlJc w:val="left"/>
      <w:lvlText w:val="%2."/>
      <w:numFmt w:val="decimal"/>
      <w:start w:val="13"/>
    </w:lvl>
  </w:abstractNum>
  <w:abstractNum w:abstractNumId="5">
    <w:nsid w:val="109CF92E"/>
    <w:multiLevelType w:val="hybridMultilevel"/>
    <w:lvl w:ilvl="0">
      <w:lvlJc w:val="left"/>
      <w:lvlText w:val="(%1)"/>
      <w:numFmt w:val="decimal"/>
      <w:start w:val="1"/>
    </w:lvl>
    <w:lvl w:ilvl="1">
      <w:lvlJc w:val="left"/>
      <w:lvlText w:val="%2"/>
      <w:numFmt w:val="decimal"/>
      <w:start w:val="1"/>
    </w:lvl>
  </w:abstractNum>
  <w:abstractNum w:abstractNumId="6">
    <w:nsid w:val="DED7263"/>
    <w:multiLevelType w:val="hybridMultilevel"/>
    <w:lvl w:ilvl="0">
      <w:lvlJc w:val="left"/>
      <w:lvlText w:val="%1."/>
      <w:numFmt w:val="decimal"/>
      <w:start w:val="1"/>
    </w:lvl>
    <w:lvl w:ilvl="1">
      <w:lvlJc w:val="left"/>
      <w:lvlText w:val="(%2)"/>
      <w:numFmt w:val="lowerLetter"/>
      <w:start w:val="1"/>
    </w:lvl>
  </w:abstractNum>
  <w:abstractNum w:abstractNumId="7">
    <w:nsid w:val="7FDCC233"/>
    <w:multiLevelType w:val="hybridMultilevel"/>
    <w:lvl w:ilvl="0">
      <w:lvlJc w:val="left"/>
      <w:lvlText w:val="%1."/>
      <w:numFmt w:val="decimal"/>
      <w:start w:val="7"/>
    </w:lvl>
  </w:abstractNum>
  <w:abstractNum w:abstractNumId="8">
    <w:nsid w:val="1BEFD79F"/>
    <w:multiLevelType w:val="hybridMultilevel"/>
    <w:lvl w:ilvl="0">
      <w:lvlJc w:val="left"/>
      <w:lvlText w:val="%1."/>
      <w:numFmt w:val="decimal"/>
      <w:start w:val="11"/>
    </w:lvl>
  </w:abstractNum>
  <w:abstractNum w:abstractNumId="9">
    <w:nsid w:val="41A7C4C9"/>
    <w:multiLevelType w:val="hybridMultilevel"/>
    <w:lvl w:ilvl="0">
      <w:lvlJc w:val="left"/>
      <w:lvlText w:val="%1"/>
      <w:numFmt w:val="decimal"/>
      <w:start w:val="1"/>
    </w:lvl>
    <w:lvl w:ilvl="1">
      <w:lvlJc w:val="left"/>
      <w:lvlText w:val="%2."/>
      <w:numFmt w:val="decimal"/>
      <w:start w:val="13"/>
    </w:lvl>
  </w:abstractNum>
  <w:abstractNum w:abstractNumId="10">
    <w:nsid w:val="6B68079A"/>
    <w:multiLevelType w:val="hybridMultilevel"/>
    <w:lvl w:ilvl="0">
      <w:lvlJc w:val="left"/>
      <w:lvlText w:val="(%1)"/>
      <w:numFmt w:val="decimal"/>
      <w:start w:val="1"/>
    </w:lvl>
    <w:lvl w:ilvl="1">
      <w:lvlJc w:val="left"/>
      <w:lvlText w:val="%2"/>
      <w:numFmt w:val="decimal"/>
      <w:start w:val="1"/>
    </w:lvl>
  </w:abstractNum>
  <w:abstractNum w:abstractNumId="11">
    <w:nsid w:val="4E6AFB66"/>
    <w:multiLevelType w:val="hybridMultilevel"/>
    <w:lvl w:ilvl="0">
      <w:lvlJc w:val="left"/>
      <w:lvlText w:val="(%1)"/>
      <w:numFmt w:val="decimal"/>
      <w:start w:val="2"/>
    </w:lvl>
  </w:abstractNum>
  <w:abstractNum w:abstractNumId="12">
    <w:nsid w:val="25E45D32"/>
    <w:multiLevelType w:val="hybridMultilevel"/>
    <w:lvl w:ilvl="0">
      <w:lvlJc w:val="left"/>
      <w:lvlText w:val="%1."/>
      <w:numFmt w:val="decimal"/>
      <w:start w:val="1"/>
    </w:lvl>
    <w:lvl w:ilvl="1">
      <w:lvlJc w:val="left"/>
      <w:lvlText w:val="(%2)"/>
      <w:numFmt w:val="lowerLetter"/>
      <w:start w:val="1"/>
    </w:lvl>
  </w:abstractNum>
  <w:abstractNum w:abstractNumId="13">
    <w:nsid w:val="519B500D"/>
    <w:multiLevelType w:val="hybridMultilevel"/>
    <w:lvl w:ilvl="0">
      <w:lvlJc w:val="left"/>
      <w:lvlText w:val="%1."/>
      <w:numFmt w:val="decimal"/>
      <w:start w:val="7"/>
    </w:lvl>
  </w:abstractNum>
  <w:abstractNum w:abstractNumId="14">
    <w:nsid w:val="431BD7B7"/>
    <w:multiLevelType w:val="hybridMultilevel"/>
    <w:lvl w:ilvl="0">
      <w:lvlJc w:val="left"/>
      <w:lvlText w:val="%1"/>
      <w:numFmt w:val="decimal"/>
      <w:start w:val="1"/>
    </w:lvl>
    <w:lvl w:ilvl="1">
      <w:lvlJc w:val="left"/>
      <w:lvlText w:val="%2."/>
      <w:numFmt w:val="decimal"/>
      <w:start w:val="10"/>
    </w:lvl>
  </w:abstractNum>
  <w:abstractNum w:abstractNumId="15">
    <w:nsid w:val="3F2DBA31"/>
    <w:multiLevelType w:val="hybridMultilevel"/>
    <w:lvl w:ilvl="0">
      <w:lvlJc w:val="left"/>
      <w:lvlText w:val="%1."/>
      <w:numFmt w:val="decimal"/>
      <w:start w:val="11"/>
    </w:lvl>
    <w:lvl w:ilvl="1">
      <w:lvlJc w:val="left"/>
      <w:lvlText w:val="%2"/>
      <w:numFmt w:val="decimal"/>
      <w:start w:val="1"/>
    </w:lvl>
  </w:abstractNum>
  <w:abstractNum w:abstractNumId="16">
    <w:nsid w:val="7C83E458"/>
    <w:multiLevelType w:val="hybridMultilevel"/>
    <w:lvl w:ilvl="0">
      <w:lvlJc w:val="left"/>
      <w:lvlText w:val="%1"/>
      <w:numFmt w:val="decimal"/>
      <w:start w:val="1"/>
    </w:lvl>
    <w:lvl w:ilvl="1">
      <w:lvlJc w:val="left"/>
      <w:lvlText w:val="%2."/>
      <w:numFmt w:val="decimal"/>
      <w:start w:val="13"/>
    </w:lvl>
  </w:abstractNum>
  <w:abstractNum w:abstractNumId="17">
    <w:nsid w:val="257130A3"/>
    <w:multiLevelType w:val="hybridMultilevel"/>
    <w:lvl w:ilvl="0">
      <w:lvlJc w:val="left"/>
      <w:lvlText w:val="(%1)"/>
      <w:numFmt w:val="decimal"/>
      <w:start w:val="1"/>
    </w:lvl>
    <w:lvl w:ilvl="1">
      <w:lvlJc w:val="left"/>
      <w:lvlText w:val="%2"/>
      <w:numFmt w:val="decimal"/>
      <w:start w:val="1"/>
    </w:lvl>
  </w:abstractNum>
  <w:abstractNum w:abstractNumId="18">
    <w:nsid w:val="62BBD95A"/>
    <w:multiLevelType w:val="hybridMultilevel"/>
    <w:lvl w:ilvl="0">
      <w:lvlJc w:val="left"/>
      <w:lvlText w:val="(%1)"/>
      <w:numFmt w:val="lowerLetter"/>
      <w:start w:val="4"/>
    </w:lvl>
  </w:abstractNum>
  <w:abstractNum w:abstractNumId="19">
    <w:nsid w:val="436C6125"/>
    <w:multiLevelType w:val="hybridMultilevel"/>
    <w:lvl w:ilvl="0">
      <w:lvlJc w:val="left"/>
      <w:lvlText w:val="%1."/>
      <w:numFmt w:val="decimal"/>
      <w:start w:val="1"/>
    </w:lvl>
  </w:abstractNum>
  <w:abstractNum w:abstractNumId="20">
    <w:nsid w:val="628C895D"/>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2019-12-10T21:23:44Z</dcterms:created>
  <dcterms:modified xsi:type="dcterms:W3CDTF">2019-12-10T21:23:44Z</dcterms:modified>
</cp:coreProperties>
</file>