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15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51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Billings Craig Scott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3"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89109</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8"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21,803</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21,803</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58.85</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05/11/2022</w:t>
            </w:r>
          </w:p>
        </w:tc>
        <w:tc>
          <w:tcPr>
            <w:tcW w:w="1060" w:type="dxa"/>
            <w:vAlign w:val="bottom"/>
          </w:tcPr>
          <w:p>
            <w:pPr>
              <w:spacing w:after="0"/>
              <w:rPr>
                <w:sz w:val="5"/>
                <w:szCs w:val="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12/31/2022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05/11/2025</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21,803</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6"/>
        </w:trPr>
        <w:tc>
          <w:tcPr>
            <w:tcW w:w="3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60" w:type="dxa"/>
            <w:vAlign w:val="bottom"/>
          </w:tcPr>
          <w:p>
            <w:pPr>
              <w:jc w:val="center"/>
              <w:ind w:left="3216"/>
              <w:spacing w:after="0" w:line="126" w:lineRule="exact"/>
              <w:rPr>
                <w:sz w:val="20"/>
                <w:szCs w:val="20"/>
                <w:color w:val="auto"/>
              </w:rPr>
            </w:pPr>
            <w:r>
              <w:rPr>
                <w:rFonts w:ascii="Times New Roman" w:cs="Times New Roman" w:eastAsia="Times New Roman" w:hAnsi="Times New Roman"/>
                <w:sz w:val="13"/>
                <w:szCs w:val="13"/>
                <w:color w:val="0000FF"/>
                <w:w w:val="97"/>
              </w:rPr>
              <w:t>$0.01 per</w:t>
            </w:r>
          </w:p>
        </w:tc>
        <w:tc>
          <w:tcPr>
            <w:tcW w:w="0" w:type="dxa"/>
            <w:vAlign w:val="bottom"/>
          </w:tcPr>
          <w:p>
            <w:pPr>
              <w:spacing w:after="0"/>
              <w:rPr>
                <w:sz w:val="1"/>
                <w:szCs w:val="1"/>
                <w:color w:val="auto"/>
              </w:rPr>
            </w:pPr>
          </w:p>
        </w:tc>
      </w:tr>
      <w:tr>
        <w:trPr>
          <w:trHeight w:val="89"/>
        </w:trPr>
        <w:tc>
          <w:tcPr>
            <w:tcW w:w="3520" w:type="dxa"/>
            <w:vAlign w:val="bottom"/>
            <w:vMerge w:val="continue"/>
          </w:tcPr>
          <w:p>
            <w:pPr>
              <w:spacing w:after="0"/>
              <w:rPr>
                <w:sz w:val="7"/>
                <w:szCs w:val="7"/>
                <w:color w:val="auto"/>
              </w:rPr>
            </w:pPr>
          </w:p>
        </w:tc>
        <w:tc>
          <w:tcPr>
            <w:tcW w:w="3760" w:type="dxa"/>
            <w:vAlign w:val="bottom"/>
            <w:vMerge w:val="restart"/>
          </w:tcPr>
          <w:p>
            <w:pPr>
              <w:jc w:val="center"/>
              <w:ind w:left="3216"/>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6"/>
        </w:trPr>
        <w:tc>
          <w:tcPr>
            <w:tcW w:w="352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180"/>
        <w:spacing w:after="0" w:line="25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11, 2022, the Company initiated a voluntary program for certain employees of Wynn Macau, Limited to decrease cash expenditures by reducing the cash amounts of their base salaries for the remainder of 2022 in exchange for grants of an equivalent value of Wynn Macau, Limited restricted stock. In recognition of the significant portion of Wynn Resorts' NEOs' roles related to the oversight and supervision of our Macau Operations, Mr. Billings voluntarily reduced the cash amount of his base salary for the remainder of 2022 by 35% in exchange for a grant of an equivalent value of options to acquire Wynn Resorts, Limited common stock. Such options shall vest in full on December 31, 2022. Should Mr. Billings leave his employment prior to December 31, 2022 for any reason, the options shall vest on a pro-rata basis.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05/13/2022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4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Craig 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917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2022-05-13T18:16:24Z</dcterms:created>
  <dcterms:modified xsi:type="dcterms:W3CDTF">2022-05-13T18:16:24Z</dcterms:modified>
</cp:coreProperties>
</file>