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Date of Report (Date of earliest event reported): April 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0" w:lineRule="exact"/>
        <w:rPr>
          <w:sz w:val="24"/>
          <w:szCs w:val="24"/>
          <w:color w:val="auto"/>
        </w:rPr>
      </w:pPr>
    </w:p>
    <w:p>
      <w:pPr>
        <w:spacing w:after="0" w:line="21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167640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Nevada</w:t>
            </w:r>
          </w:p>
        </w:tc>
        <w:tc>
          <w:tcPr>
            <w:tcW w:w="4180" w:type="dxa"/>
            <w:vAlign w:val="bottom"/>
          </w:tcPr>
          <w:p>
            <w:pPr>
              <w:jc w:val="center"/>
              <w:ind w:right="241"/>
              <w:spacing w:after="0"/>
              <w:rPr>
                <w:sz w:val="20"/>
                <w:szCs w:val="20"/>
                <w:color w:val="auto"/>
              </w:rPr>
            </w:pPr>
            <w:r>
              <w:rPr>
                <w:rFonts w:ascii="Arial" w:cs="Arial" w:eastAsia="Arial" w:hAnsi="Arial"/>
                <w:sz w:val="18"/>
                <w:szCs w:val="18"/>
                <w:b w:val="1"/>
                <w:bCs w:val="1"/>
                <w:color w:val="auto"/>
                <w:w w:val="89"/>
              </w:rPr>
              <w:t>333-100768</w:t>
            </w:r>
          </w:p>
        </w:tc>
        <w:tc>
          <w:tcPr>
            <w:tcW w:w="1940" w:type="dxa"/>
            <w:vAlign w:val="bottom"/>
          </w:tcPr>
          <w:p>
            <w:pPr>
              <w:jc w:val="right"/>
              <w:ind w:right="4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6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(State or other jurisdiction</w:t>
            </w:r>
          </w:p>
        </w:tc>
        <w:tc>
          <w:tcPr>
            <w:tcW w:w="4180" w:type="dxa"/>
            <w:vAlign w:val="bottom"/>
          </w:tcPr>
          <w:p>
            <w:pPr>
              <w:jc w:val="center"/>
              <w:ind w:right="241"/>
              <w:spacing w:after="0"/>
              <w:rPr>
                <w:sz w:val="20"/>
                <w:szCs w:val="20"/>
                <w:color w:val="auto"/>
              </w:rPr>
            </w:pPr>
            <w:r>
              <w:rPr>
                <w:rFonts w:ascii="Arial" w:cs="Arial" w:eastAsia="Arial" w:hAnsi="Arial"/>
                <w:sz w:val="14"/>
                <w:szCs w:val="14"/>
                <w:b w:val="1"/>
                <w:bCs w:val="1"/>
                <w:color w:val="auto"/>
                <w:w w:val="92"/>
              </w:rPr>
              <w:t>(Commission</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of incorporation)</w:t>
            </w:r>
          </w:p>
        </w:tc>
        <w:tc>
          <w:tcPr>
            <w:tcW w:w="4180" w:type="dxa"/>
            <w:vAlign w:val="bottom"/>
          </w:tcPr>
          <w:p>
            <w:pPr>
              <w:jc w:val="center"/>
              <w:ind w:right="241"/>
              <w:spacing w:after="0"/>
              <w:rPr>
                <w:sz w:val="20"/>
                <w:szCs w:val="20"/>
                <w:color w:val="auto"/>
              </w:rPr>
            </w:pPr>
            <w:r>
              <w:rPr>
                <w:rFonts w:ascii="Arial" w:cs="Arial" w:eastAsia="Arial" w:hAnsi="Arial"/>
                <w:sz w:val="14"/>
                <w:szCs w:val="14"/>
                <w:b w:val="1"/>
                <w:bCs w:val="1"/>
                <w:color w:val="auto"/>
                <w:w w:val="95"/>
              </w:rPr>
              <w:t>File Number)</w:t>
            </w:r>
          </w:p>
        </w:tc>
        <w:tc>
          <w:tcPr>
            <w:tcW w:w="1940" w:type="dxa"/>
            <w:vAlign w:val="bottom"/>
          </w:tcPr>
          <w:p>
            <w:pPr>
              <w:jc w:val="center"/>
              <w:ind w:left="74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362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4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4"/>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88"/>
              </w:rPr>
              <w:t>Las Vegas, Nevada</w:t>
            </w:r>
          </w:p>
        </w:tc>
        <w:tc>
          <w:tcPr>
            <w:tcW w:w="4180" w:type="dxa"/>
            <w:vAlign w:val="bottom"/>
          </w:tcPr>
          <w:p>
            <w:pPr>
              <w:spacing w:after="0"/>
              <w:rPr>
                <w:sz w:val="20"/>
                <w:szCs w:val="20"/>
                <w:color w:val="auto"/>
              </w:rPr>
            </w:pPr>
          </w:p>
        </w:tc>
        <w:tc>
          <w:tcPr>
            <w:tcW w:w="194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6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180" w:type="dxa"/>
            <w:vAlign w:val="bottom"/>
          </w:tcPr>
          <w:p>
            <w:pPr>
              <w:spacing w:after="0"/>
              <w:rPr>
                <w:sz w:val="18"/>
                <w:szCs w:val="18"/>
                <w:color w:val="auto"/>
              </w:rPr>
            </w:pPr>
          </w:p>
        </w:tc>
        <w:tc>
          <w:tcPr>
            <w:tcW w:w="1940" w:type="dxa"/>
            <w:vAlign w:val="bottom"/>
          </w:tcPr>
          <w:p>
            <w:pPr>
              <w:jc w:val="center"/>
              <w:ind w:left="72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620" w:type="dxa"/>
            <w:vAlign w:val="bottom"/>
          </w:tcPr>
          <w:p>
            <w:pPr>
              <w:spacing w:after="0"/>
              <w:rPr>
                <w:sz w:val="24"/>
                <w:szCs w:val="24"/>
                <w:color w:val="auto"/>
              </w:rPr>
            </w:pPr>
          </w:p>
        </w:tc>
        <w:tc>
          <w:tcPr>
            <w:tcW w:w="4180" w:type="dxa"/>
            <w:vAlign w:val="bottom"/>
          </w:tcPr>
          <w:p>
            <w:pPr>
              <w:jc w:val="right"/>
              <w:ind w:right="1781"/>
              <w:spacing w:after="0"/>
              <w:rPr>
                <w:sz w:val="20"/>
                <w:szCs w:val="20"/>
                <w:color w:val="auto"/>
              </w:rPr>
            </w:pPr>
            <w:r>
              <w:rPr>
                <w:rFonts w:ascii="Arial" w:cs="Arial" w:eastAsia="Arial" w:hAnsi="Arial"/>
                <w:sz w:val="18"/>
                <w:szCs w:val="18"/>
                <w:b w:val="1"/>
                <w:bCs w:val="1"/>
                <w:color w:val="auto"/>
              </w:rPr>
              <w:t>(702) 770-7555</w:t>
            </w:r>
          </w:p>
        </w:tc>
        <w:tc>
          <w:tcPr>
            <w:tcW w:w="1940" w:type="dxa"/>
            <w:vAlign w:val="bottom"/>
          </w:tcPr>
          <w:p>
            <w:pPr>
              <w:spacing w:after="0"/>
              <w:rPr>
                <w:sz w:val="24"/>
                <w:szCs w:val="24"/>
                <w:color w:val="auto"/>
              </w:rPr>
            </w:pPr>
          </w:p>
        </w:tc>
      </w:tr>
      <w:tr>
        <w:trPr>
          <w:trHeight w:val="186"/>
        </w:trPr>
        <w:tc>
          <w:tcPr>
            <w:tcW w:w="3620" w:type="dxa"/>
            <w:vAlign w:val="bottom"/>
          </w:tcPr>
          <w:p>
            <w:pPr>
              <w:spacing w:after="0"/>
              <w:rPr>
                <w:sz w:val="16"/>
                <w:szCs w:val="16"/>
                <w:color w:val="auto"/>
              </w:rPr>
            </w:pPr>
          </w:p>
        </w:tc>
        <w:tc>
          <w:tcPr>
            <w:tcW w:w="4180" w:type="dxa"/>
            <w:vAlign w:val="bottom"/>
          </w:tcPr>
          <w:p>
            <w:pPr>
              <w:jc w:val="center"/>
              <w:ind w:right="60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40" w:type="dxa"/>
            <w:vAlign w:val="bottom"/>
          </w:tcPr>
          <w:p>
            <w:pPr>
              <w:spacing w:after="0"/>
              <w:rPr>
                <w:sz w:val="16"/>
                <w:szCs w:val="16"/>
                <w:color w:val="auto"/>
              </w:rPr>
            </w:pPr>
          </w:p>
        </w:tc>
      </w:tr>
    </w:tbl>
    <w:p>
      <w:pPr>
        <w:spacing w:after="0" w:line="196"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5, 2016, Wynn Resorts, Limited (the “Company”) issued a press release in connection with its Investor Conference to be held on April 6, 2016, announcing preliminary expectations of its results of operations for the first quarter ended March 31, 2016. The results in the release are preliminary and subject to the completion of the final financial statements, including the review of those financial statements by the Company’s internal accounting professionals, audit committee and independent registered public accounting firm.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4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383"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38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534"/>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0"/>
              </w:rPr>
              <w:t>Press release, dated April 5, 2016, of Wynn Resorts, Limited.</w:t>
            </w:r>
          </w:p>
        </w:tc>
      </w:tr>
    </w:tbl>
    <w:p>
      <w:pPr>
        <w:sectPr>
          <w:pgSz w:w="11900" w:h="16838" w:orient="portrait"/>
          <w:cols w:equalWidth="0" w:num="1">
            <w:col w:w="11360"/>
          </w:cols>
          <w:pgMar w:left="240" w:top="742"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5, 2016</w:t>
      </w:r>
    </w:p>
    <w:p>
      <w:pPr>
        <w:spacing w:after="0" w:line="200" w:lineRule="exact"/>
        <w:rPr>
          <w:sz w:val="20"/>
          <w:szCs w:val="20"/>
          <w:color w:val="auto"/>
        </w:rPr>
      </w:pPr>
    </w:p>
    <w:p>
      <w:pPr>
        <w:spacing w:after="0" w:line="20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389" w:lineRule="exact"/>
        <w:rPr>
          <w:sz w:val="20"/>
          <w:szCs w:val="20"/>
          <w:color w:val="auto"/>
        </w:rPr>
      </w:pPr>
    </w:p>
    <w:p>
      <w:pPr>
        <w:ind w:left="5740"/>
        <w:spacing w:after="0"/>
        <w:tabs>
          <w:tab w:leader="none" w:pos="6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 xml:space="preserve">/s/ </w:t>
      </w:r>
      <w:r>
        <w:rPr>
          <w:rFonts w:ascii="Arial" w:cs="Arial" w:eastAsia="Arial" w:hAnsi="Arial"/>
          <w:sz w:val="18"/>
          <w:szCs w:val="18"/>
          <w:color w:val="auto"/>
        </w:rPr>
        <w:t>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27305</wp:posOffset>
            </wp:positionV>
            <wp:extent cx="3249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8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5, 2016</w:t>
      </w: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WYNN LAS VEGAS, LLC</w:t>
      </w:r>
    </w:p>
    <w:p>
      <w:pPr>
        <w:spacing w:after="0" w:line="265" w:lineRule="exact"/>
        <w:rPr>
          <w:sz w:val="20"/>
          <w:szCs w:val="20"/>
          <w:color w:val="auto"/>
        </w:rPr>
      </w:pPr>
    </w:p>
    <w:tbl>
      <w:tblPr>
        <w:tblLayout w:type="fixed"/>
        <w:tblInd w:w="5640" w:type="dxa"/>
        <w:tblCellMar>
          <w:top w:w="0" w:type="dxa"/>
          <w:left w:w="0" w:type="dxa"/>
          <w:bottom w:w="0" w:type="dxa"/>
          <w:right w:w="0" w:type="dxa"/>
        </w:tblCellMar>
      </w:tblP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Las Vegas Holdings, LLC, its sole member</w:t>
            </w:r>
          </w:p>
        </w:tc>
      </w:tr>
      <w:tr>
        <w:trPr>
          <w:trHeight w:val="581"/>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America, LLC, its sole member</w:t>
            </w:r>
          </w:p>
        </w:tc>
      </w:tr>
      <w:tr>
        <w:trPr>
          <w:trHeight w:val="56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Resorts Holdings, LLC, its</w:t>
            </w:r>
          </w:p>
        </w:tc>
      </w:tr>
      <w:tr>
        <w:trPr>
          <w:trHeight w:val="250"/>
        </w:trPr>
        <w:tc>
          <w:tcPr>
            <w:tcW w:w="660" w:type="dxa"/>
            <w:vAlign w:val="bottom"/>
          </w:tcPr>
          <w:p>
            <w:pPr>
              <w:spacing w:after="0"/>
              <w:rPr>
                <w:sz w:val="21"/>
                <w:szCs w:val="21"/>
                <w:color w:val="auto"/>
              </w:rPr>
            </w:pPr>
          </w:p>
        </w:tc>
        <w:tc>
          <w:tcPr>
            <w:tcW w:w="5120" w:type="dxa"/>
            <w:vAlign w:val="bottom"/>
          </w:tcPr>
          <w:p>
            <w:pPr>
              <w:ind w:left="420"/>
              <w:spacing w:after="0"/>
              <w:rPr>
                <w:sz w:val="20"/>
                <w:szCs w:val="20"/>
                <w:color w:val="auto"/>
              </w:rPr>
            </w:pPr>
            <w:r>
              <w:rPr>
                <w:rFonts w:ascii="Arial" w:cs="Arial" w:eastAsia="Arial" w:hAnsi="Arial"/>
                <w:sz w:val="20"/>
                <w:szCs w:val="20"/>
                <w:color w:val="auto"/>
              </w:rPr>
              <w:t>sole member</w:t>
            </w:r>
          </w:p>
        </w:tc>
      </w:tr>
      <w:tr>
        <w:trPr>
          <w:trHeight w:val="53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120" w:type="dxa"/>
            <w:vAlign w:val="bottom"/>
          </w:tcPr>
          <w:p>
            <w:pPr>
              <w:ind w:left="120"/>
              <w:spacing w:after="0"/>
              <w:rPr>
                <w:sz w:val="20"/>
                <w:szCs w:val="20"/>
                <w:color w:val="auto"/>
              </w:rPr>
            </w:pPr>
            <w:r>
              <w:rPr>
                <w:rFonts w:ascii="Arial" w:cs="Arial" w:eastAsia="Arial" w:hAnsi="Arial"/>
                <w:sz w:val="20"/>
                <w:szCs w:val="20"/>
                <w:color w:val="auto"/>
              </w:rPr>
              <w:t>Wynn Resorts, Limited, its sole</w:t>
            </w:r>
          </w:p>
        </w:tc>
      </w:tr>
      <w:tr>
        <w:trPr>
          <w:trHeight w:val="250"/>
        </w:trPr>
        <w:tc>
          <w:tcPr>
            <w:tcW w:w="660" w:type="dxa"/>
            <w:vAlign w:val="bottom"/>
          </w:tcPr>
          <w:p>
            <w:pPr>
              <w:spacing w:after="0"/>
              <w:rPr>
                <w:sz w:val="21"/>
                <w:szCs w:val="21"/>
                <w:color w:val="auto"/>
              </w:rPr>
            </w:pPr>
          </w:p>
        </w:tc>
        <w:tc>
          <w:tcPr>
            <w:tcW w:w="5120" w:type="dxa"/>
            <w:vAlign w:val="bottom"/>
          </w:tcPr>
          <w:p>
            <w:pPr>
              <w:ind w:left="420"/>
              <w:spacing w:after="0"/>
              <w:rPr>
                <w:sz w:val="20"/>
                <w:szCs w:val="20"/>
                <w:color w:val="auto"/>
              </w:rPr>
            </w:pPr>
            <w:r>
              <w:rPr>
                <w:rFonts w:ascii="Arial" w:cs="Arial" w:eastAsia="Arial" w:hAnsi="Arial"/>
                <w:sz w:val="20"/>
                <w:szCs w:val="20"/>
                <w:color w:val="auto"/>
              </w:rPr>
              <w:t>member</w:t>
            </w:r>
          </w:p>
        </w:tc>
      </w:tr>
      <w:tr>
        <w:trPr>
          <w:trHeight w:val="554"/>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Pr>
          <w:p>
            <w:pPr>
              <w:ind w:left="8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8"/>
                <w:szCs w:val="18"/>
                <w:color w:val="auto"/>
              </w:rPr>
              <w:t>Stephen Cootey</w:t>
            </w:r>
          </w:p>
        </w:tc>
      </w:tr>
      <w:tr>
        <w:trPr>
          <w:trHeight w:val="23"/>
        </w:trPr>
        <w:tc>
          <w:tcPr>
            <w:tcW w:w="66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Stephen Cootey</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66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58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April 5, 2016,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Announces Preliminary First Quarter 2016 Results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LAS VEGAS, April 5, 2016 (BUSINESS WIRE) — Wynn Resorts, Limited (Nasdaq: WYNN) announced preliminary expectations of its financial results for the first quarter ended March 31, 2016. The results in this release are preliminary and subject to the completion of the final financial statements, including the review of those financial statements by the Company’s internal accounting professionals, audit committee and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first quarter of 2016, net revenues are expected to be in the range of $603 million to $613 million, compared to $705.4 million generated in the first quarter of 2015. Adjusted property EBITDA (1) is expected to be in the range of $187 million to $195 million in the first quarter of 2016, compared to $212.3 million for the first quarter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the first quarter of 2016, net revenues are expected to be in the range of $384 million to $394 million, compared to $386.9 million generated in the first quarter of 2015. Adjusted property EBITDA is expected to be between $105 million and $113 million for the first quarter of 2016, compared to $110.7 million for the first quarter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Forward-looking </w:t>
      </w:r>
      <w:r>
        <w:rPr>
          <w:rFonts w:ascii="Arial" w:cs="Arial" w:eastAsia="Arial" w:hAnsi="Arial"/>
          <w:sz w:val="16"/>
          <w:szCs w:val="16"/>
          <w:b w:val="1"/>
          <w:bCs w:val="1"/>
          <w:color w:val="auto"/>
        </w:rPr>
        <w:t>Statements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our expected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2015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for win per unit per day, ADR and REVPAR)</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252</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13,469,939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17,127,666</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378,652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480,364</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21,147</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Table drop (b)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1,210,100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1,281,414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247,500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279,560</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14,517</w:t>
            </w:r>
          </w:p>
        </w:tc>
      </w:tr>
      <w:tr>
        <w:trPr>
          <w:trHeight w:val="297"/>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649</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1,096,337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1,039,615</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47,777</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Slot machine win per unit per day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818</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b w:val="1"/>
                <w:bCs w:val="1"/>
                <w:color w:val="auto"/>
              </w:rPr>
              <w:t>Room statistics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ADR (d)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331</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REVPAR (e)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r>
      <w:tr>
        <w:trPr>
          <w:trHeight w:val="297"/>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475,162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573,612</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125,046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135,679</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Table games win per unit per day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6,351</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1,854</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717,460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762,184</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49,584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48,417</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 (c)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290</w:t>
            </w:r>
          </w:p>
        </w:tc>
      </w:tr>
      <w:tr>
        <w:trPr>
          <w:trHeight w:val="297"/>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ADR (d)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r>
      <w:tr>
        <w:trPr>
          <w:trHeight w:val="243"/>
        </w:trPr>
        <w:tc>
          <w:tcPr>
            <w:tcW w:w="8320" w:type="dxa"/>
            <w:vAlign w:val="bottom"/>
          </w:tcPr>
          <w:p>
            <w:pPr>
              <w:ind w:left="600"/>
              <w:spacing w:after="0"/>
              <w:rPr>
                <w:sz w:val="20"/>
                <w:szCs w:val="20"/>
                <w:color w:val="auto"/>
              </w:rPr>
            </w:pPr>
            <w:r>
              <w:rPr>
                <w:rFonts w:ascii="Arial" w:cs="Arial" w:eastAsia="Arial" w:hAnsi="Arial"/>
                <w:sz w:val="18"/>
                <w:szCs w:val="18"/>
                <w:color w:val="auto"/>
              </w:rPr>
              <w:t>REVPAR (e)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235</w:t>
            </w:r>
          </w:p>
        </w:tc>
      </w:tr>
    </w:tbl>
    <w:p>
      <w:pPr>
        <w:spacing w:after="0" w:line="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23" w:lineRule="exact"/>
        <w:rPr>
          <w:rFonts w:ascii="Arial" w:cs="Arial" w:eastAsia="Arial" w:hAnsi="Arial"/>
          <w:sz w:val="18"/>
          <w:szCs w:val="18"/>
          <w:color w:val="auto"/>
        </w:rPr>
      </w:pPr>
    </w:p>
    <w:p>
      <w:pPr>
        <w:ind w:left="340" w:right="8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Commencing in the second quarter of 2015, the Company determined that in Macau it will include the amount of cash that is deposited in a gaming table's drop box plus cash chips purchased at the casino cage in the calculation of table drop in accordance with standard Macau industry practice. In Las Vegas, table drop is the amount of cash and net markers issued that are deposited in a gaming table’s drop box.</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ectPr>
          <w:pgSz w:w="11900" w:h="16838" w:orient="portrait"/>
          <w:cols w:equalWidth="0" w:num="1">
            <w:col w:w="11420"/>
          </w:cols>
          <w:pgMar w:left="240" w:top="580" w:right="239" w:bottom="1440" w:gutter="0" w:footer="0" w:header="0"/>
        </w:sectPr>
      </w:pPr>
    </w:p>
    <w:bookmarkStart w:id="7" w:name="page8"/>
    <w:bookmarkEnd w:id="7"/>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240"/>
      </w:cols>
      <w:pgMar w:left="240" w:top="58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2019-12-07T16:30:05Z</dcterms:created>
  <dcterms:modified xsi:type="dcterms:W3CDTF">2019-12-07T16:30:05Z</dcterms:modified>
</cp:coreProperties>
</file>