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146050</wp:posOffset>
            </wp:positionH>
            <wp:positionV relativeFrom="page">
              <wp:posOffset>153035</wp:posOffset>
            </wp:positionV>
            <wp:extent cx="727011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115" cy="6985"/>
                    </a:xfrm>
                    <a:prstGeom prst="rect">
                      <a:avLst/>
                    </a:prstGeom>
                    <a:noFill/>
                  </pic:spPr>
                </pic:pic>
              </a:graphicData>
            </a:graphic>
          </wp:anchor>
        </w:drawing>
        <w:drawing>
          <wp:anchor simplePos="0" relativeHeight="251657728" behindDoc="1" locked="0" layoutInCell="0" allowOverlap="1">
            <wp:simplePos x="0" y="0"/>
            <wp:positionH relativeFrom="page">
              <wp:posOffset>146050</wp:posOffset>
            </wp:positionH>
            <wp:positionV relativeFrom="page">
              <wp:posOffset>188595</wp:posOffset>
            </wp:positionV>
            <wp:extent cx="72701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115" cy="6985"/>
                    </a:xfrm>
                    <a:prstGeom prst="rect">
                      <a:avLst/>
                    </a:prstGeom>
                    <a:noFill/>
                  </pic:spPr>
                </pic:pic>
              </a:graphicData>
            </a:graphic>
          </wp:anchor>
        </w:drawing>
        <w:t>UNITED STATES</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183515</wp:posOffset>
            </wp:positionV>
            <wp:extent cx="15220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2095" cy="698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SCHEDULE 14A INFORMATION</w:t>
      </w:r>
    </w:p>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jc w:val="center"/>
        <w:ind w:right="-79"/>
        <w:spacing w:after="0"/>
        <w:tabs>
          <w:tab w:leader="none" w:pos="22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190500</wp:posOffset>
            </wp:positionV>
            <wp:extent cx="15220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2095" cy="698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line="173" w:lineRule="exact"/>
        <w:tabs>
          <w:tab w:leader="none" w:pos="2640" w:val="left"/>
        </w:tabs>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08" w:lineRule="exact"/>
        <w:rPr>
          <w:sz w:val="24"/>
          <w:szCs w:val="24"/>
          <w:color w:val="auto"/>
        </w:rPr>
      </w:pPr>
    </w:p>
    <w:p>
      <w:pPr>
        <w:ind w:left="460" w:hanging="450"/>
        <w:spacing w:after="0"/>
        <w:tabs>
          <w:tab w:leader="none" w:pos="4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92" w:lineRule="exact"/>
        <w:rPr>
          <w:rFonts w:ascii="MS PGothic" w:cs="MS PGothic" w:eastAsia="MS PGothic" w:hAnsi="MS PGothic"/>
          <w:sz w:val="15"/>
          <w:szCs w:val="15"/>
          <w:color w:val="auto"/>
        </w:rPr>
      </w:pPr>
    </w:p>
    <w:p>
      <w:pPr>
        <w:ind w:left="460" w:hanging="450"/>
        <w:spacing w:after="0"/>
        <w:tabs>
          <w:tab w:leader="none" w:pos="4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00" w:lineRule="exact"/>
        <w:rPr>
          <w:rFonts w:ascii="MS PGothic" w:cs="MS PGothic" w:eastAsia="MS PGothic" w:hAnsi="MS PGothic"/>
          <w:sz w:val="15"/>
          <w:szCs w:val="15"/>
          <w:color w:val="auto"/>
        </w:rPr>
      </w:pPr>
    </w:p>
    <w:p>
      <w:pPr>
        <w:ind w:left="460" w:hanging="450"/>
        <w:spacing w:after="0"/>
        <w:tabs>
          <w:tab w:leader="none" w:pos="4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96" w:lineRule="exact"/>
        <w:rPr>
          <w:sz w:val="24"/>
          <w:szCs w:val="24"/>
          <w:color w:val="auto"/>
        </w:rPr>
      </w:pPr>
    </w:p>
    <w:p>
      <w:pPr>
        <w:ind w:left="460" w:hanging="450"/>
        <w:spacing w:after="0"/>
        <w:tabs>
          <w:tab w:leader="none" w:pos="4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96" w:lineRule="exact"/>
        <w:rPr>
          <w:sz w:val="24"/>
          <w:szCs w:val="24"/>
          <w:color w:val="auto"/>
        </w:rPr>
      </w:pPr>
    </w:p>
    <w:p>
      <w:pPr>
        <w:ind w:left="460" w:hanging="450"/>
        <w:spacing w:after="0"/>
        <w:tabs>
          <w:tab w:leader="none" w:pos="46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Soliciting Material under Rule 14a-12</w:t>
      </w:r>
    </w:p>
    <w:p>
      <w:pPr>
        <w:spacing w:after="0" w:line="247" w:lineRule="exact"/>
        <w:rPr>
          <w:sz w:val="24"/>
          <w:szCs w:val="24"/>
          <w:color w:val="auto"/>
        </w:rPr>
      </w:pPr>
    </w:p>
    <w:p>
      <w:pPr>
        <w:jc w:val="center"/>
        <w:ind w:right="-59"/>
        <w:spacing w:after="0"/>
        <w:rPr>
          <w:sz w:val="20"/>
          <w:szCs w:val="20"/>
          <w:color w:val="auto"/>
        </w:rPr>
      </w:pPr>
      <w:r>
        <w:rPr>
          <w:rFonts w:ascii="Arial" w:cs="Arial" w:eastAsia="Arial" w:hAnsi="Arial"/>
          <w:sz w:val="33"/>
          <w:szCs w:val="33"/>
          <w:b w:val="1"/>
          <w:bCs w:val="1"/>
          <w:color w:val="auto"/>
        </w:rPr>
        <w:t>Wynn Resorts, Limited</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290"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261"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186" w:lineRule="exact"/>
        <w:rPr>
          <w:sz w:val="24"/>
          <w:szCs w:val="24"/>
          <w:color w:val="auto"/>
        </w:rPr>
      </w:pPr>
    </w:p>
    <w:p>
      <w:pPr>
        <w:ind w:left="480" w:hanging="470"/>
        <w:spacing w:after="0"/>
        <w:tabs>
          <w:tab w:leader="none" w:pos="48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86" w:lineRule="exact"/>
        <w:rPr>
          <w:sz w:val="24"/>
          <w:szCs w:val="24"/>
          <w:color w:val="auto"/>
        </w:rPr>
      </w:pPr>
    </w:p>
    <w:p>
      <w:pPr>
        <w:ind w:left="480" w:hanging="470"/>
        <w:spacing w:after="0"/>
        <w:tabs>
          <w:tab w:leader="none" w:pos="48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14a-6(i)(4) and 0-11.</w:t>
      </w:r>
    </w:p>
    <w:p>
      <w:pPr>
        <w:spacing w:after="0" w:line="185" w:lineRule="exact"/>
        <w:rPr>
          <w:rFonts w:ascii="MS PGothic" w:cs="MS PGothic" w:eastAsia="MS PGothic" w:hAnsi="MS PGothic"/>
          <w:sz w:val="15"/>
          <w:szCs w:val="15"/>
          <w:color w:val="auto"/>
        </w:rPr>
      </w:pPr>
    </w:p>
    <w:p>
      <w:pPr>
        <w:ind w:left="920" w:hanging="440"/>
        <w:spacing w:after="0"/>
        <w:tabs>
          <w:tab w:leader="none" w:pos="9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00" w:lineRule="exact"/>
        <w:rPr>
          <w:rFonts w:ascii="Arial" w:cs="Arial" w:eastAsia="Arial" w:hAnsi="Arial"/>
          <w:sz w:val="15"/>
          <w:szCs w:val="15"/>
          <w:color w:val="auto"/>
        </w:rPr>
      </w:pPr>
    </w:p>
    <w:p>
      <w:pPr>
        <w:spacing w:after="0" w:line="210" w:lineRule="exact"/>
        <w:rPr>
          <w:rFonts w:ascii="Arial" w:cs="Arial" w:eastAsia="Arial" w:hAnsi="Arial"/>
          <w:sz w:val="15"/>
          <w:szCs w:val="15"/>
          <w:color w:val="auto"/>
        </w:rPr>
      </w:pPr>
    </w:p>
    <w:p>
      <w:pPr>
        <w:ind w:left="920" w:hanging="440"/>
        <w:spacing w:after="0"/>
        <w:tabs>
          <w:tab w:leader="none" w:pos="9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00" w:lineRule="exact"/>
        <w:rPr>
          <w:rFonts w:ascii="Arial" w:cs="Arial" w:eastAsia="Arial" w:hAnsi="Arial"/>
          <w:sz w:val="15"/>
          <w:szCs w:val="15"/>
          <w:color w:val="auto"/>
        </w:rPr>
      </w:pPr>
    </w:p>
    <w:p>
      <w:pPr>
        <w:spacing w:after="0" w:line="210" w:lineRule="exact"/>
        <w:rPr>
          <w:rFonts w:ascii="Arial" w:cs="Arial" w:eastAsia="Arial" w:hAnsi="Arial"/>
          <w:sz w:val="15"/>
          <w:szCs w:val="15"/>
          <w:color w:val="auto"/>
        </w:rPr>
      </w:pPr>
    </w:p>
    <w:p>
      <w:pPr>
        <w:ind w:left="920" w:hanging="440"/>
        <w:spacing w:after="0" w:line="272" w:lineRule="auto"/>
        <w:tabs>
          <w:tab w:leader="none" w:pos="9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370" w:lineRule="exact"/>
        <w:rPr>
          <w:rFonts w:ascii="Arial" w:cs="Arial" w:eastAsia="Arial" w:hAnsi="Arial"/>
          <w:sz w:val="15"/>
          <w:szCs w:val="15"/>
          <w:color w:val="auto"/>
        </w:rPr>
      </w:pPr>
    </w:p>
    <w:p>
      <w:pPr>
        <w:ind w:left="920" w:hanging="440"/>
        <w:spacing w:after="0"/>
        <w:tabs>
          <w:tab w:leader="none" w:pos="9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0" w:lineRule="exact"/>
        <w:rPr>
          <w:rFonts w:ascii="Arial" w:cs="Arial" w:eastAsia="Arial" w:hAnsi="Arial"/>
          <w:sz w:val="15"/>
          <w:szCs w:val="15"/>
          <w:color w:val="auto"/>
        </w:rPr>
      </w:pPr>
    </w:p>
    <w:p>
      <w:pPr>
        <w:spacing w:after="0" w:line="210" w:lineRule="exact"/>
        <w:rPr>
          <w:rFonts w:ascii="Arial" w:cs="Arial" w:eastAsia="Arial" w:hAnsi="Arial"/>
          <w:sz w:val="15"/>
          <w:szCs w:val="15"/>
          <w:color w:val="auto"/>
        </w:rPr>
      </w:pPr>
    </w:p>
    <w:p>
      <w:pPr>
        <w:ind w:left="920" w:hanging="440"/>
        <w:spacing w:after="0"/>
        <w:tabs>
          <w:tab w:leader="none" w:pos="9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78" w:lineRule="exact"/>
        <w:rPr>
          <w:rFonts w:ascii="Arial" w:cs="Arial" w:eastAsia="Arial" w:hAnsi="Arial"/>
          <w:sz w:val="15"/>
          <w:szCs w:val="15"/>
          <w:color w:val="auto"/>
        </w:rPr>
      </w:pPr>
    </w:p>
    <w:p>
      <w:pPr>
        <w:ind w:left="480" w:hanging="470"/>
        <w:spacing w:after="0"/>
        <w:tabs>
          <w:tab w:leader="none" w:pos="48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275" w:lineRule="exact"/>
        <w:rPr>
          <w:rFonts w:ascii="MS PGothic" w:cs="MS PGothic" w:eastAsia="MS PGothic" w:hAnsi="MS PGothic"/>
          <w:sz w:val="15"/>
          <w:szCs w:val="15"/>
          <w:color w:val="auto"/>
        </w:rPr>
      </w:pPr>
    </w:p>
    <w:p>
      <w:pPr>
        <w:ind w:left="480" w:right="220" w:hanging="470"/>
        <w:spacing w:after="0" w:line="272" w:lineRule="auto"/>
        <w:tabs>
          <w:tab w:leader="none" w:pos="48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6" w:lineRule="exact"/>
        <w:rPr>
          <w:rFonts w:ascii="MS PGothic" w:cs="MS PGothic" w:eastAsia="MS PGothic" w:hAnsi="MS PGothic"/>
          <w:sz w:val="15"/>
          <w:szCs w:val="15"/>
          <w:color w:val="auto"/>
        </w:rPr>
      </w:pPr>
    </w:p>
    <w:p>
      <w:pPr>
        <w:ind w:left="920" w:hanging="440"/>
        <w:spacing w:after="0"/>
        <w:tabs>
          <w:tab w:leader="none" w:pos="9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00" w:lineRule="exact"/>
        <w:rPr>
          <w:rFonts w:ascii="Arial" w:cs="Arial" w:eastAsia="Arial" w:hAnsi="Arial"/>
          <w:sz w:val="15"/>
          <w:szCs w:val="15"/>
          <w:color w:val="auto"/>
        </w:rPr>
      </w:pPr>
    </w:p>
    <w:p>
      <w:pPr>
        <w:spacing w:after="0" w:line="210" w:lineRule="exact"/>
        <w:rPr>
          <w:rFonts w:ascii="Arial" w:cs="Arial" w:eastAsia="Arial" w:hAnsi="Arial"/>
          <w:sz w:val="15"/>
          <w:szCs w:val="15"/>
          <w:color w:val="auto"/>
        </w:rPr>
      </w:pPr>
    </w:p>
    <w:p>
      <w:pPr>
        <w:ind w:left="920" w:hanging="440"/>
        <w:spacing w:after="0"/>
        <w:tabs>
          <w:tab w:leader="none" w:pos="92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0" w:lineRule="exact"/>
        <w:rPr>
          <w:rFonts w:ascii="Arial" w:cs="Arial" w:eastAsia="Arial" w:hAnsi="Arial"/>
          <w:sz w:val="15"/>
          <w:szCs w:val="15"/>
          <w:color w:val="auto"/>
        </w:rPr>
      </w:pPr>
    </w:p>
    <w:p>
      <w:pPr>
        <w:spacing w:after="0" w:line="210" w:lineRule="exact"/>
        <w:rPr>
          <w:rFonts w:ascii="Arial" w:cs="Arial" w:eastAsia="Arial" w:hAnsi="Arial"/>
          <w:sz w:val="15"/>
          <w:szCs w:val="15"/>
          <w:color w:val="auto"/>
        </w:rPr>
      </w:pPr>
    </w:p>
    <w:p>
      <w:pPr>
        <w:ind w:left="920" w:hanging="440"/>
        <w:spacing w:after="0"/>
        <w:tabs>
          <w:tab w:leader="none" w:pos="92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0" w:lineRule="exact"/>
        <w:rPr>
          <w:rFonts w:ascii="Arial" w:cs="Arial" w:eastAsia="Arial" w:hAnsi="Arial"/>
          <w:sz w:val="15"/>
          <w:szCs w:val="15"/>
          <w:color w:val="auto"/>
        </w:rPr>
      </w:pPr>
    </w:p>
    <w:p>
      <w:pPr>
        <w:spacing w:after="0" w:line="210" w:lineRule="exact"/>
        <w:rPr>
          <w:rFonts w:ascii="Arial" w:cs="Arial" w:eastAsia="Arial" w:hAnsi="Arial"/>
          <w:sz w:val="15"/>
          <w:szCs w:val="15"/>
          <w:color w:val="auto"/>
        </w:rPr>
      </w:pPr>
    </w:p>
    <w:p>
      <w:pPr>
        <w:ind w:left="920" w:hanging="440"/>
        <w:spacing w:after="0"/>
        <w:tabs>
          <w:tab w:leader="none" w:pos="92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589280</wp:posOffset>
            </wp:positionH>
            <wp:positionV relativeFrom="paragraph">
              <wp:posOffset>-3672840</wp:posOffset>
            </wp:positionV>
            <wp:extent cx="66865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86550" cy="6985"/>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-3303270</wp:posOffset>
            </wp:positionV>
            <wp:extent cx="66865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6550" cy="6985"/>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-2819400</wp:posOffset>
            </wp:positionV>
            <wp:extent cx="66865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6550" cy="6985"/>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-2449830</wp:posOffset>
            </wp:positionV>
            <wp:extent cx="66865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6550" cy="6985"/>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-2079625</wp:posOffset>
            </wp:positionV>
            <wp:extent cx="66865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6550" cy="6985"/>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-855980</wp:posOffset>
            </wp:positionV>
            <wp:extent cx="66865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6550" cy="6985"/>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-486410</wp:posOffset>
            </wp:positionV>
            <wp:extent cx="668655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86550" cy="6985"/>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-116205</wp:posOffset>
            </wp:positionV>
            <wp:extent cx="668655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6550" cy="6985"/>
                    </a:xfrm>
                    <a:prstGeom prst="rect">
                      <a:avLst/>
                    </a:prstGeom>
                    <a:noFill/>
                  </pic:spPr>
                </pic:pic>
              </a:graphicData>
            </a:graphic>
          </wp:anchor>
        </w:drawing>
        <w:drawing>
          <wp:anchor simplePos="0" relativeHeight="251657728" behindDoc="1" locked="0" layoutInCell="0" allowOverlap="1">
            <wp:simplePos x="0" y="0"/>
            <wp:positionH relativeFrom="column">
              <wp:posOffset>589280</wp:posOffset>
            </wp:positionH>
            <wp:positionV relativeFrom="paragraph">
              <wp:posOffset>252730</wp:posOffset>
            </wp:positionV>
            <wp:extent cx="668655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86550"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402590</wp:posOffset>
            </wp:positionV>
            <wp:extent cx="727011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115" cy="698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438150</wp:posOffset>
            </wp:positionV>
            <wp:extent cx="727011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115" cy="6985"/>
                    </a:xfrm>
                    <a:prstGeom prst="rect">
                      <a:avLst/>
                    </a:prstGeom>
                    <a:noFill/>
                  </pic:spPr>
                </pic:pic>
              </a:graphicData>
            </a:graphic>
          </wp:anchor>
        </w:drawing>
      </w:r>
    </w:p>
    <w:p>
      <w:pPr>
        <w:sectPr>
          <w:pgSz w:w="11900" w:h="16838" w:orient="portrait"/>
          <w:cols w:equalWidth="0" w:num="1">
            <w:col w:w="11400"/>
          </w:cols>
          <w:pgMar w:left="220" w:top="452" w:right="2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88900</wp:posOffset>
            </wp:positionV>
            <wp:extent cx="7309485" cy="5278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9485" cy="52781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440"/>
        <w:spacing w:after="0"/>
        <w:rPr>
          <w:sz w:val="20"/>
          <w:szCs w:val="20"/>
          <w:color w:val="auto"/>
        </w:rPr>
      </w:pPr>
      <w:r>
        <w:rPr>
          <w:rFonts w:ascii="Arial" w:cs="Arial" w:eastAsia="Arial" w:hAnsi="Arial"/>
          <w:sz w:val="59"/>
          <w:szCs w:val="59"/>
          <w:b w:val="1"/>
          <w:bCs w:val="1"/>
          <w:color w:val="FCFCD1"/>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50"/>
          <w:szCs w:val="50"/>
          <w:color w:val="FCFCD1"/>
        </w:rPr>
        <w:t>2015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50"/>
          <w:szCs w:val="50"/>
          <w:color w:val="FCFCD1"/>
        </w:rPr>
        <w:t>Key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898989"/>
        </w:rPr>
        <w:t>1</w:t>
      </w:r>
    </w:p>
    <w:p>
      <w:pPr>
        <w:sectPr>
          <w:pgSz w:w="11900" w:h="16838" w:orient="portrait"/>
          <w:cols w:equalWidth="0" w:num="1">
            <w:col w:w="9040"/>
          </w:cols>
          <w:pgMar w:left="1440" w:top="1440" w:right="1419" w:bottom="1440" w:gutter="0" w:footer="0" w:header="0"/>
        </w:sectPr>
      </w:pPr>
    </w:p>
    <w:bookmarkStart w:id="2" w:name="page3"/>
    <w:bookmarkEnd w:id="2"/>
    <w:p>
      <w:pPr>
        <w:ind w:left="828" w:hanging="279"/>
        <w:spacing w:after="0" w:line="288" w:lineRule="auto"/>
        <w:rPr>
          <w:sz w:val="20"/>
          <w:szCs w:val="20"/>
          <w:color w:val="auto"/>
        </w:rPr>
      </w:pPr>
      <w:r>
        <w:rPr>
          <w:rFonts w:ascii="Arial" w:cs="Arial" w:eastAsia="Arial" w:hAnsi="Arial"/>
          <w:sz w:val="30"/>
          <w:szCs w:val="30"/>
          <w:b w:val="1"/>
          <w:bCs w:val="1"/>
          <w:color w:val="FCFCD1"/>
        </w:rPr>
        <w:drawing>
          <wp:anchor simplePos="0" relativeHeight="251657728" behindDoc="1" locked="0" layoutInCell="0" allowOverlap="1">
            <wp:simplePos x="0" y="0"/>
            <wp:positionH relativeFrom="page">
              <wp:posOffset>133350</wp:posOffset>
            </wp:positionH>
            <wp:positionV relativeFrom="page">
              <wp:posOffset>88900</wp:posOffset>
            </wp:positionV>
            <wp:extent cx="7309485" cy="5278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9485" cy="5278120"/>
                    </a:xfrm>
                    <a:prstGeom prst="rect">
                      <a:avLst/>
                    </a:prstGeom>
                    <a:noFill/>
                  </pic:spPr>
                </pic:pic>
              </a:graphicData>
            </a:graphic>
          </wp:anchor>
        </w:drawing>
        <w:t>WYNN RESORTS BOARD’S COMMITMENT: WILL APPOINT ANOTHER QUALIFIED, DIVERSE INDEPENDENT DIRECTOR BY END OF 2015</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8" w:right="700" w:hanging="408"/>
        <w:spacing w:after="0" w:line="271" w:lineRule="auto"/>
        <w:tabs>
          <w:tab w:leader="none" w:pos="408" w:val="left"/>
        </w:tabs>
        <w:numPr>
          <w:ilvl w:val="0"/>
          <w:numId w:val="6"/>
        </w:numPr>
        <w:rPr>
          <w:rFonts w:ascii="Arial" w:cs="Arial" w:eastAsia="Arial" w:hAnsi="Arial"/>
          <w:sz w:val="26"/>
          <w:szCs w:val="26"/>
          <w:color w:val="FCFCD1"/>
        </w:rPr>
      </w:pPr>
      <w:r>
        <w:rPr>
          <w:rFonts w:ascii="Arial" w:cs="Arial" w:eastAsia="Arial" w:hAnsi="Arial"/>
          <w:sz w:val="26"/>
          <w:szCs w:val="26"/>
          <w:color w:val="FCFCD1"/>
        </w:rPr>
        <w:t>The Wynn Resorts Board is taking steps to enhance the Board's independence, broaden its skills and experience, and increase its effectiveness.</w:t>
      </w:r>
    </w:p>
    <w:p>
      <w:pPr>
        <w:spacing w:after="0" w:line="200" w:lineRule="exact"/>
        <w:rPr>
          <w:rFonts w:ascii="Arial" w:cs="Arial" w:eastAsia="Arial" w:hAnsi="Arial"/>
          <w:sz w:val="26"/>
          <w:szCs w:val="26"/>
          <w:color w:val="FCFCD1"/>
        </w:rPr>
      </w:pPr>
    </w:p>
    <w:p>
      <w:pPr>
        <w:spacing w:after="0" w:line="222" w:lineRule="exact"/>
        <w:rPr>
          <w:rFonts w:ascii="Arial" w:cs="Arial" w:eastAsia="Arial" w:hAnsi="Arial"/>
          <w:sz w:val="26"/>
          <w:szCs w:val="26"/>
          <w:color w:val="FCFCD1"/>
        </w:rPr>
      </w:pPr>
    </w:p>
    <w:p>
      <w:pPr>
        <w:ind w:left="408" w:right="320" w:hanging="408"/>
        <w:spacing w:after="0" w:line="251" w:lineRule="auto"/>
        <w:tabs>
          <w:tab w:leader="none" w:pos="408" w:val="left"/>
        </w:tabs>
        <w:numPr>
          <w:ilvl w:val="0"/>
          <w:numId w:val="6"/>
        </w:numPr>
        <w:rPr>
          <w:rFonts w:ascii="Arial" w:cs="Arial" w:eastAsia="Arial" w:hAnsi="Arial"/>
          <w:sz w:val="27"/>
          <w:szCs w:val="27"/>
          <w:color w:val="FCFCD1"/>
        </w:rPr>
      </w:pPr>
      <w:r>
        <w:rPr>
          <w:rFonts w:ascii="Arial" w:cs="Arial" w:eastAsia="Arial" w:hAnsi="Arial"/>
          <w:sz w:val="27"/>
          <w:szCs w:val="27"/>
          <w:color w:val="FCFCD1"/>
        </w:rPr>
        <w:t>The Nominating and Governance Committee seeks to have the Board represent a diversity of backgrounds and experiences and assesses potential nominees in light of the Board’s current size and composition.</w:t>
      </w:r>
    </w:p>
    <w:p>
      <w:pPr>
        <w:spacing w:after="0" w:line="200" w:lineRule="exact"/>
        <w:rPr>
          <w:rFonts w:ascii="Arial" w:cs="Arial" w:eastAsia="Arial" w:hAnsi="Arial"/>
          <w:sz w:val="27"/>
          <w:szCs w:val="27"/>
          <w:color w:val="FCFCD1"/>
        </w:rPr>
      </w:pPr>
    </w:p>
    <w:p>
      <w:pPr>
        <w:spacing w:after="0" w:line="248" w:lineRule="exact"/>
        <w:rPr>
          <w:rFonts w:ascii="Arial" w:cs="Arial" w:eastAsia="Arial" w:hAnsi="Arial"/>
          <w:sz w:val="27"/>
          <w:szCs w:val="27"/>
          <w:color w:val="FCFCD1"/>
        </w:rPr>
      </w:pPr>
    </w:p>
    <w:p>
      <w:pPr>
        <w:ind w:left="408" w:right="1080" w:hanging="408"/>
        <w:spacing w:after="0" w:line="251" w:lineRule="auto"/>
        <w:tabs>
          <w:tab w:leader="none" w:pos="408" w:val="left"/>
        </w:tabs>
        <w:numPr>
          <w:ilvl w:val="0"/>
          <w:numId w:val="6"/>
        </w:numPr>
        <w:rPr>
          <w:rFonts w:ascii="Arial" w:cs="Arial" w:eastAsia="Arial" w:hAnsi="Arial"/>
          <w:sz w:val="27"/>
          <w:szCs w:val="27"/>
          <w:color w:val="FCFCD1"/>
        </w:rPr>
      </w:pPr>
      <w:r>
        <w:rPr>
          <w:rFonts w:ascii="Arial" w:cs="Arial" w:eastAsia="Arial" w:hAnsi="Arial"/>
          <w:sz w:val="27"/>
          <w:szCs w:val="27"/>
          <w:color w:val="FCFCD1"/>
        </w:rPr>
        <w:t>In response to questions from our stockholders, the Corporate Governance Committee wants there to be no doubt that the Board is committedto prioritizing women and diverse candidates in its search, and WILLname one or more diverse directors to the Board by the end of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288"/>
        <w:spacing w:after="0"/>
        <w:rPr>
          <w:sz w:val="20"/>
          <w:szCs w:val="20"/>
          <w:color w:val="auto"/>
        </w:rPr>
      </w:pPr>
      <w:r>
        <w:rPr>
          <w:rFonts w:ascii="Arial" w:cs="Arial" w:eastAsia="Arial" w:hAnsi="Arial"/>
          <w:sz w:val="18"/>
          <w:szCs w:val="18"/>
          <w:color w:val="898989"/>
        </w:rPr>
        <w:t>2</w:t>
      </w:r>
    </w:p>
    <w:p>
      <w:pPr>
        <w:sectPr>
          <w:pgSz w:w="11900" w:h="16838" w:orient="portrait"/>
          <w:cols w:equalWidth="0" w:num="1">
            <w:col w:w="10568"/>
          </w:cols>
          <w:pgMar w:left="1092" w:top="1094" w:right="239" w:bottom="1440" w:gutter="0" w:footer="0" w:header="0"/>
        </w:sectPr>
      </w:pPr>
    </w:p>
    <w:bookmarkStart w:id="3" w:name="page4"/>
    <w:bookmarkEnd w:id="3"/>
    <w:p>
      <w:pPr>
        <w:ind w:left="597"/>
        <w:spacing w:after="0"/>
        <w:rPr>
          <w:sz w:val="20"/>
          <w:szCs w:val="20"/>
          <w:color w:val="auto"/>
        </w:rPr>
      </w:pPr>
      <w:r>
        <w:rPr>
          <w:rFonts w:ascii="Arial" w:cs="Arial" w:eastAsia="Arial" w:hAnsi="Arial"/>
          <w:sz w:val="30"/>
          <w:szCs w:val="30"/>
          <w:b w:val="1"/>
          <w:bCs w:val="1"/>
          <w:color w:val="FCFCD1"/>
        </w:rPr>
        <w:drawing>
          <wp:anchor simplePos="0" relativeHeight="251657728" behindDoc="1" locked="0" layoutInCell="0" allowOverlap="1">
            <wp:simplePos x="0" y="0"/>
            <wp:positionH relativeFrom="page">
              <wp:posOffset>133350</wp:posOffset>
            </wp:positionH>
            <wp:positionV relativeFrom="page">
              <wp:posOffset>88900</wp:posOffset>
            </wp:positionV>
            <wp:extent cx="7309485" cy="52781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9485" cy="5278120"/>
                    </a:xfrm>
                    <a:prstGeom prst="rect">
                      <a:avLst/>
                    </a:prstGeom>
                    <a:noFill/>
                  </pic:spPr>
                </pic:pic>
              </a:graphicData>
            </a:graphic>
          </wp:anchor>
        </w:drawing>
        <w:t>WYNN RESORTS HAS A TRACK RECORD OF PROMOTING DIVERSITY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97" w:right="1200" w:hanging="397"/>
        <w:spacing w:after="0" w:line="261" w:lineRule="auto"/>
        <w:tabs>
          <w:tab w:leader="none" w:pos="397" w:val="left"/>
        </w:tabs>
        <w:numPr>
          <w:ilvl w:val="0"/>
          <w:numId w:val="7"/>
        </w:numPr>
        <w:rPr>
          <w:rFonts w:ascii="Arial" w:cs="Arial" w:eastAsia="Arial" w:hAnsi="Arial"/>
          <w:sz w:val="27"/>
          <w:szCs w:val="27"/>
          <w:color w:val="FCFCD1"/>
        </w:rPr>
      </w:pPr>
      <w:r>
        <w:rPr>
          <w:rFonts w:ascii="Arial" w:cs="Arial" w:eastAsia="Arial" w:hAnsi="Arial"/>
          <w:sz w:val="27"/>
          <w:szCs w:val="27"/>
          <w:color w:val="FCFCD1"/>
        </w:rPr>
        <w:t>Wynn Resorts’commitment to diversity is reflected by the number of women in senior leadership roles throughout the Company.</w:t>
      </w:r>
    </w:p>
    <w:p>
      <w:pPr>
        <w:spacing w:after="0" w:line="288" w:lineRule="exact"/>
        <w:rPr>
          <w:rFonts w:ascii="Arial" w:cs="Arial" w:eastAsia="Arial" w:hAnsi="Arial"/>
          <w:sz w:val="27"/>
          <w:szCs w:val="27"/>
          <w:color w:val="FCFCD1"/>
        </w:rPr>
      </w:pPr>
    </w:p>
    <w:p>
      <w:pPr>
        <w:ind w:left="397" w:right="660" w:hanging="397"/>
        <w:spacing w:after="0" w:line="280" w:lineRule="auto"/>
        <w:tabs>
          <w:tab w:leader="none" w:pos="397" w:val="left"/>
        </w:tabs>
        <w:numPr>
          <w:ilvl w:val="0"/>
          <w:numId w:val="7"/>
        </w:numPr>
        <w:rPr>
          <w:rFonts w:ascii="Arial" w:cs="Arial" w:eastAsia="Arial" w:hAnsi="Arial"/>
          <w:sz w:val="26"/>
          <w:szCs w:val="26"/>
          <w:color w:val="FCFCD1"/>
        </w:rPr>
      </w:pPr>
      <w:r>
        <w:rPr>
          <w:rFonts w:ascii="Arial" w:cs="Arial" w:eastAsia="Arial" w:hAnsi="Arial"/>
          <w:sz w:val="26"/>
          <w:szCs w:val="26"/>
          <w:color w:val="FCFCD1"/>
        </w:rPr>
        <w:t>In fact, 34% of employees at the Vice President and above level and 38% of employees at the Executive Director or Assistant Vice President level are women.</w:t>
      </w:r>
    </w:p>
    <w:p>
      <w:pPr>
        <w:spacing w:after="0" w:line="276" w:lineRule="exact"/>
        <w:rPr>
          <w:rFonts w:ascii="Arial" w:cs="Arial" w:eastAsia="Arial" w:hAnsi="Arial"/>
          <w:sz w:val="26"/>
          <w:szCs w:val="26"/>
          <w:color w:val="FCFCD1"/>
        </w:rPr>
      </w:pPr>
    </w:p>
    <w:p>
      <w:pPr>
        <w:ind w:left="397" w:hanging="397"/>
        <w:spacing w:after="0"/>
        <w:tabs>
          <w:tab w:leader="none" w:pos="397" w:val="left"/>
        </w:tabs>
        <w:numPr>
          <w:ilvl w:val="0"/>
          <w:numId w:val="7"/>
        </w:numPr>
        <w:rPr>
          <w:rFonts w:ascii="Arial" w:cs="Arial" w:eastAsia="Arial" w:hAnsi="Arial"/>
          <w:sz w:val="27"/>
          <w:szCs w:val="27"/>
          <w:color w:val="FCFCD1"/>
        </w:rPr>
      </w:pPr>
      <w:r>
        <w:rPr>
          <w:rFonts w:ascii="Arial" w:cs="Arial" w:eastAsia="Arial" w:hAnsi="Arial"/>
          <w:sz w:val="27"/>
          <w:szCs w:val="27"/>
          <w:color w:val="FCFCD1"/>
        </w:rPr>
        <w:t>Key leadership positions held by women at Wynn Resorts include:</w:t>
      </w:r>
    </w:p>
    <w:p>
      <w:pPr>
        <w:spacing w:after="0" w:line="50" w:lineRule="exact"/>
        <w:rPr>
          <w:rFonts w:ascii="Arial" w:cs="Arial" w:eastAsia="Arial" w:hAnsi="Arial"/>
          <w:sz w:val="27"/>
          <w:szCs w:val="27"/>
          <w:color w:val="FCFCD1"/>
        </w:rPr>
      </w:pPr>
    </w:p>
    <w:p>
      <w:pPr>
        <w:ind w:left="877" w:right="1000" w:hanging="336"/>
        <w:spacing w:after="0" w:line="257" w:lineRule="auto"/>
        <w:rPr>
          <w:rFonts w:ascii="Arial" w:cs="Arial" w:eastAsia="Arial" w:hAnsi="Arial"/>
          <w:sz w:val="27"/>
          <w:szCs w:val="27"/>
          <w:color w:val="FCFCD1"/>
        </w:rPr>
      </w:pPr>
      <w:r>
        <w:rPr>
          <w:rFonts w:ascii="Arial" w:cs="Arial" w:eastAsia="Arial" w:hAnsi="Arial"/>
          <w:sz w:val="18"/>
          <w:szCs w:val="18"/>
          <w:color w:val="FCFCD1"/>
        </w:rPr>
        <w:t>– Linda Chen, Director on the Board of Wynn Macau, Ltd.; Chief Operating Officer of Wynn Macau, Ltd; President, Wynn International Marketing Ltd.</w:t>
      </w:r>
    </w:p>
    <w:p>
      <w:pPr>
        <w:spacing w:after="0" w:line="27" w:lineRule="exact"/>
        <w:rPr>
          <w:rFonts w:ascii="Arial" w:cs="Arial" w:eastAsia="Arial" w:hAnsi="Arial"/>
          <w:sz w:val="27"/>
          <w:szCs w:val="27"/>
          <w:color w:val="FCFCD1"/>
        </w:rPr>
      </w:pPr>
    </w:p>
    <w:p>
      <w:pPr>
        <w:ind w:left="537"/>
        <w:spacing w:after="0"/>
        <w:rPr>
          <w:rFonts w:ascii="Arial" w:cs="Arial" w:eastAsia="Arial" w:hAnsi="Arial"/>
          <w:sz w:val="27"/>
          <w:szCs w:val="27"/>
          <w:color w:val="FCFCD1"/>
        </w:rPr>
      </w:pPr>
      <w:r>
        <w:rPr>
          <w:rFonts w:ascii="Arial" w:cs="Arial" w:eastAsia="Arial" w:hAnsi="Arial"/>
          <w:sz w:val="18"/>
          <w:szCs w:val="18"/>
          <w:color w:val="FCFCD1"/>
        </w:rPr>
        <w:t>–   Kim Sinatra, Executive Vice President, General Counsel and Secretary, Wynn Resorts Ltd.</w:t>
      </w:r>
    </w:p>
    <w:p>
      <w:pPr>
        <w:spacing w:after="0" w:line="50" w:lineRule="exact"/>
        <w:rPr>
          <w:rFonts w:ascii="Arial" w:cs="Arial" w:eastAsia="Arial" w:hAnsi="Arial"/>
          <w:sz w:val="27"/>
          <w:szCs w:val="27"/>
          <w:color w:val="FCFCD1"/>
        </w:rPr>
      </w:pPr>
    </w:p>
    <w:p>
      <w:pPr>
        <w:ind w:left="537"/>
        <w:spacing w:after="0"/>
        <w:rPr>
          <w:rFonts w:ascii="Arial" w:cs="Arial" w:eastAsia="Arial" w:hAnsi="Arial"/>
          <w:sz w:val="27"/>
          <w:szCs w:val="27"/>
          <w:color w:val="FCFCD1"/>
        </w:rPr>
      </w:pPr>
      <w:r>
        <w:rPr>
          <w:rFonts w:ascii="Arial" w:cs="Arial" w:eastAsia="Arial" w:hAnsi="Arial"/>
          <w:sz w:val="18"/>
          <w:szCs w:val="18"/>
          <w:color w:val="FCFCD1"/>
        </w:rPr>
        <w:t>–   Teri Peers, Chief Accounting Officer, Wynn Resorts, Ltd.</w:t>
      </w:r>
    </w:p>
    <w:p>
      <w:pPr>
        <w:spacing w:after="0" w:line="50" w:lineRule="exact"/>
        <w:rPr>
          <w:rFonts w:ascii="Arial" w:cs="Arial" w:eastAsia="Arial" w:hAnsi="Arial"/>
          <w:sz w:val="27"/>
          <w:szCs w:val="27"/>
          <w:color w:val="FCFCD1"/>
        </w:rPr>
      </w:pPr>
    </w:p>
    <w:p>
      <w:pPr>
        <w:ind w:left="537"/>
        <w:spacing w:after="0"/>
        <w:rPr>
          <w:rFonts w:ascii="Arial" w:cs="Arial" w:eastAsia="Arial" w:hAnsi="Arial"/>
          <w:sz w:val="27"/>
          <w:szCs w:val="27"/>
          <w:color w:val="FCFCD1"/>
        </w:rPr>
      </w:pPr>
      <w:r>
        <w:rPr>
          <w:rFonts w:ascii="Arial" w:cs="Arial" w:eastAsia="Arial" w:hAnsi="Arial"/>
          <w:sz w:val="18"/>
          <w:szCs w:val="18"/>
          <w:color w:val="FCFCD1"/>
        </w:rPr>
        <w:t>–   Debra Nutton, Executive Vice President of Gaming Operations, Wynn/Encore Las Vegas</w:t>
      </w:r>
    </w:p>
    <w:p>
      <w:pPr>
        <w:spacing w:after="0" w:line="50" w:lineRule="exact"/>
        <w:rPr>
          <w:rFonts w:ascii="Arial" w:cs="Arial" w:eastAsia="Arial" w:hAnsi="Arial"/>
          <w:sz w:val="27"/>
          <w:szCs w:val="27"/>
          <w:color w:val="FCFCD1"/>
        </w:rPr>
      </w:pPr>
    </w:p>
    <w:p>
      <w:pPr>
        <w:ind w:left="537"/>
        <w:spacing w:after="0"/>
        <w:rPr>
          <w:rFonts w:ascii="Arial" w:cs="Arial" w:eastAsia="Arial" w:hAnsi="Arial"/>
          <w:sz w:val="27"/>
          <w:szCs w:val="27"/>
          <w:color w:val="FCFCD1"/>
        </w:rPr>
      </w:pPr>
      <w:r>
        <w:rPr>
          <w:rFonts w:ascii="Arial" w:cs="Arial" w:eastAsia="Arial" w:hAnsi="Arial"/>
          <w:sz w:val="18"/>
          <w:szCs w:val="18"/>
          <w:color w:val="FCFCD1"/>
        </w:rPr>
        <w:t>–   Chris Flatt, Executive Vice President of Hotel Sales and Marketing, Wynn/Encore Las Vegas</w:t>
      </w:r>
    </w:p>
    <w:p>
      <w:pPr>
        <w:spacing w:after="0" w:line="50" w:lineRule="exact"/>
        <w:rPr>
          <w:rFonts w:ascii="Arial" w:cs="Arial" w:eastAsia="Arial" w:hAnsi="Arial"/>
          <w:sz w:val="27"/>
          <w:szCs w:val="27"/>
          <w:color w:val="FCFCD1"/>
        </w:rPr>
      </w:pPr>
    </w:p>
    <w:p>
      <w:pPr>
        <w:ind w:left="537"/>
        <w:spacing w:after="0"/>
        <w:rPr>
          <w:rFonts w:ascii="Arial" w:cs="Arial" w:eastAsia="Arial" w:hAnsi="Arial"/>
          <w:sz w:val="27"/>
          <w:szCs w:val="27"/>
          <w:color w:val="FCFCD1"/>
        </w:rPr>
      </w:pPr>
      <w:r>
        <w:rPr>
          <w:rFonts w:ascii="Arial" w:cs="Arial" w:eastAsia="Arial" w:hAnsi="Arial"/>
          <w:sz w:val="18"/>
          <w:szCs w:val="18"/>
          <w:color w:val="FCFCD1"/>
        </w:rPr>
        <w:t>–   Carrie Messina, Senior Vice President of Human Resources, Wynn/Encore Las Vegas</w:t>
      </w:r>
    </w:p>
    <w:p>
      <w:pPr>
        <w:spacing w:after="0" w:line="50" w:lineRule="exact"/>
        <w:rPr>
          <w:rFonts w:ascii="Arial" w:cs="Arial" w:eastAsia="Arial" w:hAnsi="Arial"/>
          <w:sz w:val="27"/>
          <w:szCs w:val="27"/>
          <w:color w:val="FCFCD1"/>
        </w:rPr>
      </w:pPr>
    </w:p>
    <w:p>
      <w:pPr>
        <w:ind w:left="537"/>
        <w:spacing w:after="0"/>
        <w:rPr>
          <w:rFonts w:ascii="Arial" w:cs="Arial" w:eastAsia="Arial" w:hAnsi="Arial"/>
          <w:sz w:val="27"/>
          <w:szCs w:val="27"/>
          <w:color w:val="FCFCD1"/>
        </w:rPr>
      </w:pPr>
      <w:r>
        <w:rPr>
          <w:rFonts w:ascii="Arial" w:cs="Arial" w:eastAsia="Arial" w:hAnsi="Arial"/>
          <w:sz w:val="18"/>
          <w:szCs w:val="18"/>
          <w:color w:val="FCFCD1"/>
        </w:rPr>
        <w:t>–   Stacie Michaels, General Counsel, Wynn/Encore Las Vegas</w:t>
      </w:r>
    </w:p>
    <w:p>
      <w:pPr>
        <w:spacing w:after="0" w:line="339" w:lineRule="exact"/>
        <w:rPr>
          <w:rFonts w:ascii="Arial" w:cs="Arial" w:eastAsia="Arial" w:hAnsi="Arial"/>
          <w:sz w:val="27"/>
          <w:szCs w:val="27"/>
          <w:color w:val="FCFCD1"/>
        </w:rPr>
      </w:pPr>
    </w:p>
    <w:p>
      <w:pPr>
        <w:ind w:left="397" w:right="1000" w:hanging="397"/>
        <w:spacing w:after="0" w:line="256" w:lineRule="auto"/>
        <w:tabs>
          <w:tab w:leader="none" w:pos="397" w:val="left"/>
        </w:tabs>
        <w:numPr>
          <w:ilvl w:val="0"/>
          <w:numId w:val="7"/>
        </w:numPr>
        <w:rPr>
          <w:rFonts w:ascii="Arial" w:cs="Arial" w:eastAsia="Arial" w:hAnsi="Arial"/>
          <w:sz w:val="26"/>
          <w:szCs w:val="26"/>
          <w:color w:val="FCFCD1"/>
        </w:rPr>
      </w:pPr>
      <w:r>
        <w:rPr>
          <w:rFonts w:ascii="Arial" w:cs="Arial" w:eastAsia="Arial" w:hAnsi="Arial"/>
          <w:sz w:val="26"/>
          <w:szCs w:val="26"/>
          <w:color w:val="FCFCD1"/>
        </w:rPr>
        <w:t>Importantly, the Nominating and Corporate Governance Committee recognizes that gender diversity is important for the Board, not only to make sure that the</w:t>
      </w:r>
    </w:p>
    <w:p>
      <w:pPr>
        <w:spacing w:after="0" w:line="1" w:lineRule="exact"/>
        <w:rPr>
          <w:sz w:val="20"/>
          <w:szCs w:val="20"/>
          <w:color w:val="auto"/>
        </w:rPr>
      </w:pPr>
    </w:p>
    <w:p>
      <w:pPr>
        <w:ind w:left="397"/>
        <w:spacing w:after="0"/>
        <w:rPr>
          <w:sz w:val="20"/>
          <w:szCs w:val="20"/>
          <w:color w:val="auto"/>
        </w:rPr>
      </w:pPr>
      <w:r>
        <w:rPr>
          <w:rFonts w:ascii="Arial" w:cs="Arial" w:eastAsia="Arial" w:hAnsi="Arial"/>
          <w:sz w:val="27"/>
          <w:szCs w:val="27"/>
          <w:color w:val="FCFCD1"/>
        </w:rPr>
        <w:t>Board and the Company benefit from diverse perspectives, but also to set the</w:t>
      </w:r>
    </w:p>
    <w:p>
      <w:pPr>
        <w:spacing w:after="0" w:line="14" w:lineRule="exact"/>
        <w:rPr>
          <w:sz w:val="20"/>
          <w:szCs w:val="20"/>
          <w:color w:val="auto"/>
        </w:rPr>
      </w:pPr>
    </w:p>
    <w:tbl>
      <w:tblPr>
        <w:tblLayout w:type="fixed"/>
        <w:tblInd w:w="397" w:type="dxa"/>
        <w:tblCellMar>
          <w:top w:w="0" w:type="dxa"/>
          <w:left w:w="0" w:type="dxa"/>
          <w:bottom w:w="0" w:type="dxa"/>
          <w:right w:w="0" w:type="dxa"/>
        </w:tblCellMar>
      </w:tblPr>
      <w:tr>
        <w:trPr>
          <w:trHeight w:val="376"/>
        </w:trPr>
        <w:tc>
          <w:tcPr>
            <w:tcW w:w="5780" w:type="dxa"/>
            <w:vAlign w:val="bottom"/>
          </w:tcPr>
          <w:p>
            <w:pPr>
              <w:spacing w:after="0"/>
              <w:rPr>
                <w:sz w:val="20"/>
                <w:szCs w:val="20"/>
                <w:color w:val="auto"/>
              </w:rPr>
            </w:pPr>
            <w:r>
              <w:rPr>
                <w:rFonts w:ascii="Arial" w:cs="Arial" w:eastAsia="Arial" w:hAnsi="Arial"/>
                <w:sz w:val="27"/>
                <w:szCs w:val="27"/>
                <w:color w:val="FCFCD1"/>
              </w:rPr>
              <w:t>right “tone at the top.”</w:t>
            </w:r>
          </w:p>
        </w:tc>
        <w:tc>
          <w:tcPr>
            <w:tcW w:w="3300" w:type="dxa"/>
            <w:vAlign w:val="bottom"/>
          </w:tcPr>
          <w:p>
            <w:pPr>
              <w:jc w:val="right"/>
              <w:spacing w:after="0"/>
              <w:rPr>
                <w:sz w:val="20"/>
                <w:szCs w:val="20"/>
                <w:color w:val="auto"/>
              </w:rPr>
            </w:pPr>
            <w:r>
              <w:rPr>
                <w:rFonts w:ascii="Arial" w:cs="Arial" w:eastAsia="Arial" w:hAnsi="Arial"/>
                <w:sz w:val="18"/>
                <w:szCs w:val="18"/>
                <w:color w:val="898989"/>
              </w:rPr>
              <w:t>3</w:t>
            </w:r>
          </w:p>
        </w:tc>
      </w:tr>
    </w:tbl>
    <w:p>
      <w:pPr>
        <w:sectPr>
          <w:pgSz w:w="11900" w:h="16838" w:orient="portrait"/>
          <w:cols w:equalWidth="0" w:num="1">
            <w:col w:w="10757"/>
          </w:cols>
          <w:pgMar w:left="1003" w:top="1150" w:right="139" w:bottom="1440" w:gutter="0" w:footer="0" w:header="0"/>
        </w:sectPr>
      </w:pPr>
    </w:p>
    <w:bookmarkStart w:id="4" w:name="page5"/>
    <w:bookmarkEnd w:id="4"/>
    <w:p>
      <w:pPr>
        <w:jc w:val="center"/>
        <w:ind w:left="1560"/>
        <w:spacing w:after="0" w:line="269" w:lineRule="auto"/>
        <w:rPr>
          <w:sz w:val="20"/>
          <w:szCs w:val="20"/>
          <w:color w:val="auto"/>
        </w:rPr>
      </w:pPr>
      <w:r>
        <w:rPr>
          <w:rFonts w:ascii="Arial" w:cs="Arial" w:eastAsia="Arial" w:hAnsi="Arial"/>
          <w:sz w:val="30"/>
          <w:szCs w:val="30"/>
          <w:b w:val="1"/>
          <w:bCs w:val="1"/>
          <w:color w:val="FCFCD1"/>
        </w:rPr>
        <w:drawing>
          <wp:anchor simplePos="0" relativeHeight="251657728" behindDoc="1" locked="0" layoutInCell="0" allowOverlap="1">
            <wp:simplePos x="0" y="0"/>
            <wp:positionH relativeFrom="page">
              <wp:posOffset>133350</wp:posOffset>
            </wp:positionH>
            <wp:positionV relativeFrom="page">
              <wp:posOffset>88900</wp:posOffset>
            </wp:positionV>
            <wp:extent cx="7309485" cy="52781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9485" cy="5278120"/>
                    </a:xfrm>
                    <a:prstGeom prst="rect">
                      <a:avLst/>
                    </a:prstGeom>
                    <a:noFill/>
                  </pic:spPr>
                </pic:pic>
              </a:graphicData>
            </a:graphic>
          </wp:anchor>
        </w:drawing>
        <w:t>IT IS THE VIEW OF THE WYNN NOMINATING AND CORPORATE GOVERNANCE COMMITTEE THAT MS. WYNN’S INTERESTS ARE NOT ALIGNED WITH THOSE OF ALL OTHER STOCKHOLDERS</w:t>
      </w:r>
    </w:p>
    <w:p>
      <w:pPr>
        <w:spacing w:after="0" w:line="376" w:lineRule="exact"/>
        <w:rPr>
          <w:sz w:val="20"/>
          <w:szCs w:val="20"/>
          <w:color w:val="auto"/>
        </w:rPr>
      </w:pPr>
    </w:p>
    <w:p>
      <w:pPr>
        <w:ind w:right="1000"/>
        <w:spacing w:after="0" w:line="301" w:lineRule="auto"/>
        <w:rPr>
          <w:sz w:val="20"/>
          <w:szCs w:val="20"/>
          <w:color w:val="auto"/>
        </w:rPr>
      </w:pPr>
      <w:r>
        <w:rPr>
          <w:rFonts w:ascii="Arial" w:cs="Arial" w:eastAsia="Arial" w:hAnsi="Arial"/>
          <w:sz w:val="25"/>
          <w:szCs w:val="25"/>
          <w:color w:val="FCFCD1"/>
        </w:rPr>
        <w:t>The Nominating and Corporate Governance Committee determinedtonotrecommend that Ms. Wynn be re-nominated due to its concerns over:</w:t>
      </w:r>
    </w:p>
    <w:p>
      <w:pPr>
        <w:spacing w:after="0" w:line="354" w:lineRule="exact"/>
        <w:rPr>
          <w:sz w:val="20"/>
          <w:szCs w:val="20"/>
          <w:color w:val="auto"/>
        </w:rPr>
      </w:pPr>
    </w:p>
    <w:p>
      <w:pPr>
        <w:ind w:left="400" w:right="1180" w:hanging="397"/>
        <w:spacing w:after="0" w:line="273" w:lineRule="auto"/>
        <w:tabs>
          <w:tab w:leader="none" w:pos="400" w:val="left"/>
        </w:tabs>
        <w:numPr>
          <w:ilvl w:val="0"/>
          <w:numId w:val="8"/>
        </w:numPr>
        <w:rPr>
          <w:rFonts w:ascii="Arial" w:cs="Arial" w:eastAsia="Arial" w:hAnsi="Arial"/>
          <w:sz w:val="27"/>
          <w:szCs w:val="27"/>
          <w:color w:val="FCFCD1"/>
        </w:rPr>
      </w:pPr>
      <w:r>
        <w:rPr>
          <w:rFonts w:ascii="Arial" w:cs="Arial" w:eastAsia="Arial" w:hAnsi="Arial"/>
          <w:sz w:val="27"/>
          <w:szCs w:val="27"/>
          <w:b w:val="1"/>
          <w:bCs w:val="1"/>
          <w:color w:val="FCFCD1"/>
        </w:rPr>
        <w:t>Actual and potential conflicts of interest</w:t>
      </w:r>
      <w:r>
        <w:rPr>
          <w:rFonts w:ascii="Arial" w:cs="Arial" w:eastAsia="Arial" w:hAnsi="Arial"/>
          <w:sz w:val="20"/>
          <w:szCs w:val="20"/>
          <w:b w:val="1"/>
          <w:bCs w:val="1"/>
          <w:color w:val="FCFCD1"/>
        </w:rPr>
        <w:t>:</w:t>
      </w:r>
      <w:r>
        <w:rPr>
          <w:rFonts w:ascii="Arial" w:cs="Arial" w:eastAsia="Arial" w:hAnsi="Arial"/>
          <w:sz w:val="27"/>
          <w:szCs w:val="27"/>
          <w:b w:val="1"/>
          <w:bCs w:val="1"/>
          <w:color w:val="FCFCD1"/>
        </w:rPr>
        <w:t xml:space="preserve"> </w:t>
      </w:r>
      <w:r>
        <w:rPr>
          <w:rFonts w:ascii="Arial" w:cs="Arial" w:eastAsia="Arial" w:hAnsi="Arial"/>
          <w:sz w:val="27"/>
          <w:szCs w:val="27"/>
          <w:color w:val="FCFCD1"/>
        </w:rPr>
        <w:t>The Nominating and Corporate</w:t>
      </w:r>
      <w:r>
        <w:rPr>
          <w:rFonts w:ascii="Arial" w:cs="Arial" w:eastAsia="Arial" w:hAnsi="Arial"/>
          <w:sz w:val="27"/>
          <w:szCs w:val="27"/>
          <w:b w:val="1"/>
          <w:bCs w:val="1"/>
          <w:color w:val="FCFCD1"/>
        </w:rPr>
        <w:t xml:space="preserve"> </w:t>
      </w:r>
      <w:r>
        <w:rPr>
          <w:rFonts w:ascii="Arial" w:cs="Arial" w:eastAsia="Arial" w:hAnsi="Arial"/>
          <w:sz w:val="27"/>
          <w:szCs w:val="27"/>
          <w:color w:val="FCFCD1"/>
        </w:rPr>
        <w:t>Governance Committee believes that Ms. Wynn has placed her individual interests ahead of her director duties.</w:t>
      </w:r>
    </w:p>
    <w:p>
      <w:pPr>
        <w:spacing w:after="0" w:line="340" w:lineRule="exact"/>
        <w:rPr>
          <w:rFonts w:ascii="Arial" w:cs="Arial" w:eastAsia="Arial" w:hAnsi="Arial"/>
          <w:sz w:val="27"/>
          <w:szCs w:val="27"/>
          <w:color w:val="FCFCD1"/>
        </w:rPr>
      </w:pPr>
    </w:p>
    <w:p>
      <w:pPr>
        <w:ind w:left="400" w:right="1040" w:hanging="397"/>
        <w:spacing w:after="0" w:line="277" w:lineRule="auto"/>
        <w:tabs>
          <w:tab w:leader="none" w:pos="400" w:val="left"/>
        </w:tabs>
        <w:numPr>
          <w:ilvl w:val="0"/>
          <w:numId w:val="8"/>
        </w:numPr>
        <w:rPr>
          <w:rFonts w:ascii="Arial" w:cs="Arial" w:eastAsia="Arial" w:hAnsi="Arial"/>
          <w:sz w:val="27"/>
          <w:szCs w:val="27"/>
          <w:color w:val="FCFCD1"/>
        </w:rPr>
      </w:pPr>
      <w:r>
        <w:rPr>
          <w:rFonts w:ascii="Arial" w:cs="Arial" w:eastAsia="Arial" w:hAnsi="Arial"/>
          <w:sz w:val="27"/>
          <w:szCs w:val="27"/>
          <w:b w:val="1"/>
          <w:bCs w:val="1"/>
          <w:color w:val="FCFCD1"/>
        </w:rPr>
        <w:t xml:space="preserve">Ms. Wynn's cross claims: </w:t>
      </w:r>
      <w:r>
        <w:rPr>
          <w:rFonts w:ascii="Arial" w:cs="Arial" w:eastAsia="Arial" w:hAnsi="Arial"/>
          <w:sz w:val="27"/>
          <w:szCs w:val="27"/>
          <w:color w:val="FCFCD1"/>
        </w:rPr>
        <w:t>Ms. Wynn’s lawsuit and ongoing dispute with the</w:t>
      </w:r>
      <w:r>
        <w:rPr>
          <w:rFonts w:ascii="Arial" w:cs="Arial" w:eastAsia="Arial" w:hAnsi="Arial"/>
          <w:sz w:val="27"/>
          <w:szCs w:val="27"/>
          <w:b w:val="1"/>
          <w:bCs w:val="1"/>
          <w:color w:val="FCFCD1"/>
        </w:rPr>
        <w:t xml:space="preserve"> </w:t>
      </w:r>
      <w:r>
        <w:rPr>
          <w:rFonts w:ascii="Arial" w:cs="Arial" w:eastAsia="Arial" w:hAnsi="Arial"/>
          <w:sz w:val="27"/>
          <w:szCs w:val="27"/>
          <w:color w:val="FCFCD1"/>
        </w:rPr>
        <w:t>Company's CEO have reduced the effectiveness of her participation on the Board.</w:t>
      </w:r>
    </w:p>
    <w:p>
      <w:pPr>
        <w:spacing w:after="0" w:line="34" w:lineRule="exact"/>
        <w:rPr>
          <w:rFonts w:ascii="Arial" w:cs="Arial" w:eastAsia="Arial" w:hAnsi="Arial"/>
          <w:sz w:val="27"/>
          <w:szCs w:val="27"/>
          <w:color w:val="FCFCD1"/>
        </w:rPr>
      </w:pPr>
    </w:p>
    <w:p>
      <w:pPr>
        <w:jc w:val="both"/>
        <w:ind w:left="400" w:right="1460" w:hanging="397"/>
        <w:spacing w:after="0" w:line="288" w:lineRule="auto"/>
        <w:tabs>
          <w:tab w:leader="none" w:pos="400" w:val="left"/>
        </w:tabs>
        <w:numPr>
          <w:ilvl w:val="0"/>
          <w:numId w:val="8"/>
        </w:numPr>
        <w:rPr>
          <w:rFonts w:ascii="Arial" w:cs="Arial" w:eastAsia="Arial" w:hAnsi="Arial"/>
          <w:sz w:val="26"/>
          <w:szCs w:val="26"/>
          <w:color w:val="FCFCD1"/>
        </w:rPr>
      </w:pPr>
      <w:r>
        <w:rPr>
          <w:rFonts w:ascii="Arial" w:cs="Arial" w:eastAsia="Arial" w:hAnsi="Arial"/>
          <w:sz w:val="26"/>
          <w:szCs w:val="26"/>
          <w:b w:val="1"/>
          <w:bCs w:val="1"/>
          <w:color w:val="FCFCD1"/>
        </w:rPr>
        <w:t xml:space="preserve">Lack of independence: </w:t>
      </w:r>
      <w:r>
        <w:rPr>
          <w:rFonts w:ascii="Arial" w:cs="Arial" w:eastAsia="Arial" w:hAnsi="Arial"/>
          <w:sz w:val="26"/>
          <w:szCs w:val="26"/>
          <w:color w:val="FCFCD1"/>
        </w:rPr>
        <w:t>Ms. Wynn is not meaningfully contributing to the</w:t>
      </w:r>
      <w:r>
        <w:rPr>
          <w:rFonts w:ascii="Arial" w:cs="Arial" w:eastAsia="Arial" w:hAnsi="Arial"/>
          <w:sz w:val="26"/>
          <w:szCs w:val="26"/>
          <w:b w:val="1"/>
          <w:bCs w:val="1"/>
          <w:color w:val="FCFCD1"/>
        </w:rPr>
        <w:t xml:space="preserve"> </w:t>
      </w:r>
      <w:r>
        <w:rPr>
          <w:rFonts w:ascii="Arial" w:cs="Arial" w:eastAsia="Arial" w:hAnsi="Arial"/>
          <w:sz w:val="26"/>
          <w:szCs w:val="26"/>
          <w:color w:val="FCFCD1"/>
        </w:rPr>
        <w:t>Board’s discussion and work and is unable to serve as a board committee member due to a lack of independence under NASDAQ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380"/>
        <w:spacing w:after="0"/>
        <w:rPr>
          <w:sz w:val="20"/>
          <w:szCs w:val="20"/>
          <w:color w:val="auto"/>
        </w:rPr>
      </w:pPr>
      <w:r>
        <w:rPr>
          <w:rFonts w:ascii="Arial" w:cs="Arial" w:eastAsia="Arial" w:hAnsi="Arial"/>
          <w:sz w:val="18"/>
          <w:szCs w:val="18"/>
          <w:color w:val="898989"/>
        </w:rPr>
        <w:t>4</w:t>
      </w:r>
    </w:p>
    <w:p>
      <w:pPr>
        <w:sectPr>
          <w:pgSz w:w="11900" w:h="16838" w:orient="portrait"/>
          <w:cols w:equalWidth="0" w:num="1">
            <w:col w:w="10640"/>
          </w:cols>
          <w:pgMar w:left="1000" w:top="791" w:right="259" w:bottom="1440" w:gutter="0" w:footer="0" w:header="0"/>
        </w:sectPr>
      </w:pPr>
    </w:p>
    <w:bookmarkStart w:id="5" w:name="page6"/>
    <w:bookmarkEnd w:id="5"/>
    <w:p>
      <w:pPr>
        <w:ind w:left="2007" w:right="920" w:firstLine="56"/>
        <w:spacing w:after="0" w:line="288" w:lineRule="auto"/>
        <w:rPr>
          <w:sz w:val="20"/>
          <w:szCs w:val="20"/>
          <w:color w:val="auto"/>
        </w:rPr>
      </w:pPr>
      <w:r>
        <w:rPr>
          <w:rFonts w:ascii="Arial" w:cs="Arial" w:eastAsia="Arial" w:hAnsi="Arial"/>
          <w:sz w:val="30"/>
          <w:szCs w:val="30"/>
          <w:b w:val="1"/>
          <w:bCs w:val="1"/>
          <w:color w:val="FCFCD1"/>
        </w:rPr>
        <w:drawing>
          <wp:anchor simplePos="0" relativeHeight="251657728" behindDoc="1" locked="0" layoutInCell="0" allowOverlap="1">
            <wp:simplePos x="0" y="0"/>
            <wp:positionH relativeFrom="page">
              <wp:posOffset>133350</wp:posOffset>
            </wp:positionH>
            <wp:positionV relativeFrom="page">
              <wp:posOffset>88900</wp:posOffset>
            </wp:positionV>
            <wp:extent cx="7309485" cy="5278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9485" cy="5278120"/>
                    </a:xfrm>
                    <a:prstGeom prst="rect">
                      <a:avLst/>
                    </a:prstGeom>
                    <a:noFill/>
                  </pic:spPr>
                </pic:pic>
              </a:graphicData>
            </a:graphic>
          </wp:anchor>
        </w:drawing>
        <w:t>MS. WYNN’S INTERESTS ARE NOT ALIGNED WITH THOSE OF ALL OTHER STOCKHOLDERS</w:t>
      </w:r>
    </w:p>
    <w:p>
      <w:pPr>
        <w:spacing w:after="0" w:line="200" w:lineRule="exact"/>
        <w:rPr>
          <w:sz w:val="20"/>
          <w:szCs w:val="20"/>
          <w:color w:val="auto"/>
        </w:rPr>
      </w:pPr>
    </w:p>
    <w:p>
      <w:pPr>
        <w:spacing w:after="0" w:line="206" w:lineRule="exact"/>
        <w:rPr>
          <w:sz w:val="20"/>
          <w:szCs w:val="20"/>
          <w:color w:val="auto"/>
        </w:rPr>
      </w:pPr>
    </w:p>
    <w:p>
      <w:pPr>
        <w:ind w:left="7"/>
        <w:spacing w:after="0"/>
        <w:rPr>
          <w:sz w:val="20"/>
          <w:szCs w:val="20"/>
          <w:color w:val="auto"/>
        </w:rPr>
      </w:pPr>
      <w:r>
        <w:rPr>
          <w:rFonts w:ascii="Arial" w:cs="Arial" w:eastAsia="Arial" w:hAnsi="Arial"/>
          <w:sz w:val="27"/>
          <w:szCs w:val="27"/>
          <w:color w:val="FCFCD1"/>
        </w:rPr>
        <w:t>The Board’s concerns include:</w:t>
      </w:r>
    </w:p>
    <w:p>
      <w:pPr>
        <w:spacing w:after="0" w:line="36" w:lineRule="exact"/>
        <w:rPr>
          <w:sz w:val="20"/>
          <w:szCs w:val="20"/>
          <w:color w:val="auto"/>
        </w:rPr>
      </w:pPr>
    </w:p>
    <w:p>
      <w:pPr>
        <w:ind w:left="407" w:hanging="407"/>
        <w:spacing w:after="0" w:line="261" w:lineRule="auto"/>
        <w:tabs>
          <w:tab w:leader="none" w:pos="407" w:val="left"/>
        </w:tabs>
        <w:numPr>
          <w:ilvl w:val="0"/>
          <w:numId w:val="9"/>
        </w:numPr>
        <w:rPr>
          <w:rFonts w:ascii="Arial" w:cs="Arial" w:eastAsia="Arial" w:hAnsi="Arial"/>
          <w:sz w:val="27"/>
          <w:szCs w:val="27"/>
          <w:color w:val="FCFCD1"/>
        </w:rPr>
      </w:pPr>
      <w:r>
        <w:rPr>
          <w:rFonts w:ascii="Arial" w:cs="Arial" w:eastAsia="Arial" w:hAnsi="Arial"/>
          <w:sz w:val="27"/>
          <w:szCs w:val="27"/>
          <w:b w:val="1"/>
          <w:bCs w:val="1"/>
          <w:color w:val="FCFCD1"/>
        </w:rPr>
        <w:t xml:space="preserve">Stockholders Agreement Litigation: </w:t>
      </w:r>
      <w:r>
        <w:rPr>
          <w:rFonts w:ascii="Arial" w:cs="Arial" w:eastAsia="Arial" w:hAnsi="Arial"/>
          <w:sz w:val="27"/>
          <w:szCs w:val="27"/>
          <w:color w:val="FCFCD1"/>
        </w:rPr>
        <w:t>If Ms. Wynn is successful in her lawsuit</w:t>
      </w:r>
      <w:r>
        <w:rPr>
          <w:rFonts w:ascii="Arial" w:cs="Arial" w:eastAsia="Arial" w:hAnsi="Arial"/>
          <w:sz w:val="27"/>
          <w:szCs w:val="27"/>
          <w:b w:val="1"/>
          <w:bCs w:val="1"/>
          <w:color w:val="FCFCD1"/>
        </w:rPr>
        <w:t xml:space="preserve"> </w:t>
      </w:r>
      <w:r>
        <w:rPr>
          <w:rFonts w:ascii="Arial" w:cs="Arial" w:eastAsia="Arial" w:hAnsi="Arial"/>
          <w:sz w:val="27"/>
          <w:szCs w:val="27"/>
          <w:color w:val="FCFCD1"/>
        </w:rPr>
        <w:t>against the Company’s CEO seeking to be released from her Stockholders Agreement, and is free to sell more shares than she previously agreed to, it increases the possibility that a “change of control” covenant could be triggered under the Company’s outstanding debt securities, requiring the Company to offer to redeem that debt at a premium to its face amount.</w:t>
      </w:r>
    </w:p>
    <w:p>
      <w:pPr>
        <w:spacing w:after="0" w:line="371" w:lineRule="exact"/>
        <w:rPr>
          <w:rFonts w:ascii="Arial" w:cs="Arial" w:eastAsia="Arial" w:hAnsi="Arial"/>
          <w:sz w:val="27"/>
          <w:szCs w:val="27"/>
          <w:color w:val="FCFCD1"/>
        </w:rPr>
      </w:pPr>
    </w:p>
    <w:p>
      <w:pPr>
        <w:ind w:left="387" w:right="360" w:hanging="387"/>
        <w:spacing w:after="0" w:line="257" w:lineRule="auto"/>
        <w:tabs>
          <w:tab w:leader="none" w:pos="387" w:val="left"/>
        </w:tabs>
        <w:numPr>
          <w:ilvl w:val="0"/>
          <w:numId w:val="9"/>
        </w:numPr>
        <w:rPr>
          <w:rFonts w:ascii="Arial" w:cs="Arial" w:eastAsia="Arial" w:hAnsi="Arial"/>
          <w:sz w:val="27"/>
          <w:szCs w:val="27"/>
          <w:color w:val="FCFCD1"/>
        </w:rPr>
      </w:pPr>
      <w:r>
        <w:rPr>
          <w:rFonts w:ascii="Arial" w:cs="Arial" w:eastAsia="Arial" w:hAnsi="Arial"/>
          <w:sz w:val="27"/>
          <w:szCs w:val="27"/>
          <w:b w:val="1"/>
          <w:bCs w:val="1"/>
          <w:color w:val="FCFCD1"/>
        </w:rPr>
        <w:t xml:space="preserve">Lawsuit Interfering with Boardroom Conduct: </w:t>
      </w:r>
      <w:r>
        <w:rPr>
          <w:rFonts w:ascii="Arial" w:cs="Arial" w:eastAsia="Arial" w:hAnsi="Arial"/>
          <w:sz w:val="27"/>
          <w:szCs w:val="27"/>
          <w:color w:val="FCFCD1"/>
        </w:rPr>
        <w:t>It is the view of the</w:t>
      </w:r>
      <w:r>
        <w:rPr>
          <w:rFonts w:ascii="Arial" w:cs="Arial" w:eastAsia="Arial" w:hAnsi="Arial"/>
          <w:sz w:val="27"/>
          <w:szCs w:val="27"/>
          <w:b w:val="1"/>
          <w:bCs w:val="1"/>
          <w:color w:val="FCFCD1"/>
        </w:rPr>
        <w:t xml:space="preserve"> </w:t>
      </w:r>
      <w:r>
        <w:rPr>
          <w:rFonts w:ascii="Arial" w:cs="Arial" w:eastAsia="Arial" w:hAnsi="Arial"/>
          <w:sz w:val="27"/>
          <w:szCs w:val="27"/>
          <w:color w:val="FCFCD1"/>
        </w:rPr>
        <w:t>independent directors of the Board that Ms. Wynn’s efforts to separate her actions in her litigation from her role as a director have been ineffective and have impaired her ability to participate effectively as a director. This was reinforced recently when Ms. Wynn relied on her claim against Mr. Wynn to serve litigation discovery requests on each of the independent directors, demanding that they produce documents related to the Board’s decision not to re-nominate her as a director.</w:t>
      </w:r>
    </w:p>
    <w:p>
      <w:pPr>
        <w:spacing w:after="0" w:line="200" w:lineRule="exact"/>
        <w:rPr>
          <w:sz w:val="20"/>
          <w:szCs w:val="20"/>
          <w:color w:val="auto"/>
        </w:rPr>
      </w:pPr>
    </w:p>
    <w:p>
      <w:pPr>
        <w:spacing w:after="0" w:line="302" w:lineRule="exact"/>
        <w:rPr>
          <w:sz w:val="20"/>
          <w:szCs w:val="20"/>
          <w:color w:val="auto"/>
        </w:rPr>
      </w:pPr>
    </w:p>
    <w:p>
      <w:pPr>
        <w:ind w:left="9467"/>
        <w:spacing w:after="0"/>
        <w:rPr>
          <w:sz w:val="20"/>
          <w:szCs w:val="20"/>
          <w:color w:val="auto"/>
        </w:rPr>
      </w:pPr>
      <w:r>
        <w:rPr>
          <w:rFonts w:ascii="Arial" w:cs="Arial" w:eastAsia="Arial" w:hAnsi="Arial"/>
          <w:sz w:val="18"/>
          <w:szCs w:val="18"/>
          <w:color w:val="898989"/>
        </w:rPr>
        <w:t>5</w:t>
      </w:r>
    </w:p>
    <w:p>
      <w:pPr>
        <w:sectPr>
          <w:pgSz w:w="11900" w:h="16838" w:orient="portrait"/>
          <w:cols w:equalWidth="0" w:num="1">
            <w:col w:w="9767"/>
          </w:cols>
          <w:pgMar w:left="913" w:top="825" w:right="1219" w:bottom="1440" w:gutter="0" w:footer="0" w:header="0"/>
        </w:sectPr>
      </w:pPr>
    </w:p>
    <w:bookmarkStart w:id="6" w:name="page7"/>
    <w:bookmarkEnd w:id="6"/>
    <w:p>
      <w:pPr>
        <w:ind w:left="2140" w:right="1920" w:firstLine="56"/>
        <w:spacing w:after="0" w:line="288" w:lineRule="auto"/>
        <w:rPr>
          <w:sz w:val="20"/>
          <w:szCs w:val="20"/>
          <w:color w:val="auto"/>
        </w:rPr>
      </w:pPr>
      <w:r>
        <w:rPr>
          <w:rFonts w:ascii="Arial" w:cs="Arial" w:eastAsia="Arial" w:hAnsi="Arial"/>
          <w:sz w:val="30"/>
          <w:szCs w:val="30"/>
          <w:b w:val="1"/>
          <w:bCs w:val="1"/>
          <w:color w:val="FCFCD1"/>
        </w:rPr>
        <w:drawing>
          <wp:anchor simplePos="0" relativeHeight="251657728" behindDoc="1" locked="0" layoutInCell="0" allowOverlap="1">
            <wp:simplePos x="0" y="0"/>
            <wp:positionH relativeFrom="page">
              <wp:posOffset>133350</wp:posOffset>
            </wp:positionH>
            <wp:positionV relativeFrom="page">
              <wp:posOffset>88900</wp:posOffset>
            </wp:positionV>
            <wp:extent cx="7309485" cy="5278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9485" cy="5278120"/>
                    </a:xfrm>
                    <a:prstGeom prst="rect">
                      <a:avLst/>
                    </a:prstGeom>
                    <a:noFill/>
                  </pic:spPr>
                </pic:pic>
              </a:graphicData>
            </a:graphic>
          </wp:anchor>
        </w:drawing>
        <w:t>MS. WYNN’S INTERESTS ARE NOT ALIGNED WITH THOSE OF ALL OTHER STOCKHOLDERS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6"/>
          <w:szCs w:val="26"/>
          <w:color w:val="FCFCD1"/>
        </w:rPr>
        <w:t>…additional examples of concerns:</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FCFCD1"/>
        </w:rPr>
        <w:t>TreatmentofExecutiveCompensationRestructuring:</w:t>
      </w:r>
      <w:r>
        <w:rPr>
          <w:rFonts w:ascii="Arial" w:cs="Arial" w:eastAsia="Arial" w:hAnsi="Arial"/>
          <w:sz w:val="26"/>
          <w:szCs w:val="26"/>
          <w:color w:val="FCFCD1"/>
        </w:rPr>
        <w:t>In the contextof the Compensation</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26"/>
          <w:szCs w:val="26"/>
          <w:color w:val="FCFCD1"/>
        </w:rPr>
        <w:t>Committee’s efforts to restructure Mr. Wynn’s compensation by providing for performance-</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26"/>
          <w:szCs w:val="26"/>
          <w:color w:val="FCFCD1"/>
        </w:rPr>
        <w:t>contingent equity awards, MsWynn. sought an amendment to her stockholder agreement</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25"/>
          <w:szCs w:val="25"/>
          <w:color w:val="FCFCD1"/>
        </w:rPr>
        <w:t>with Mr. Wynn to increase the amount of stock that she is permitted to sell. These actions left</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5"/>
          <w:szCs w:val="25"/>
          <w:color w:val="FCFCD1"/>
        </w:rPr>
        <w:t>the independent directors with the sense that she was acting primarily as a litigant rather than</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6"/>
          <w:szCs w:val="26"/>
          <w:color w:val="FCFCD1"/>
        </w:rPr>
        <w:t>an advocate of the average stockholder of the Company.</w:t>
      </w:r>
    </w:p>
    <w:p>
      <w:pPr>
        <w:spacing w:after="0" w:line="207" w:lineRule="exact"/>
        <w:rPr>
          <w:sz w:val="20"/>
          <w:szCs w:val="20"/>
          <w:color w:val="auto"/>
        </w:rPr>
      </w:pPr>
    </w:p>
    <w:p>
      <w:pPr>
        <w:ind w:left="260" w:right="320"/>
        <w:spacing w:after="0" w:line="261" w:lineRule="auto"/>
        <w:rPr>
          <w:sz w:val="20"/>
          <w:szCs w:val="20"/>
          <w:color w:val="auto"/>
        </w:rPr>
      </w:pPr>
      <w:r>
        <w:rPr>
          <w:rFonts w:ascii="Arial" w:cs="Arial" w:eastAsia="Arial" w:hAnsi="Arial"/>
          <w:sz w:val="25"/>
          <w:szCs w:val="25"/>
          <w:b w:val="1"/>
          <w:bCs w:val="1"/>
          <w:color w:val="FCFCD1"/>
        </w:rPr>
        <w:t>TradingPolicy:</w:t>
      </w:r>
      <w:r>
        <w:rPr>
          <w:rFonts w:ascii="Arial" w:cs="Arial" w:eastAsia="Arial" w:hAnsi="Arial"/>
          <w:sz w:val="25"/>
          <w:szCs w:val="25"/>
          <w:color w:val="FCFCD1"/>
        </w:rPr>
        <w:t>Ms. Wynntook the positionthat herpersonalfoundationisnot subjectto the</w:t>
      </w:r>
      <w:r>
        <w:rPr>
          <w:rFonts w:ascii="Arial" w:cs="Arial" w:eastAsia="Arial" w:hAnsi="Arial"/>
          <w:sz w:val="25"/>
          <w:szCs w:val="25"/>
          <w:b w:val="1"/>
          <w:bCs w:val="1"/>
          <w:color w:val="FCFCD1"/>
        </w:rPr>
        <w:t xml:space="preserve"> </w:t>
      </w:r>
      <w:r>
        <w:rPr>
          <w:rFonts w:ascii="Arial" w:cs="Arial" w:eastAsia="Arial" w:hAnsi="Arial"/>
          <w:sz w:val="25"/>
          <w:szCs w:val="25"/>
          <w:color w:val="FCFCD1"/>
        </w:rPr>
        <w:t>Company’s insider trading policy and that her foundation acted within its rights when it sold $10millionworth of the Company’scommonstockduringa “blackoutperiod” shortlybefore</w:t>
      </w:r>
    </w:p>
    <w:p>
      <w:pPr>
        <w:spacing w:after="0" w:line="2" w:lineRule="exact"/>
        <w:rPr>
          <w:sz w:val="20"/>
          <w:szCs w:val="20"/>
          <w:color w:val="auto"/>
        </w:rPr>
      </w:pPr>
    </w:p>
    <w:p>
      <w:pPr>
        <w:ind w:left="260" w:right="980"/>
        <w:spacing w:after="0" w:line="250" w:lineRule="auto"/>
        <w:rPr>
          <w:sz w:val="20"/>
          <w:szCs w:val="20"/>
          <w:color w:val="auto"/>
        </w:rPr>
      </w:pPr>
      <w:r>
        <w:rPr>
          <w:rFonts w:ascii="Arial" w:cs="Arial" w:eastAsia="Arial" w:hAnsi="Arial"/>
          <w:sz w:val="26"/>
          <w:szCs w:val="26"/>
          <w:color w:val="FCFCD1"/>
        </w:rPr>
        <w:t>the Company announced its earnings (even though directors are not permitted to sell Company common stock during such “blackout periods”).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26"/>
          <w:szCs w:val="26"/>
          <w:b w:val="1"/>
          <w:bCs w:val="1"/>
          <w:color w:val="FCFCD1"/>
        </w:rPr>
        <w:t>LandTransaction:</w:t>
      </w:r>
      <w:r>
        <w:rPr>
          <w:rFonts w:ascii="Arial" w:cs="Arial" w:eastAsia="Arial" w:hAnsi="Arial"/>
          <w:sz w:val="26"/>
          <w:szCs w:val="26"/>
          <w:color w:val="FCFCD1"/>
        </w:rPr>
        <w:t>Overthe courseof severalyears,Ms. Wynnparticipatedin Boardmeetings</w:t>
      </w:r>
    </w:p>
    <w:p>
      <w:pPr>
        <w:spacing w:after="0" w:line="35" w:lineRule="exact"/>
        <w:rPr>
          <w:sz w:val="20"/>
          <w:szCs w:val="20"/>
          <w:color w:val="auto"/>
        </w:rPr>
      </w:pPr>
    </w:p>
    <w:p>
      <w:pPr>
        <w:ind w:left="260" w:right="100"/>
        <w:spacing w:after="0" w:line="248" w:lineRule="auto"/>
        <w:rPr>
          <w:sz w:val="20"/>
          <w:szCs w:val="20"/>
          <w:color w:val="auto"/>
        </w:rPr>
      </w:pPr>
      <w:r>
        <w:rPr>
          <w:rFonts w:ascii="Arial" w:cs="Arial" w:eastAsia="Arial" w:hAnsi="Arial"/>
          <w:sz w:val="26"/>
          <w:szCs w:val="26"/>
          <w:color w:val="FCFCD1"/>
        </w:rPr>
        <w:t>in which Wynn Resorts’plans to acquire property in Las Vegas were discussed at length. At no time did Ms. Wynn recuse herself from the Board discussions or inform the Board that her nephew was involved in a competing bid. Ultimately, the land that Wynn Resorts wanted was purchased by a group that included Ms. Wynn’s nephew.</w:t>
      </w:r>
    </w:p>
    <w:p>
      <w:pPr>
        <w:spacing w:after="0" w:line="146" w:lineRule="exact"/>
        <w:rPr>
          <w:sz w:val="20"/>
          <w:szCs w:val="20"/>
          <w:color w:val="auto"/>
        </w:rPr>
      </w:pPr>
    </w:p>
    <w:p>
      <w:pPr>
        <w:ind w:left="9600"/>
        <w:spacing w:after="0"/>
        <w:rPr>
          <w:sz w:val="20"/>
          <w:szCs w:val="20"/>
          <w:color w:val="auto"/>
        </w:rPr>
      </w:pPr>
      <w:r>
        <w:rPr>
          <w:rFonts w:ascii="Arial" w:cs="Arial" w:eastAsia="Arial" w:hAnsi="Arial"/>
          <w:sz w:val="18"/>
          <w:szCs w:val="18"/>
          <w:color w:val="898989"/>
        </w:rPr>
        <w:t>6</w:t>
      </w:r>
    </w:p>
    <w:p>
      <w:pPr>
        <w:sectPr>
          <w:pgSz w:w="11900" w:h="16838" w:orient="portrait"/>
          <w:cols w:equalWidth="0" w:num="1">
            <w:col w:w="10900"/>
          </w:cols>
          <w:pgMar w:left="780" w:top="825" w:right="219" w:bottom="1440" w:gutter="0" w:footer="0" w:header="0"/>
        </w:sectPr>
      </w:pPr>
    </w:p>
    <w:bookmarkStart w:id="7" w:name="page8"/>
    <w:bookmarkEnd w:id="7"/>
    <w:p>
      <w:pPr>
        <w:ind w:left="1500" w:hanging="716"/>
        <w:spacing w:after="0" w:line="262" w:lineRule="auto"/>
        <w:rPr>
          <w:sz w:val="20"/>
          <w:szCs w:val="20"/>
          <w:color w:val="auto"/>
        </w:rPr>
      </w:pPr>
      <w:r>
        <w:rPr>
          <w:rFonts w:ascii="Arial" w:cs="Arial" w:eastAsia="Arial" w:hAnsi="Arial"/>
          <w:sz w:val="30"/>
          <w:szCs w:val="30"/>
          <w:b w:val="1"/>
          <w:bCs w:val="1"/>
          <w:color w:val="FCFCD1"/>
        </w:rPr>
        <w:drawing>
          <wp:anchor simplePos="0" relativeHeight="251657728" behindDoc="1" locked="0" layoutInCell="0" allowOverlap="1">
            <wp:simplePos x="0" y="0"/>
            <wp:positionH relativeFrom="page">
              <wp:posOffset>133350</wp:posOffset>
            </wp:positionH>
            <wp:positionV relativeFrom="page">
              <wp:posOffset>88900</wp:posOffset>
            </wp:positionV>
            <wp:extent cx="7309485" cy="5278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9485" cy="5278120"/>
                    </a:xfrm>
                    <a:prstGeom prst="rect">
                      <a:avLst/>
                    </a:prstGeom>
                    <a:noFill/>
                  </pic:spPr>
                </pic:pic>
              </a:graphicData>
            </a:graphic>
          </wp:anchor>
        </w:drawing>
        <w:t>THE NOMINATING AND CORPORATE GOVERNANCE COMMITTEE SEEKS TO HAVE THE BOARD REPRESENT A DIVERSITY</w:t>
      </w:r>
    </w:p>
    <w:p>
      <w:pPr>
        <w:spacing w:after="0" w:line="2" w:lineRule="exact"/>
        <w:rPr>
          <w:sz w:val="20"/>
          <w:szCs w:val="20"/>
          <w:color w:val="auto"/>
        </w:rPr>
      </w:pPr>
    </w:p>
    <w:p>
      <w:pPr>
        <w:ind w:left="2480"/>
        <w:spacing w:after="0"/>
        <w:rPr>
          <w:sz w:val="20"/>
          <w:szCs w:val="20"/>
          <w:color w:val="auto"/>
        </w:rPr>
      </w:pPr>
      <w:r>
        <w:rPr>
          <w:rFonts w:ascii="Arial" w:cs="Arial" w:eastAsia="Arial" w:hAnsi="Arial"/>
          <w:sz w:val="30"/>
          <w:szCs w:val="30"/>
          <w:b w:val="1"/>
          <w:bCs w:val="1"/>
          <w:color w:val="FCFCD1"/>
        </w:rPr>
        <w:t>OF BACKGROUNDS AND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8"/>
              </w:rPr>
              <w:t>Chairman</w:t>
            </w:r>
          </w:p>
        </w:tc>
        <w:tc>
          <w:tcPr>
            <w:tcW w:w="980" w:type="dxa"/>
            <w:vAlign w:val="bottom"/>
          </w:tcPr>
          <w:p>
            <w:pPr>
              <w:jc w:val="center"/>
              <w:spacing w:after="0"/>
              <w:rPr>
                <w:sz w:val="20"/>
                <w:szCs w:val="20"/>
                <w:color w:val="auto"/>
              </w:rPr>
            </w:pPr>
            <w:r>
              <w:rPr>
                <w:rFonts w:ascii="Arial" w:cs="Arial" w:eastAsia="Arial" w:hAnsi="Arial"/>
                <w:sz w:val="15"/>
                <w:szCs w:val="15"/>
                <w:b w:val="1"/>
                <w:bCs w:val="1"/>
                <w:color w:val="FCFCD1"/>
                <w:w w:val="97"/>
              </w:rPr>
              <w:t>Financial &amp;</w:t>
            </w:r>
          </w:p>
        </w:tc>
        <w:tc>
          <w:tcPr>
            <w:tcW w:w="108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7"/>
              </w:rPr>
              <w:t>International</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FCFCD1"/>
              </w:rPr>
              <w:t>Real Estate &amp;</w:t>
            </w: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1060" w:type="dxa"/>
            <w:vAlign w:val="bottom"/>
          </w:tcPr>
          <w:p>
            <w:pPr>
              <w:spacing w:after="0"/>
              <w:rPr>
                <w:sz w:val="7"/>
                <w:szCs w:val="7"/>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6"/>
              </w:rPr>
              <w:t>Board</w:t>
            </w:r>
          </w:p>
        </w:tc>
        <w:tc>
          <w:tcPr>
            <w:tcW w:w="980" w:type="dxa"/>
            <w:vAlign w:val="bottom"/>
            <w:vMerge w:val="continue"/>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5"/>
              </w:rPr>
              <w:t>Capital</w:t>
            </w:r>
          </w:p>
        </w:tc>
        <w:tc>
          <w:tcPr>
            <w:tcW w:w="1080" w:type="dxa"/>
            <w:vAlign w:val="bottom"/>
            <w:vMerge w:val="continue"/>
          </w:tcPr>
          <w:p>
            <w:pPr>
              <w:spacing w:after="0"/>
              <w:rPr>
                <w:sz w:val="7"/>
                <w:szCs w:val="7"/>
                <w:color w:val="auto"/>
              </w:rPr>
            </w:pPr>
          </w:p>
        </w:tc>
        <w:tc>
          <w:tcPr>
            <w:tcW w:w="1180" w:type="dxa"/>
            <w:vAlign w:val="bottom"/>
            <w:vMerge w:val="restart"/>
          </w:tcPr>
          <w:p>
            <w:pPr>
              <w:ind w:left="380"/>
              <w:spacing w:after="0"/>
              <w:rPr>
                <w:sz w:val="20"/>
                <w:szCs w:val="20"/>
                <w:color w:val="auto"/>
              </w:rPr>
            </w:pPr>
            <w:r>
              <w:rPr>
                <w:rFonts w:ascii="Arial" w:cs="Arial" w:eastAsia="Arial" w:hAnsi="Arial"/>
                <w:sz w:val="15"/>
                <w:szCs w:val="15"/>
                <w:b w:val="1"/>
                <w:bCs w:val="1"/>
                <w:color w:val="FCFCD1"/>
              </w:rPr>
              <w:t>Land</w:t>
            </w: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6"/>
              </w:rPr>
              <w:t>Gaming</w:t>
            </w: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60" w:type="dxa"/>
            <w:vAlign w:val="bottom"/>
            <w:vMerge w:val="restart"/>
          </w:tcPr>
          <w:p>
            <w:pPr>
              <w:ind w:left="180"/>
              <w:spacing w:after="0"/>
              <w:rPr>
                <w:sz w:val="20"/>
                <w:szCs w:val="20"/>
                <w:color w:val="auto"/>
              </w:rPr>
            </w:pPr>
            <w:r>
              <w:rPr>
                <w:rFonts w:ascii="Arial" w:cs="Arial" w:eastAsia="Arial" w:hAnsi="Arial"/>
                <w:sz w:val="15"/>
                <w:szCs w:val="15"/>
                <w:b w:val="1"/>
                <w:bCs w:val="1"/>
                <w:color w:val="FCFCD1"/>
              </w:rPr>
              <w:t>Director</w:t>
            </w:r>
          </w:p>
        </w:tc>
        <w:tc>
          <w:tcPr>
            <w:tcW w:w="1260" w:type="dxa"/>
            <w:vAlign w:val="bottom"/>
            <w:vMerge w:val="continue"/>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6"/>
              </w:rPr>
              <w:t>&amp; CEO</w:t>
            </w:r>
          </w:p>
        </w:tc>
        <w:tc>
          <w:tcPr>
            <w:tcW w:w="980" w:type="dxa"/>
            <w:vAlign w:val="bottom"/>
            <w:vMerge w:val="continue"/>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8"/>
              </w:rPr>
              <w:t>Investment</w:t>
            </w:r>
          </w:p>
        </w:tc>
        <w:tc>
          <w:tcPr>
            <w:tcW w:w="11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200" w:type="dxa"/>
            <w:vAlign w:val="bottom"/>
            <w:vMerge w:val="restart"/>
          </w:tcPr>
          <w:p>
            <w:pPr>
              <w:ind w:left="100"/>
              <w:spacing w:after="0"/>
              <w:rPr>
                <w:sz w:val="20"/>
                <w:szCs w:val="20"/>
                <w:color w:val="auto"/>
              </w:rPr>
            </w:pPr>
            <w:r>
              <w:rPr>
                <w:rFonts w:ascii="Arial" w:cs="Arial" w:eastAsia="Arial" w:hAnsi="Arial"/>
                <w:sz w:val="15"/>
                <w:szCs w:val="15"/>
                <w:b w:val="1"/>
                <w:bCs w:val="1"/>
                <w:color w:val="FCFCD1"/>
              </w:rPr>
              <w:t>Independence</w:t>
            </w:r>
          </w:p>
        </w:tc>
        <w:tc>
          <w:tcPr>
            <w:tcW w:w="780" w:type="dxa"/>
            <w:vAlign w:val="bottom"/>
            <w:vMerge w:val="restart"/>
          </w:tcPr>
          <w:p>
            <w:pPr>
              <w:ind w:left="180"/>
              <w:spacing w:after="0"/>
              <w:rPr>
                <w:sz w:val="20"/>
                <w:szCs w:val="20"/>
                <w:color w:val="auto"/>
              </w:rPr>
            </w:pPr>
            <w:r>
              <w:rPr>
                <w:rFonts w:ascii="Arial" w:cs="Arial" w:eastAsia="Arial" w:hAnsi="Arial"/>
                <w:sz w:val="15"/>
                <w:szCs w:val="15"/>
                <w:b w:val="1"/>
                <w:bCs w:val="1"/>
                <w:color w:val="FCFCD1"/>
              </w:rPr>
              <w:t>Tenure</w:t>
            </w:r>
          </w:p>
        </w:tc>
        <w:tc>
          <w:tcPr>
            <w:tcW w:w="0" w:type="dxa"/>
            <w:vAlign w:val="bottom"/>
          </w:tcPr>
          <w:p>
            <w:pPr>
              <w:spacing w:after="0"/>
              <w:rPr>
                <w:sz w:val="1"/>
                <w:szCs w:val="1"/>
                <w:color w:val="auto"/>
              </w:rPr>
            </w:pPr>
          </w:p>
        </w:tc>
      </w:tr>
      <w:tr>
        <w:trPr>
          <w:trHeight w:val="90"/>
        </w:trPr>
        <w:tc>
          <w:tcPr>
            <w:tcW w:w="1060" w:type="dxa"/>
            <w:vAlign w:val="bottom"/>
            <w:vMerge w:val="continue"/>
          </w:tcPr>
          <w:p>
            <w:pPr>
              <w:spacing w:after="0"/>
              <w:rPr>
                <w:sz w:val="7"/>
                <w:szCs w:val="7"/>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5"/>
              </w:rPr>
              <w:t>Committees</w:t>
            </w:r>
          </w:p>
        </w:tc>
        <w:tc>
          <w:tcPr>
            <w:tcW w:w="980" w:type="dxa"/>
            <w:vAlign w:val="bottom"/>
            <w:vMerge w:val="continue"/>
          </w:tcPr>
          <w:p>
            <w:pPr>
              <w:spacing w:after="0"/>
              <w:rPr>
                <w:sz w:val="7"/>
                <w:szCs w:val="7"/>
                <w:color w:val="auto"/>
              </w:rPr>
            </w:pPr>
          </w:p>
        </w:tc>
        <w:tc>
          <w:tcPr>
            <w:tcW w:w="980" w:type="dxa"/>
            <w:vAlign w:val="bottom"/>
            <w:vMerge w:val="restart"/>
          </w:tcPr>
          <w:p>
            <w:pPr>
              <w:ind w:left="200"/>
              <w:spacing w:after="0"/>
              <w:rPr>
                <w:sz w:val="20"/>
                <w:szCs w:val="20"/>
                <w:color w:val="auto"/>
              </w:rPr>
            </w:pPr>
            <w:r>
              <w:rPr>
                <w:rFonts w:ascii="Arial" w:cs="Arial" w:eastAsia="Arial" w:hAnsi="Arial"/>
                <w:sz w:val="15"/>
                <w:szCs w:val="15"/>
                <w:b w:val="1"/>
                <w:bCs w:val="1"/>
                <w:color w:val="FCFCD1"/>
              </w:rPr>
              <w:t>Markets</w:t>
            </w:r>
          </w:p>
        </w:tc>
        <w:tc>
          <w:tcPr>
            <w:tcW w:w="1080" w:type="dxa"/>
            <w:vAlign w:val="bottom"/>
            <w:vMerge w:val="continue"/>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7"/>
              </w:rPr>
              <w:t>Development</w:t>
            </w: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7"/>
              </w:rPr>
              <w:t>Experience</w:t>
            </w:r>
          </w:p>
        </w:tc>
        <w:tc>
          <w:tcPr>
            <w:tcW w:w="12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7"/>
              </w:rPr>
              <w:t>Experience</w:t>
            </w:r>
          </w:p>
        </w:tc>
        <w:tc>
          <w:tcPr>
            <w:tcW w:w="980" w:type="dxa"/>
            <w:vAlign w:val="bottom"/>
            <w:vMerge w:val="continue"/>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7"/>
              </w:rPr>
              <w:t>Experience</w:t>
            </w:r>
          </w:p>
        </w:tc>
        <w:tc>
          <w:tcPr>
            <w:tcW w:w="118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0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7"/>
              </w:rPr>
              <w:t>Experience</w:t>
            </w:r>
          </w:p>
        </w:tc>
        <w:tc>
          <w:tcPr>
            <w:tcW w:w="1080" w:type="dxa"/>
            <w:vAlign w:val="bottom"/>
            <w:vMerge w:val="continue"/>
          </w:tcPr>
          <w:p>
            <w:pPr>
              <w:spacing w:after="0"/>
              <w:rPr>
                <w:sz w:val="8"/>
                <w:szCs w:val="8"/>
                <w:color w:val="auto"/>
              </w:rPr>
            </w:pPr>
          </w:p>
        </w:tc>
        <w:tc>
          <w:tcPr>
            <w:tcW w:w="1180" w:type="dxa"/>
            <w:vAlign w:val="bottom"/>
            <w:vMerge w:val="restart"/>
          </w:tcPr>
          <w:p>
            <w:pPr>
              <w:jc w:val="center"/>
              <w:spacing w:after="0"/>
              <w:rPr>
                <w:sz w:val="20"/>
                <w:szCs w:val="20"/>
                <w:color w:val="auto"/>
              </w:rPr>
            </w:pPr>
            <w:r>
              <w:rPr>
                <w:rFonts w:ascii="Arial" w:cs="Arial" w:eastAsia="Arial" w:hAnsi="Arial"/>
                <w:sz w:val="15"/>
                <w:szCs w:val="15"/>
                <w:b w:val="1"/>
                <w:bCs w:val="1"/>
                <w:color w:val="FCFCD1"/>
                <w:w w:val="97"/>
              </w:rPr>
              <w:t>Experience</w:t>
            </w: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2"/>
        </w:trPr>
        <w:tc>
          <w:tcPr>
            <w:tcW w:w="1060" w:type="dxa"/>
            <w:vAlign w:val="bottom"/>
            <w:vMerge w:val="restart"/>
          </w:tcPr>
          <w:p>
            <w:pPr>
              <w:ind w:left="200"/>
              <w:spacing w:after="0"/>
              <w:rPr>
                <w:sz w:val="20"/>
                <w:szCs w:val="20"/>
                <w:color w:val="auto"/>
              </w:rPr>
            </w:pPr>
            <w:r>
              <w:rPr>
                <w:rFonts w:ascii="Arial" w:cs="Arial" w:eastAsia="Arial" w:hAnsi="Arial"/>
                <w:sz w:val="17"/>
                <w:szCs w:val="17"/>
                <w:b w:val="1"/>
                <w:bCs w:val="1"/>
                <w:color w:val="FCFCD1"/>
              </w:rPr>
              <w:t>John J.</w:t>
            </w:r>
          </w:p>
        </w:tc>
        <w:tc>
          <w:tcPr>
            <w:tcW w:w="1260" w:type="dxa"/>
            <w:vAlign w:val="bottom"/>
          </w:tcPr>
          <w:p>
            <w:pPr>
              <w:ind w:left="100"/>
              <w:spacing w:after="0"/>
              <w:rPr>
                <w:sz w:val="20"/>
                <w:szCs w:val="20"/>
                <w:color w:val="auto"/>
              </w:rPr>
            </w:pPr>
            <w:r>
              <w:rPr>
                <w:rFonts w:ascii="Arial" w:cs="Arial" w:eastAsia="Arial" w:hAnsi="Arial"/>
                <w:sz w:val="17"/>
                <w:szCs w:val="17"/>
                <w:color w:val="FCFCD1"/>
              </w:rPr>
              <w:t>Compensation</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260" w:type="dxa"/>
            <w:vAlign w:val="bottom"/>
            <w:vMerge w:val="restart"/>
          </w:tcPr>
          <w:p>
            <w:pPr>
              <w:jc w:val="center"/>
              <w:spacing w:after="0" w:line="190" w:lineRule="exact"/>
              <w:rPr>
                <w:sz w:val="20"/>
                <w:szCs w:val="20"/>
                <w:color w:val="auto"/>
              </w:rPr>
            </w:pPr>
            <w:r>
              <w:rPr>
                <w:rFonts w:ascii="Arial" w:cs="Arial" w:eastAsia="Arial" w:hAnsi="Arial"/>
                <w:sz w:val="17"/>
                <w:szCs w:val="17"/>
                <w:color w:val="FCFCD1"/>
                <w:w w:val="98"/>
              </w:rPr>
              <w:t>&amp; Audit</w:t>
            </w: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vMerge w:val="restart"/>
          </w:tcPr>
          <w:p>
            <w:pPr>
              <w:ind w:left="160"/>
              <w:spacing w:after="0" w:line="190" w:lineRule="exact"/>
              <w:rPr>
                <w:sz w:val="20"/>
                <w:szCs w:val="20"/>
                <w:color w:val="auto"/>
              </w:rPr>
            </w:pPr>
            <w:r>
              <w:rPr>
                <w:rFonts w:ascii="Arial" w:cs="Arial" w:eastAsia="Arial" w:hAnsi="Arial"/>
                <w:sz w:val="17"/>
                <w:szCs w:val="17"/>
                <w:color w:val="FCFCD1"/>
              </w:rPr>
              <w:t>3 years</w:t>
            </w:r>
          </w:p>
        </w:tc>
        <w:tc>
          <w:tcPr>
            <w:tcW w:w="0" w:type="dxa"/>
            <w:vAlign w:val="bottom"/>
          </w:tcPr>
          <w:p>
            <w:pPr>
              <w:spacing w:after="0"/>
              <w:rPr>
                <w:sz w:val="1"/>
                <w:szCs w:val="1"/>
                <w:color w:val="auto"/>
              </w:rPr>
            </w:pPr>
          </w:p>
        </w:tc>
      </w:tr>
      <w:tr>
        <w:trPr>
          <w:trHeight w:val="110"/>
        </w:trPr>
        <w:tc>
          <w:tcPr>
            <w:tcW w:w="1060" w:type="dxa"/>
            <w:vAlign w:val="bottom"/>
            <w:vMerge w:val="restart"/>
          </w:tcPr>
          <w:p>
            <w:pPr>
              <w:jc w:val="center"/>
              <w:spacing w:after="0"/>
              <w:rPr>
                <w:sz w:val="20"/>
                <w:szCs w:val="20"/>
                <w:color w:val="auto"/>
              </w:rPr>
            </w:pPr>
            <w:r>
              <w:rPr>
                <w:rFonts w:ascii="Arial" w:cs="Arial" w:eastAsia="Arial" w:hAnsi="Arial"/>
                <w:sz w:val="17"/>
                <w:szCs w:val="17"/>
                <w:b w:val="1"/>
                <w:bCs w:val="1"/>
                <w:color w:val="FCFCD1"/>
                <w:w w:val="98"/>
              </w:rPr>
              <w:t>Hagenbuch</w:t>
            </w:r>
            <w:r>
              <w:rPr>
                <w:rFonts w:ascii="Arial" w:cs="Arial" w:eastAsia="Arial" w:hAnsi="Arial"/>
                <w:sz w:val="17"/>
                <w:szCs w:val="17"/>
                <w:b w:val="1"/>
                <w:bCs w:val="1"/>
                <w:color w:val="FFFF00"/>
                <w:w w:val="98"/>
              </w:rPr>
              <w:t>*</w:t>
            </w:r>
          </w:p>
        </w:tc>
        <w:tc>
          <w:tcPr>
            <w:tcW w:w="12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60" w:type="dxa"/>
            <w:vAlign w:val="bottom"/>
            <w:vMerge w:val="continue"/>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7"/>
                <w:szCs w:val="17"/>
                <w:color w:val="FCFCD1"/>
                <w:w w:val="96"/>
              </w:rPr>
              <w:t>Committees</w:t>
            </w:r>
          </w:p>
        </w:tc>
        <w:tc>
          <w:tcPr>
            <w:tcW w:w="9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0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4"/>
        </w:trPr>
        <w:tc>
          <w:tcPr>
            <w:tcW w:w="106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Arial" w:cs="Arial" w:eastAsia="Arial" w:hAnsi="Arial"/>
                <w:sz w:val="17"/>
                <w:szCs w:val="17"/>
                <w:color w:val="FCFCD1"/>
              </w:rPr>
              <w:t>Compensation</w:t>
            </w: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60" w:type="dxa"/>
            <w:vAlign w:val="bottom"/>
            <w:vMerge w:val="restart"/>
          </w:tcPr>
          <w:p>
            <w:pPr>
              <w:jc w:val="center"/>
              <w:spacing w:after="0"/>
              <w:rPr>
                <w:sz w:val="20"/>
                <w:szCs w:val="20"/>
                <w:color w:val="auto"/>
              </w:rPr>
            </w:pPr>
            <w:r>
              <w:rPr>
                <w:rFonts w:ascii="Arial" w:cs="Arial" w:eastAsia="Arial" w:hAnsi="Arial"/>
                <w:sz w:val="17"/>
                <w:szCs w:val="17"/>
                <w:b w:val="1"/>
                <w:bCs w:val="1"/>
                <w:color w:val="FCFCD1"/>
                <w:w w:val="99"/>
              </w:rPr>
              <w:t>J. Edward</w:t>
            </w:r>
          </w:p>
        </w:tc>
        <w:tc>
          <w:tcPr>
            <w:tcW w:w="1260" w:type="dxa"/>
            <w:vAlign w:val="bottom"/>
          </w:tcPr>
          <w:p>
            <w:pPr>
              <w:jc w:val="center"/>
              <w:spacing w:after="0"/>
              <w:rPr>
                <w:sz w:val="20"/>
                <w:szCs w:val="20"/>
                <w:color w:val="auto"/>
              </w:rPr>
            </w:pPr>
            <w:r>
              <w:rPr>
                <w:rFonts w:ascii="Arial" w:cs="Arial" w:eastAsia="Arial" w:hAnsi="Arial"/>
                <w:sz w:val="17"/>
                <w:szCs w:val="17"/>
                <w:color w:val="FCFCD1"/>
                <w:w w:val="99"/>
              </w:rPr>
              <w:t>&amp; Nominating</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260" w:type="dxa"/>
            <w:vAlign w:val="bottom"/>
            <w:vMerge w:val="restart"/>
          </w:tcPr>
          <w:p>
            <w:pPr>
              <w:ind w:left="100"/>
              <w:spacing w:after="0"/>
              <w:rPr>
                <w:sz w:val="20"/>
                <w:szCs w:val="20"/>
                <w:color w:val="auto"/>
              </w:rPr>
            </w:pPr>
            <w:r>
              <w:rPr>
                <w:rFonts w:ascii="Arial" w:cs="Arial" w:eastAsia="Arial" w:hAnsi="Arial"/>
                <w:sz w:val="17"/>
                <w:szCs w:val="17"/>
                <w:color w:val="FCFCD1"/>
              </w:rPr>
              <w:t>and Corporate</w:t>
            </w: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vMerge w:val="restart"/>
          </w:tcPr>
          <w:p>
            <w:pPr>
              <w:ind w:left="160"/>
              <w:spacing w:after="0"/>
              <w:rPr>
                <w:sz w:val="20"/>
                <w:szCs w:val="20"/>
                <w:color w:val="auto"/>
              </w:rPr>
            </w:pPr>
            <w:r>
              <w:rPr>
                <w:rFonts w:ascii="Arial" w:cs="Arial" w:eastAsia="Arial" w:hAnsi="Arial"/>
                <w:sz w:val="17"/>
                <w:szCs w:val="17"/>
                <w:color w:val="FCFCD1"/>
              </w:rPr>
              <w:t>3 years</w:t>
            </w:r>
          </w:p>
        </w:tc>
        <w:tc>
          <w:tcPr>
            <w:tcW w:w="0" w:type="dxa"/>
            <w:vAlign w:val="bottom"/>
          </w:tcPr>
          <w:p>
            <w:pPr>
              <w:spacing w:after="0"/>
              <w:rPr>
                <w:sz w:val="1"/>
                <w:szCs w:val="1"/>
                <w:color w:val="auto"/>
              </w:rPr>
            </w:pPr>
          </w:p>
        </w:tc>
      </w:tr>
      <w:tr>
        <w:trPr>
          <w:trHeight w:val="121"/>
        </w:trPr>
        <w:tc>
          <w:tcPr>
            <w:tcW w:w="1060" w:type="dxa"/>
            <w:vAlign w:val="bottom"/>
            <w:vMerge w:val="restart"/>
          </w:tcPr>
          <w:p>
            <w:pPr>
              <w:ind w:left="160"/>
              <w:spacing w:after="0"/>
              <w:rPr>
                <w:sz w:val="20"/>
                <w:szCs w:val="20"/>
                <w:color w:val="auto"/>
              </w:rPr>
            </w:pPr>
            <w:r>
              <w:rPr>
                <w:rFonts w:ascii="Arial" w:cs="Arial" w:eastAsia="Arial" w:hAnsi="Arial"/>
                <w:sz w:val="17"/>
                <w:szCs w:val="17"/>
                <w:b w:val="1"/>
                <w:bCs w:val="1"/>
                <w:color w:val="FCFCD1"/>
              </w:rPr>
              <w:t>Virtue</w:t>
            </w:r>
            <w:r>
              <w:rPr>
                <w:rFonts w:ascii="Arial" w:cs="Arial" w:eastAsia="Arial" w:hAnsi="Arial"/>
                <w:sz w:val="17"/>
                <w:szCs w:val="17"/>
                <w:b w:val="1"/>
                <w:bCs w:val="1"/>
                <w:color w:val="FFFF00"/>
              </w:rPr>
              <w:t>*</w:t>
            </w:r>
          </w:p>
        </w:tc>
        <w:tc>
          <w:tcPr>
            <w:tcW w:w="12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60" w:type="dxa"/>
            <w:vAlign w:val="bottom"/>
            <w:vMerge w:val="continue"/>
          </w:tcPr>
          <w:p>
            <w:pPr>
              <w:spacing w:after="0"/>
              <w:rPr>
                <w:sz w:val="8"/>
                <w:szCs w:val="8"/>
                <w:color w:val="auto"/>
              </w:rPr>
            </w:pPr>
          </w:p>
        </w:tc>
        <w:tc>
          <w:tcPr>
            <w:tcW w:w="1260" w:type="dxa"/>
            <w:vAlign w:val="bottom"/>
            <w:vMerge w:val="restart"/>
          </w:tcPr>
          <w:p>
            <w:pPr>
              <w:jc w:val="center"/>
              <w:spacing w:after="0" w:line="190" w:lineRule="exact"/>
              <w:rPr>
                <w:sz w:val="20"/>
                <w:szCs w:val="20"/>
                <w:color w:val="auto"/>
              </w:rPr>
            </w:pPr>
            <w:r>
              <w:rPr>
                <w:rFonts w:ascii="Arial" w:cs="Arial" w:eastAsia="Arial" w:hAnsi="Arial"/>
                <w:sz w:val="17"/>
                <w:szCs w:val="17"/>
                <w:color w:val="FCFCD1"/>
                <w:w w:val="97"/>
              </w:rPr>
              <w:t>Governance</w:t>
            </w: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0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FCFCD1"/>
                <w:w w:val="96"/>
              </w:rPr>
              <w:t>Committees</w:t>
            </w: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4"/>
        </w:trPr>
        <w:tc>
          <w:tcPr>
            <w:tcW w:w="1060" w:type="dxa"/>
            <w:vAlign w:val="bottom"/>
          </w:tcPr>
          <w:p>
            <w:pPr>
              <w:jc w:val="center"/>
              <w:ind w:right="18"/>
              <w:spacing w:after="0"/>
              <w:rPr>
                <w:sz w:val="20"/>
                <w:szCs w:val="20"/>
                <w:color w:val="auto"/>
              </w:rPr>
            </w:pPr>
            <w:r>
              <w:rPr>
                <w:rFonts w:ascii="Arial" w:cs="Arial" w:eastAsia="Arial" w:hAnsi="Arial"/>
                <w:sz w:val="17"/>
                <w:szCs w:val="17"/>
                <w:b w:val="1"/>
                <w:bCs w:val="1"/>
                <w:color w:val="FCFCD1"/>
                <w:w w:val="95"/>
              </w:rPr>
              <w:t>Elaine P.</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vMerge w:val="restart"/>
          </w:tcPr>
          <w:p>
            <w:pPr>
              <w:ind w:left="120"/>
              <w:spacing w:after="0"/>
              <w:rPr>
                <w:sz w:val="20"/>
                <w:szCs w:val="20"/>
                <w:color w:val="auto"/>
              </w:rPr>
            </w:pPr>
            <w:r>
              <w:rPr>
                <w:rFonts w:ascii="Arial" w:cs="Arial" w:eastAsia="Arial" w:hAnsi="Arial"/>
                <w:sz w:val="17"/>
                <w:szCs w:val="17"/>
                <w:color w:val="FCFCD1"/>
                <w:w w:val="98"/>
              </w:rPr>
              <w:t>13 years</w:t>
            </w:r>
          </w:p>
        </w:tc>
        <w:tc>
          <w:tcPr>
            <w:tcW w:w="0" w:type="dxa"/>
            <w:vAlign w:val="bottom"/>
          </w:tcPr>
          <w:p>
            <w:pPr>
              <w:spacing w:after="0"/>
              <w:rPr>
                <w:sz w:val="1"/>
                <w:szCs w:val="1"/>
                <w:color w:val="auto"/>
              </w:rPr>
            </w:pPr>
          </w:p>
        </w:tc>
      </w:tr>
      <w:tr>
        <w:trPr>
          <w:trHeight w:val="121"/>
        </w:trPr>
        <w:tc>
          <w:tcPr>
            <w:tcW w:w="1060" w:type="dxa"/>
            <w:vAlign w:val="bottom"/>
            <w:vMerge w:val="restart"/>
          </w:tcPr>
          <w:p>
            <w:pPr>
              <w:ind w:left="180"/>
              <w:spacing w:after="0"/>
              <w:rPr>
                <w:sz w:val="20"/>
                <w:szCs w:val="20"/>
                <w:color w:val="auto"/>
              </w:rPr>
            </w:pPr>
            <w:r>
              <w:rPr>
                <w:rFonts w:ascii="Arial" w:cs="Arial" w:eastAsia="Arial" w:hAnsi="Arial"/>
                <w:sz w:val="17"/>
                <w:szCs w:val="17"/>
                <w:b w:val="1"/>
                <w:bCs w:val="1"/>
                <w:color w:val="FCFCD1"/>
              </w:rPr>
              <w:t>Wynn</w:t>
            </w:r>
            <w:r>
              <w:rPr>
                <w:rFonts w:ascii="Arial" w:cs="Arial" w:eastAsia="Arial" w:hAnsi="Arial"/>
                <w:sz w:val="10"/>
                <w:szCs w:val="10"/>
                <w:b w:val="1"/>
                <w:bCs w:val="1"/>
                <w:color w:val="0EFDFF"/>
              </w:rPr>
              <w:t>x</w:t>
            </w: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0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40"/>
        <w:spacing w:after="0"/>
        <w:tabs>
          <w:tab w:leader="none" w:pos="5200" w:val="left"/>
        </w:tabs>
        <w:rPr>
          <w:sz w:val="20"/>
          <w:szCs w:val="20"/>
          <w:color w:val="auto"/>
        </w:rPr>
      </w:pPr>
      <w:r>
        <w:rPr>
          <w:rFonts w:ascii="Arial" w:cs="Arial" w:eastAsia="Arial" w:hAnsi="Arial"/>
          <w:sz w:val="21"/>
          <w:szCs w:val="21"/>
          <w:b w:val="1"/>
          <w:bCs w:val="1"/>
          <w:color w:val="FFFF00"/>
        </w:rPr>
        <w:t xml:space="preserve">* </w:t>
      </w:r>
      <w:r>
        <w:rPr>
          <w:rFonts w:ascii="Arial" w:cs="Arial" w:eastAsia="Arial" w:hAnsi="Arial"/>
          <w:sz w:val="21"/>
          <w:szCs w:val="21"/>
          <w:color w:val="FCFCD1"/>
        </w:rPr>
        <w:t>Wynn Resorts’nominees</w:t>
      </w:r>
      <w:r>
        <w:rPr>
          <w:sz w:val="20"/>
          <w:szCs w:val="20"/>
          <w:color w:val="auto"/>
        </w:rPr>
        <w:tab/>
      </w:r>
      <w:r>
        <w:rPr>
          <w:rFonts w:ascii="Arial" w:cs="Arial" w:eastAsia="Arial" w:hAnsi="Arial"/>
          <w:sz w:val="13"/>
          <w:szCs w:val="13"/>
          <w:b w:val="1"/>
          <w:bCs w:val="1"/>
          <w:color w:val="0EFDFF"/>
        </w:rPr>
        <w:t xml:space="preserve">x </w:t>
      </w:r>
      <w:r>
        <w:rPr>
          <w:rFonts w:ascii="Arial" w:cs="Arial" w:eastAsia="Arial" w:hAnsi="Arial"/>
          <w:sz w:val="21"/>
          <w:szCs w:val="21"/>
          <w:color w:val="FCFCD1"/>
        </w:rPr>
        <w:t>Elaine P. Wynn’s nominee</w:t>
      </w:r>
    </w:p>
    <w:p>
      <w:pPr>
        <w:spacing w:after="0" w:line="196" w:lineRule="exact"/>
        <w:rPr>
          <w:sz w:val="20"/>
          <w:szCs w:val="20"/>
          <w:color w:val="auto"/>
        </w:rPr>
      </w:pPr>
    </w:p>
    <w:p>
      <w:pPr>
        <w:ind w:left="9420"/>
        <w:spacing w:after="0"/>
        <w:rPr>
          <w:sz w:val="20"/>
          <w:szCs w:val="20"/>
          <w:color w:val="auto"/>
        </w:rPr>
      </w:pPr>
      <w:r>
        <w:rPr>
          <w:rFonts w:ascii="Arial" w:cs="Arial" w:eastAsia="Arial" w:hAnsi="Arial"/>
          <w:sz w:val="18"/>
          <w:szCs w:val="18"/>
          <w:color w:val="898989"/>
        </w:rPr>
        <w:t>7</w:t>
      </w:r>
    </w:p>
    <w:p>
      <w:pPr>
        <w:sectPr>
          <w:pgSz w:w="11900" w:h="16838" w:orient="portrait"/>
          <w:cols w:equalWidth="0" w:num="1">
            <w:col w:w="10280"/>
          </w:cols>
          <w:pgMar w:left="960" w:top="791" w:right="659" w:bottom="1440" w:gutter="0" w:footer="0" w:header="0"/>
        </w:sectPr>
      </w:pPr>
    </w:p>
    <w:bookmarkStart w:id="8" w:name="page9"/>
    <w:bookmarkEnd w:id="8"/>
    <w:p>
      <w:pPr>
        <w:ind w:left="20" w:right="540"/>
        <w:spacing w:after="0" w:line="254" w:lineRule="auto"/>
        <w:rPr>
          <w:sz w:val="20"/>
          <w:szCs w:val="20"/>
          <w:color w:val="auto"/>
        </w:rPr>
      </w:pPr>
      <w:r>
        <w:rPr>
          <w:rFonts w:ascii="Arial" w:cs="Arial" w:eastAsia="Arial" w:hAnsi="Arial"/>
          <w:sz w:val="18"/>
          <w:szCs w:val="18"/>
          <w:color w:val="FCFCD1"/>
        </w:rPr>
        <w:drawing>
          <wp:anchor simplePos="0" relativeHeight="251657728" behindDoc="1" locked="0" layoutInCell="0" allowOverlap="1">
            <wp:simplePos x="0" y="0"/>
            <wp:positionH relativeFrom="page">
              <wp:posOffset>133350</wp:posOffset>
            </wp:positionH>
            <wp:positionV relativeFrom="page">
              <wp:posOffset>88900</wp:posOffset>
            </wp:positionV>
            <wp:extent cx="7309485" cy="5278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9485" cy="5278120"/>
                    </a:xfrm>
                    <a:prstGeom prst="rect">
                      <a:avLst/>
                    </a:prstGeom>
                    <a:noFill/>
                  </pic:spPr>
                </pic:pic>
              </a:graphicData>
            </a:graphic>
          </wp:anchor>
        </w:drawing>
        <w:t xml:space="preserve">Security holders are advised to read the Wynn Resorts, Limited Definitive Proxy Statement and, as they become available, other documents related to the solicitation of proxies by Wynn Resorts, Limited for the 2015 Annual Meeting of Stockholders. For information on voting your </w:t>
      </w:r>
      <w:r>
        <w:rPr>
          <w:rFonts w:ascii="Arial" w:cs="Arial" w:eastAsia="Arial" w:hAnsi="Arial"/>
          <w:sz w:val="18"/>
          <w:szCs w:val="18"/>
          <w:b w:val="1"/>
          <w:bCs w:val="1"/>
          <w:color w:val="FCFCD1"/>
        </w:rPr>
        <w:t>WHITE PROXY CARD</w:t>
      </w:r>
      <w:r>
        <w:rPr>
          <w:rFonts w:ascii="Arial" w:cs="Arial" w:eastAsia="Arial" w:hAnsi="Arial"/>
          <w:sz w:val="18"/>
          <w:szCs w:val="18"/>
          <w:color w:val="FCFCD1"/>
        </w:rPr>
        <w:t>, please contact D.F. King &amp; Co., Inc., toll-free at (877) 732-3619.</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5"/>
          <w:szCs w:val="15"/>
          <w:color w:val="FCFCD1"/>
        </w:rPr>
        <w:t>FORWARD LOOKING STATEMENTS</w:t>
      </w:r>
    </w:p>
    <w:p>
      <w:pPr>
        <w:spacing w:after="0" w:line="29" w:lineRule="exact"/>
        <w:rPr>
          <w:sz w:val="20"/>
          <w:szCs w:val="20"/>
          <w:color w:val="auto"/>
        </w:rPr>
      </w:pPr>
    </w:p>
    <w:p>
      <w:pPr>
        <w:spacing w:after="0" w:line="251" w:lineRule="auto"/>
        <w:rPr>
          <w:sz w:val="20"/>
          <w:szCs w:val="20"/>
          <w:color w:val="auto"/>
        </w:rPr>
      </w:pPr>
      <w:r>
        <w:rPr>
          <w:rFonts w:ascii="Arial" w:cs="Arial" w:eastAsia="Arial" w:hAnsi="Arial"/>
          <w:sz w:val="15"/>
          <w:szCs w:val="15"/>
          <w:color w:val="FCFCD1"/>
        </w:rPr>
        <w:t>This presentation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2014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480"/>
        <w:spacing w:after="0"/>
        <w:rPr>
          <w:sz w:val="20"/>
          <w:szCs w:val="20"/>
          <w:color w:val="auto"/>
        </w:rPr>
      </w:pPr>
      <w:r>
        <w:rPr>
          <w:rFonts w:ascii="Arial" w:cs="Arial" w:eastAsia="Arial" w:hAnsi="Arial"/>
          <w:sz w:val="18"/>
          <w:szCs w:val="18"/>
          <w:color w:val="898989"/>
        </w:rPr>
        <w:t>8</w:t>
      </w:r>
    </w:p>
    <w:sectPr>
      <w:pgSz w:w="11900" w:h="16838" w:orient="portrait"/>
      <w:cols w:equalWidth="0" w:num="1">
        <w:col w:w="10280"/>
      </w:cols>
      <w:pgMar w:left="900" w:top="106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endash "/>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2019-12-08T02:13:41Z</dcterms:created>
  <dcterms:modified xsi:type="dcterms:W3CDTF">2019-12-08T02:13:41Z</dcterms:modified>
</cp:coreProperties>
</file>