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June 30, 2006</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4" w:lineRule="exact"/>
        <w:rPr>
          <w:sz w:val="24"/>
          <w:szCs w:val="24"/>
          <w:color w:val="auto"/>
        </w:rPr>
      </w:pPr>
    </w:p>
    <w:p>
      <w:pPr>
        <w:ind w:left="580"/>
        <w:spacing w:after="0"/>
        <w:tabs>
          <w:tab w:leader="none" w:pos="32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39"/>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39"/>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72"/>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1440" w:gutter="0" w:footer="0" w:header="0"/>
        </w:sectPr>
      </w:pPr>
    </w:p>
    <w:p>
      <w:pPr>
        <w:spacing w:after="0" w:line="118"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6">
            <w:col w:w="2160" w:space="180"/>
            <w:col w:w="2220" w:space="720"/>
            <w:col w:w="1180" w:space="180"/>
            <w:col w:w="1660" w:space="720"/>
            <w:col w:w="1480" w:space="180"/>
            <w:col w:w="74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440" w:space="160"/>
            <w:col w:w="260" w:space="180"/>
            <w:col w:w="160" w:space="180"/>
            <w:col w:w="220" w:space="160"/>
            <w:col w:w="16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4840" w:type="dxa"/>
            <w:vAlign w:val="bottom"/>
            <w:gridSpan w:val="2"/>
          </w:tcPr>
          <w:p>
            <w:pPr>
              <w:jc w:val="center"/>
              <w:ind w:right="4380"/>
              <w:spacing w:after="0"/>
              <w:rPr>
                <w:sz w:val="20"/>
                <w:szCs w:val="20"/>
                <w:color w:val="auto"/>
              </w:rPr>
            </w:pPr>
            <w:r>
              <w:rPr>
                <w:rFonts w:ascii="Arial" w:cs="Arial" w:eastAsia="Arial" w:hAnsi="Arial"/>
                <w:sz w:val="14"/>
                <w:szCs w:val="14"/>
                <w:b w:val="1"/>
                <w:bCs w:val="1"/>
                <w:color w:val="auto"/>
                <w:w w:val="80"/>
              </w:rPr>
              <w:t>Class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August 1, 2006</w:t>
            </w:r>
          </w:p>
        </w:tc>
        <w:tc>
          <w:tcPr>
            <w:tcW w:w="136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r>
      <w:tr>
        <w:trPr>
          <w:trHeight w:val="316"/>
        </w:trPr>
        <w:tc>
          <w:tcPr>
            <w:tcW w:w="7420" w:type="dxa"/>
            <w:vAlign w:val="bottom"/>
            <w:gridSpan w:val="3"/>
          </w:tcPr>
          <w:p>
            <w:pPr>
              <w:jc w:val="center"/>
              <w:ind w:right="1800"/>
              <w:spacing w:after="0"/>
              <w:rPr>
                <w:sz w:val="20"/>
                <w:szCs w:val="20"/>
                <w:color w:val="auto"/>
              </w:rPr>
            </w:pPr>
            <w:r>
              <w:rPr>
                <w:rFonts w:ascii="Arial" w:cs="Arial" w:eastAsia="Arial" w:hAnsi="Arial"/>
                <w:sz w:val="18"/>
                <w:szCs w:val="18"/>
                <w:color w:val="auto"/>
                <w:w w:val="88"/>
              </w:rPr>
              <w:t>Common stock, $0.01 par value</w:t>
            </w:r>
          </w:p>
        </w:tc>
        <w:tc>
          <w:tcPr>
            <w:tcW w:w="2640" w:type="dxa"/>
            <w:vAlign w:val="bottom"/>
          </w:tcPr>
          <w:p>
            <w:pPr>
              <w:jc w:val="right"/>
              <w:ind w:right="802"/>
              <w:spacing w:after="0"/>
              <w:rPr>
                <w:sz w:val="20"/>
                <w:szCs w:val="20"/>
                <w:color w:val="auto"/>
              </w:rPr>
            </w:pPr>
            <w:r>
              <w:rPr>
                <w:rFonts w:ascii="Arial" w:cs="Arial" w:eastAsia="Arial" w:hAnsi="Arial"/>
                <w:sz w:val="18"/>
                <w:szCs w:val="18"/>
                <w:color w:val="auto"/>
              </w:rPr>
              <w:t>100,881,695</w:t>
            </w:r>
          </w:p>
        </w:tc>
        <w:tc>
          <w:tcPr>
            <w:tcW w:w="1360" w:type="dxa"/>
            <w:vAlign w:val="bottom"/>
          </w:tcPr>
          <w:p>
            <w:pPr>
              <w:spacing w:after="0"/>
              <w:rPr>
                <w:sz w:val="24"/>
                <w:szCs w:val="24"/>
                <w:color w:val="auto"/>
              </w:rPr>
            </w:pPr>
          </w:p>
        </w:tc>
      </w:tr>
      <w:tr>
        <w:trPr>
          <w:trHeight w:val="282"/>
        </w:trPr>
        <w:tc>
          <w:tcPr>
            <w:tcW w:w="2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50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900" w:type="dxa"/>
            <w:vAlign w:val="bottom"/>
          </w:tcPr>
          <w:p>
            <w:pPr>
              <w:spacing w:after="0"/>
              <w:rPr>
                <w:sz w:val="17"/>
                <w:szCs w:val="17"/>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720" w:type="dxa"/>
            <w:vAlign w:val="bottom"/>
            <w:tcBorders>
              <w:top w:val="single" w:sz="8" w:color="0000EE"/>
            </w:tcBorders>
            <w:gridSpan w:val="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6780" w:type="dxa"/>
            <w:vAlign w:val="bottom"/>
            <w:gridSpan w:val="8"/>
          </w:tcPr>
          <w:p>
            <w:pPr>
              <w:spacing w:after="0"/>
              <w:rPr>
                <w:sz w:val="22"/>
                <w:szCs w:val="22"/>
                <w:color w:val="auto"/>
              </w:rPr>
            </w:pPr>
          </w:p>
        </w:tc>
        <w:tc>
          <w:tcPr>
            <w:tcW w:w="19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2006 and December 31, 2005</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60" w:type="dxa"/>
            <w:vAlign w:val="bottom"/>
            <w:tcBorders>
              <w:top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 - Three and six months ended</w:t>
              </w:r>
            </w:hyperlink>
          </w:p>
        </w:tc>
        <w:tc>
          <w:tcPr>
            <w:tcW w:w="17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2006 and 2005 (as restated)</w:t>
              </w:r>
            </w:hyperlink>
          </w:p>
        </w:tc>
        <w:tc>
          <w:tcPr>
            <w:tcW w:w="174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Six months ended</w:t>
              </w:r>
            </w:hyperlink>
          </w:p>
        </w:tc>
        <w:tc>
          <w:tcPr>
            <w:tcW w:w="2400" w:type="dxa"/>
            <w:vAlign w:val="bottom"/>
            <w:gridSpan w:val="4"/>
          </w:tcPr>
          <w:p>
            <w:pPr>
              <w:spacing w:after="0"/>
              <w:rPr>
                <w:sz w:val="22"/>
                <w:szCs w:val="22"/>
                <w:color w:val="auto"/>
              </w:rPr>
            </w:pPr>
          </w:p>
        </w:tc>
        <w:tc>
          <w:tcPr>
            <w:tcW w:w="190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2006 and 2005 (as restated)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50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2"/>
                <w:szCs w:val="22"/>
                <w:color w:val="auto"/>
              </w:rPr>
            </w:pPr>
          </w:p>
        </w:tc>
        <w:tc>
          <w:tcPr>
            <w:tcW w:w="2200" w:type="dxa"/>
            <w:vAlign w:val="bottom"/>
            <w:gridSpan w:val="3"/>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51">
              <w:r>
                <w:rPr>
                  <w:rFonts w:ascii="Arial" w:cs="Arial" w:eastAsia="Arial" w:hAnsi="Arial"/>
                  <w:sz w:val="18"/>
                  <w:szCs w:val="18"/>
                  <w:b w:val="1"/>
                  <w:bCs w:val="1"/>
                  <w:color w:val="0000EE"/>
                  <w:w w:val="92"/>
                </w:rPr>
                <w:t>Other Information</w:t>
              </w:r>
            </w:hyperlink>
          </w:p>
        </w:tc>
        <w:tc>
          <w:tcPr>
            <w:tcW w:w="3020" w:type="dxa"/>
            <w:vAlign w:val="bottom"/>
            <w:gridSpan w:val="3"/>
          </w:tcPr>
          <w:p>
            <w:pPr>
              <w:spacing w:after="0"/>
              <w:rPr>
                <w:sz w:val="17"/>
                <w:szCs w:val="17"/>
                <w:color w:val="auto"/>
              </w:rPr>
            </w:pPr>
          </w:p>
        </w:tc>
        <w:tc>
          <w:tcPr>
            <w:tcW w:w="5960" w:type="dxa"/>
            <w:vAlign w:val="bottom"/>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82,272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49,951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372,324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344,331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2,814,005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4,101,465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land concession obligation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14,554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24,633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2,279,617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2,090,846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2,531,698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100,706,646 and 99,331,294 shares issued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1,995,654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1,972,847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(426,665)</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(395,161)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1,569,767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4,101,465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-4711700</wp:posOffset>
            </wp:positionV>
            <wp:extent cx="56134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-4711700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-4711700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-4711700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963"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963"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98,715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309,824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628,106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(36,454)</w:t>
            </w:r>
          </w:p>
        </w:tc>
        <w:tc>
          <w:tcPr>
            <w:tcW w:w="12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(24,934)</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(77,511)</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273,370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550,595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Casino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95,976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272,198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217,175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540,266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6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(15,804)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(57,464)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(35,307)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(27,143)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(71,250)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Increase/(decrease) in swap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(21,444)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(25,974)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(42,610)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(19,761)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(41,778)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(31,195)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(71,704)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(20,070)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(41,778)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(31,504)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(71,704)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99,286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-1056005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-1056005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-1056005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(31,504)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82,327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(10,591)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(11,547)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(32,393)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(225,584)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(559,393)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(11,994)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Intangibles and 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(73,527)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(311,105)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(233,049)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227,279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(13,032)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Payment for deferred financing costs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214,310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(55,337)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378,952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jc w:val="center"/>
              <w:ind w:left="195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80" w:type="dxa"/>
            <w:vAlign w:val="bottom"/>
            <w:gridSpan w:val="2"/>
          </w:tcPr>
          <w:p>
            <w:pPr>
              <w:jc w:val="right"/>
              <w:ind w:right="35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-557530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construction and development of Wynn Macau and the expansion of Wynn Las Vegas, known as “Encore at Wynn Las Vegas” or “Encore,” are ongoing. For the periods presented prior to April 28, 2005, the Company was solely a development stage company.</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99" w:lineRule="exact"/>
        <w:rPr>
          <w:sz w:val="20"/>
          <w:szCs w:val="20"/>
          <w:color w:val="auto"/>
        </w:rPr>
      </w:pPr>
    </w:p>
    <w:p>
      <w:pPr>
        <w:ind w:left="240" w:right="790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Reclassifications</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Amounts previously classified as “Loss on sale of assets” and “Loss from incidental operations” for the three and six months ended June 30, 2005 have been reclassified as “property charges and other” to conform with the presentation for the three and six months ended June 30, 2006. These reclassifications had no effect on the previously reported net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casino customers following investigations of creditworthiness. At June 30, 2006 and December 31, 2005, approximately 61% and 70%, respectively of the Company’s receivables were due from customers residing in foreign countries. Business or economic conditions or other significant events in these countries could affect the collectibility of such receivables.</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and six months ended June 30, 2006 and 2005 is primarily included in casino expenses as follows (amounts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June 30, 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3 months</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6 months</w:t>
            </w:r>
          </w:p>
        </w:tc>
        <w:tc>
          <w:tcPr>
            <w:tcW w:w="4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3 months</w:t>
            </w:r>
          </w:p>
        </w:tc>
        <w:tc>
          <w:tcPr>
            <w:tcW w:w="4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Food &amp; Beverage</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9878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runs. Advertising costs incurred in development periods are included in pre-opening costs. Since the opening of Wynn Las Vegas on April 28,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advertising costs relating to Wynn Las Vegas have been included in general and administrative expenses, while any advertising costs relating to Wynn Macau or, when it becomes applicable, Encore, will continue to be included in pre-opening costs. Total advertising costs for the three and six months ended June 30, 2006 and 2005 are as follows (amounts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June 30, 2006</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95"/>
        </w:trPr>
        <w:tc>
          <w:tcPr>
            <w:tcW w:w="1300" w:type="dxa"/>
            <w:vAlign w:val="bottom"/>
            <w:gridSpan w:val="2"/>
          </w:tcPr>
          <w:p>
            <w:pPr>
              <w:spacing w:after="0"/>
              <w:rPr>
                <w:sz w:val="8"/>
                <w:szCs w:val="8"/>
                <w:color w:val="auto"/>
              </w:rPr>
            </w:pPr>
          </w:p>
        </w:tc>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Expense category:</w:t>
            </w:r>
          </w:p>
        </w:tc>
        <w:tc>
          <w:tcPr>
            <w:tcW w:w="2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3 months</w:t>
            </w:r>
          </w:p>
        </w:tc>
        <w:tc>
          <w:tcPr>
            <w:tcW w:w="52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6 months</w:t>
            </w:r>
          </w:p>
        </w:tc>
        <w:tc>
          <w:tcPr>
            <w:tcW w:w="5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3 months</w:t>
            </w:r>
          </w:p>
        </w:tc>
        <w:tc>
          <w:tcPr>
            <w:tcW w:w="5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$ 5,496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Pre-opening costs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681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6,801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$ 6,098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$ 8,474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7274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11. Share-Based Compensation.</w:t>
      </w:r>
    </w:p>
    <w:p>
      <w:pPr>
        <w:spacing w:after="0" w:line="158" w:lineRule="exact"/>
        <w:rPr>
          <w:sz w:val="20"/>
          <w:szCs w:val="20"/>
          <w:color w:val="auto"/>
        </w:rPr>
      </w:pPr>
    </w:p>
    <w:p>
      <w:pPr>
        <w:ind w:right="460" w:firstLine="456"/>
        <w:spacing w:after="0" w:line="286" w:lineRule="auto"/>
        <w:rPr>
          <w:sz w:val="20"/>
          <w:szCs w:val="20"/>
          <w:color w:val="auto"/>
        </w:rPr>
      </w:pPr>
      <w:r>
        <w:rPr>
          <w:rFonts w:ascii="Arial" w:cs="Arial" w:eastAsia="Arial" w:hAnsi="Arial"/>
          <w:sz w:val="16"/>
          <w:szCs w:val="16"/>
          <w:color w:val="auto"/>
        </w:rPr>
        <w:t>In June 2006, the Financial Accounting Standards Board (“FASB”) issued Interpretation No. 48 “Accounting for Uncertainty in Income Taxes”. This interpretation clarifies the accounting for uncertainty in income taxes recognized in a company’s financial statements in accordance with FASB Statement</w:t>
      </w:r>
    </w:p>
    <w:p>
      <w:pPr>
        <w:jc w:val="both"/>
        <w:spacing w:after="0" w:line="255" w:lineRule="auto"/>
        <w:rPr>
          <w:sz w:val="20"/>
          <w:szCs w:val="20"/>
          <w:color w:val="auto"/>
        </w:rPr>
      </w:pPr>
      <w:r>
        <w:rPr>
          <w:rFonts w:ascii="Arial" w:cs="Arial" w:eastAsia="Arial" w:hAnsi="Arial"/>
          <w:sz w:val="18"/>
          <w:szCs w:val="18"/>
          <w:color w:val="auto"/>
        </w:rPr>
        <w:t>No. 109, “Accounting for Income Taxes”. The interpretation provides guidance on classification, interest and penalties, accounting in interim periods, disclosure, and translation. This interpretation is effective for fiscal years beginning after December 15, 2006. The Company believes the adoption of this statement, effective January 1, 2007, will not have a material impact on its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three and six months ended June 30, 2006 and 2005, the Company has recorded net losses causing potentially dilutive securities to be anti-dilutive. As a result, basic EPS is equal to diluted EPS for all periods presented. The calculation of diluted EPS at June 30, 2006 excludes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anti-dilutive securities: 3,329,750 shares issuable upon exercise of stock options, 270,000 shares under nonvested stock grants and 9,768,948 shares issuable upon conversion of the 6% Convertible Subordinated Debentures due 2015 (the “Debentures”). The calculation of diluted EPS at June 30, 2005 excludes the following anti-dilutive securities: 2,674,300 shares issuable upon exercise of stock options, 1,033,892 shares under nonvested stock grants and 10,869,550 shares issuable upon conversion of the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for the three and six months ended June 30, 2006 was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3 months</w:t>
            </w:r>
          </w:p>
        </w:tc>
        <w:tc>
          <w:tcPr>
            <w:tcW w:w="2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(20,070)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(31,504)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440" w:type="dxa"/>
            <w:vAlign w:val="bottom"/>
            <w:gridSpan w:val="3"/>
          </w:tcPr>
          <w:p>
            <w:pPr>
              <w:jc w:val="right"/>
              <w:ind w:right="240"/>
              <w:spacing w:after="0"/>
              <w:rPr>
                <w:sz w:val="20"/>
                <w:szCs w:val="20"/>
                <w:color w:val="auto"/>
              </w:rPr>
            </w:pPr>
            <w:r>
              <w:rPr>
                <w:rFonts w:ascii="Arial" w:cs="Arial" w:eastAsia="Arial" w:hAnsi="Arial"/>
                <w:sz w:val="18"/>
                <w:szCs w:val="18"/>
                <w:color w:val="auto"/>
              </w:rPr>
              <w:t>(229)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(20,299)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(31,733)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second quarter of 2006, the impact of the currency translation adjustment on the financial statements of the Company was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paid for the six months ended June 30, 2006 and 2005 totaled approximately $80.1 million and $63.4 million, respectively. Interest capitalized for the six months ended June 30, 2006 and 2005 totaled approximately $14.9 million and $41.3 million, respectively.</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Wynn Macau that was capitalized into construction in progress for the six months ended June 30, 2006 and 2005 totaled approximately $1.0 million and $1.1 million, respectively.</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six months ended June 30, 2006, approximately $25.3 million principal amount of the Debentures were converted into 1,100,602 shares of the common stock of Wynn Resorts, Limited. Accordingly, long-term debt was reduced by approximately $25.3 million, equity was increased by approximately $24.6 million and deferred financing costs were reduced by approximately $669,000.</w:t>
      </w:r>
    </w:p>
    <w:p>
      <w:pPr>
        <w:spacing w:after="0" w:line="12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During the six months ended June 30, 2006, approximately $1.1 million of decreases in construction payables and retention were included in capital expenditures. During the six months ended June 30, 2005, capital expenditures include approximately $648,000 of payments made to decrease construction payables and retention.</w:t>
      </w:r>
    </w:p>
    <w:p>
      <w:pPr>
        <w:spacing w:after="0" w:line="121" w:lineRule="exact"/>
        <w:rPr>
          <w:sz w:val="20"/>
          <w:szCs w:val="20"/>
          <w:color w:val="auto"/>
        </w:rPr>
      </w:pPr>
    </w:p>
    <w:p>
      <w:pPr>
        <w:ind w:left="240" w:right="9160" w:hanging="232"/>
        <w:spacing w:after="0" w:line="398"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which services include household services, construction work and other personal services. Mr. Wynn and other officers have deposits with the Company to prepay any such items, which are replenished on an ongoing basis as needed. At June 30, 2006 and December 31, 2005, the Company owed Mr. Wynn and the other officers approximately $285,000 and $412,000,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third-party appraisals, the Audit Committee has determined the rent for each annual period from July 1, 2005 through June 30, 2008 is $580,000. All services for, and maintenance of, the suite are included in the rental, with certain exceptions.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$ 68,336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Hotel</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13,725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240" w:type="dxa"/>
            <w:vAlign w:val="bottom"/>
            <w:gridSpan w:val="3"/>
          </w:tcPr>
          <w:p>
            <w:pPr>
              <w:jc w:val="right"/>
              <w:ind w:right="300"/>
              <w:spacing w:after="0"/>
              <w:rPr>
                <w:sz w:val="20"/>
                <w:szCs w:val="20"/>
                <w:color w:val="auto"/>
              </w:rPr>
            </w:pPr>
            <w:r>
              <w:rPr>
                <w:rFonts w:ascii="Arial" w:cs="Arial" w:eastAsia="Arial" w:hAnsi="Arial"/>
                <w:sz w:val="18"/>
                <w:szCs w:val="18"/>
                <w:color w:val="auto"/>
              </w:rPr>
              <w:t>(21,494)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$ 65,772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4240" w:type="dxa"/>
            <w:vAlign w:val="bottom"/>
            <w:vMerge w:val="restart"/>
          </w:tcPr>
          <w:p>
            <w:pPr>
              <w:jc w:val="right"/>
              <w:ind w:right="2795"/>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-325755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602,592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1,162,508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1,159,364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615,123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480,389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286,570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2,985,424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2,764,386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(171,419)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(100,516)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2,814,005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57848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June 30, 2006 and December 31, 2005, construction in progress includes interest and other costs capitalized in conjunction with the Wynn Macau and Encore projects.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04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$ 1,300,000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224,686</w:t>
            </w:r>
          </w:p>
        </w:tc>
        <w:tc>
          <w:tcPr>
            <w:tcW w:w="86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3"/>
              </w:rPr>
              <w:t>$600.0 million Revolving Credit Facility; due December 14, 2009; interest at LIBOR plus 2.25% (approximately 7.6%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1"/>
              </w:rPr>
              <w:t>$400.0 million Delay Draw Term Loan Facility; due December 14, 2011 interest at LIBOR plus 2.125% (approximately 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and 6.5%)</w:t>
            </w: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400,000</w:t>
            </w: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5"/>
              </w:rPr>
              <w:t>Senior Term Loan Facilities; due September 14, 2011; interest at LIBOR or HIBOR plus 3.0%, decreasing to LIBOR 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HIBOR plus 2.75% upon opening of Wynn Macau (approximately 8.35% and 7.3%)</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306,044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5"/>
              </w:rPr>
              <w:t>$44.75 million note payable; due March 31, 2010; interest at LIBOR plus 2.375% (approximately 7.725% and 6.902%)</w:t>
            </w: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41,057</w:t>
            </w:r>
          </w:p>
        </w:tc>
        <w:tc>
          <w:tcPr>
            <w:tcW w:w="860" w:type="dxa"/>
            <w:vAlign w:val="bottom"/>
          </w:tcPr>
          <w:p>
            <w:pPr>
              <w:jc w:val="right"/>
              <w:spacing w:after="0"/>
              <w:rPr>
                <w:sz w:val="20"/>
                <w:szCs w:val="20"/>
                <w:color w:val="auto"/>
              </w:rPr>
            </w:pPr>
            <w:r>
              <w:rPr>
                <w:rFonts w:ascii="Arial" w:cs="Arial" w:eastAsia="Arial" w:hAnsi="Arial"/>
                <w:sz w:val="18"/>
                <w:szCs w:val="18"/>
                <w:color w:val="auto"/>
              </w:rPr>
              <w:t>43,536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Aircraft; interest at 5.67%</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13,635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1"/>
              </w:rPr>
              <w:t>12% Second Mortgage Notes, net of original issue discount of approximately $395 and $440, respectively due November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9,747</w:t>
            </w:r>
          </w:p>
        </w:tc>
        <w:tc>
          <w:tcPr>
            <w:tcW w:w="860" w:type="dxa"/>
            <w:vAlign w:val="bottom"/>
          </w:tcPr>
          <w:p>
            <w:pPr>
              <w:jc w:val="right"/>
              <w:spacing w:after="0"/>
              <w:rPr>
                <w:sz w:val="20"/>
                <w:szCs w:val="20"/>
                <w:color w:val="auto"/>
              </w:rPr>
            </w:pPr>
            <w:r>
              <w:rPr>
                <w:rFonts w:ascii="Arial" w:cs="Arial" w:eastAsia="Arial" w:hAnsi="Arial"/>
                <w:sz w:val="18"/>
                <w:szCs w:val="18"/>
                <w:color w:val="auto"/>
              </w:rPr>
              <w:t>9,702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2,295,313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(15,696)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$ 2,279,617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56134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On March 15, 2006, the Company amended the agreement (the “Credit Agreement”) governing its $600 million Revolving Credit Facility and its $400 million Delay Draw Term Loan Facility (together, the “Wynn Las Vegas Credit Facilities” or the “Credit Facilities”) to (a) allow the Company to issue up to $100.0 million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additional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(the “First Mortgage Notes”); (b) simplify draw procedures under the agreement governing the disbursement of funds restricted under the Credit Agreement (the “Disbursement Agreement”); (c) consolidate certain accounts under the Disbursement Agreement; (d) amend and clarify certain of the conditions for the approval of the budget, plans and specifications of Encore;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June 30, 2006, in anticipation of a contemplated refinancing of the Credit Facilities, the Company further amended the Credit Agreement to: (i) clarify the Credit Agreement’s definition of “Consolidated Total Debt”; and (ii) change the Consolidated Interest Coverage Ratio (as defined in the Credit Agreement) applicable on Quarterly Dates (as defined in the Credit Agreement) on or prior to September 30, 2007 from 2.25:1 to 2.00:1.</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July 7, 2006, the Company engaged Deutsche Bank Trust Company Americas, Deutsche Bank Securities Inc., Bank of America, N.A. and Banc of America Securities LLC in connection with the proposed refinancing of the Wynn Las Vegas Credit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 other increases in Wynn Macau’s project budget entirely from its existing $764 million senior secured credit facilities. The additional costs are to be incurred in connection with preparatory work for additional gaming space located in the expansion of Phase II, a series of enhancements and upgrades to the overall project and an electronic marquee sign at the entrance to Wynn Macau.</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Wynn Macau will fund $60.5 million from its existing $72 million contingent debt facility and $7.9 million of costs from its existing $20 million credit facility with Banco Nacional Ultramarino, S.A.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2006, the Company was in compliance with all covenants governing the Company’s debt facilities.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entered into interest rate swap arrangements to effectively fix the interest on certain floating-rate debt borrowings. The following table presents the historical asset or (liability) fair values of the Company’s interest rate swap arrangements (reflected in deposits and other assets or in other long-term liabilities as appropriate) as of June 30, 2006 and December 31, 2005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74"/>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Asset / (Liability) Fair Value at:</w:t>
            </w: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1"/>
              </w:rPr>
              <w:t>Swaps</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Swaps</w:t>
            </w:r>
          </w:p>
        </w:tc>
        <w:tc>
          <w:tcPr>
            <w:tcW w:w="3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5480" w:type="dxa"/>
            <w:vAlign w:val="bottom"/>
            <w:gridSpan w:val="2"/>
            <w:shd w:val="clear" w:color="auto" w:fill="CCEEFF"/>
          </w:tcPr>
          <w:p>
            <w:pPr>
              <w:ind w:left="5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December 31, 2005</w:t>
            </w:r>
          </w:p>
        </w:tc>
        <w:tc>
          <w:tcPr>
            <w:tcW w:w="5480" w:type="dxa"/>
            <w:vAlign w:val="bottom"/>
            <w:gridSpan w:val="2"/>
          </w:tcPr>
          <w:p>
            <w:pPr>
              <w:ind w:left="53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10,523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(1,788)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approximates the amount the Company would receive or pay if these contracts were settled at the respective valuation dates. Fair value is estimated based upon current, and predictions of future, interest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levels along a yield curve, the remaining duration of the instruments and other market conditions, and therefore is subject to significant estimation and a high degree of variability of fluctuation between periods.</w:t>
      </w:r>
    </w:p>
    <w:p>
      <w:pPr>
        <w:spacing w:after="0" w:line="118"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 xml:space="preserve">The Company accounts for these interest rate swaps in accordance with Statement of Financial Accounting Standards No. 133, </w:t>
      </w:r>
      <w:r>
        <w:rPr>
          <w:rFonts w:ascii="Arial" w:cs="Arial" w:eastAsia="Arial" w:hAnsi="Arial"/>
          <w:sz w:val="15"/>
          <w:szCs w:val="15"/>
          <w:i w:val="1"/>
          <w:iCs w:val="1"/>
          <w:color w:val="auto"/>
        </w:rPr>
        <w:t>Accounting for Derivative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and Hedging Activities </w:t>
      </w:r>
      <w:r>
        <w:rPr>
          <w:rFonts w:ascii="Arial" w:cs="Arial" w:eastAsia="Arial" w:hAnsi="Arial"/>
          <w:sz w:val="15"/>
          <w:szCs w:val="15"/>
          <w:color w:val="auto"/>
        </w:rPr>
        <w:t>(“SFAS No. 133”), and its related interpretations. Accordingly, during the three and six months ended June 30, 2006 and</w:t>
      </w:r>
      <w:r>
        <w:rPr>
          <w:rFonts w:ascii="Arial" w:cs="Arial" w:eastAsia="Arial" w:hAnsi="Arial"/>
          <w:sz w:val="15"/>
          <w:szCs w:val="15"/>
          <w:i w:val="1"/>
          <w:iCs w:val="1"/>
          <w:color w:val="auto"/>
        </w:rPr>
        <w:t xml:space="preserve"> </w:t>
      </w:r>
      <w:r>
        <w:rPr>
          <w:rFonts w:ascii="Arial" w:cs="Arial" w:eastAsia="Arial" w:hAnsi="Arial"/>
          <w:sz w:val="15"/>
          <w:szCs w:val="15"/>
          <w:color w:val="auto"/>
        </w:rPr>
        <w:t>2005, the Company recorded the following amounts as increases or decreases to swap fair value, a component of other income (expense) (amounts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3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All Interest Rate</w:t>
            </w:r>
          </w:p>
        </w:tc>
        <w:tc>
          <w:tcPr>
            <w:tcW w:w="0" w:type="dxa"/>
            <w:vAlign w:val="bottom"/>
          </w:tcPr>
          <w:p>
            <w:pPr>
              <w:spacing w:after="0"/>
              <w:rPr>
                <w:sz w:val="1"/>
                <w:szCs w:val="1"/>
                <w:color w:val="auto"/>
              </w:rPr>
            </w:pPr>
          </w:p>
        </w:tc>
      </w:tr>
      <w:tr>
        <w:trPr>
          <w:trHeight w:val="17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Increase/(Decrease) in Swap Fair Value for the periods:</w:t>
            </w: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Swaps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Swaps</w:t>
            </w:r>
          </w:p>
        </w:tc>
        <w:tc>
          <w:tcPr>
            <w:tcW w:w="1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2820" w:type="dxa"/>
            <w:vAlign w:val="bottom"/>
            <w:gridSpan w:val="2"/>
            <w:shd w:val="clear" w:color="auto" w:fill="CCEEFF"/>
          </w:tcPr>
          <w:p>
            <w:pPr>
              <w:ind w:left="27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2,271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2820" w:type="dxa"/>
            <w:vAlign w:val="bottom"/>
            <w:gridSpan w:val="2"/>
          </w:tcPr>
          <w:p>
            <w:pPr>
              <w:ind w:left="274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5,330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5,261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2005</w:t>
            </w:r>
          </w:p>
        </w:tc>
        <w:tc>
          <w:tcPr>
            <w:tcW w:w="2820" w:type="dxa"/>
            <w:vAlign w:val="bottom"/>
            <w:gridSpan w:val="2"/>
            <w:shd w:val="clear" w:color="auto" w:fill="CCEEFF"/>
          </w:tcPr>
          <w:p>
            <w:pPr>
              <w:ind w:left="27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(5,814)</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2820" w:type="dxa"/>
            <w:vAlign w:val="bottom"/>
            <w:gridSpan w:val="2"/>
          </w:tcPr>
          <w:p>
            <w:pPr>
              <w:ind w:left="274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1,887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nonqualified) stock options (“NQSO”) and (iii) nonvested shares of the common stock of Wynn Resorts, Limited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0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June 30, 2006, 4,606,712 shares remain available for the grant of stock options or nonvested shares of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June 30, 2006, and the changes during the six months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Contractual Term</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3,484,800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$ 36.62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Granted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143,500</w:t>
            </w:r>
          </w:p>
        </w:tc>
        <w:tc>
          <w:tcPr>
            <w:tcW w:w="6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$ 68.24</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(224,750)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$ 21.30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3860" w:type="dxa"/>
            <w:vAlign w:val="bottom"/>
            <w:gridSpan w:val="3"/>
          </w:tcPr>
          <w:p>
            <w:pPr>
              <w:jc w:val="right"/>
              <w:ind w:right="560"/>
              <w:spacing w:after="0"/>
              <w:rPr>
                <w:sz w:val="20"/>
                <w:szCs w:val="20"/>
                <w:color w:val="auto"/>
              </w:rPr>
            </w:pPr>
            <w:r>
              <w:rPr>
                <w:rFonts w:ascii="Arial" w:cs="Arial" w:eastAsia="Arial" w:hAnsi="Arial"/>
                <w:sz w:val="18"/>
                <w:szCs w:val="18"/>
                <w:color w:val="auto"/>
              </w:rPr>
              <w:t>(73,800)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$ 39.45</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3,329,750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$ 38.92</w:t>
            </w:r>
          </w:p>
        </w:tc>
        <w:tc>
          <w:tcPr>
            <w:tcW w:w="2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114,536,038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2006</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1,117,500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$ 23.09</w:t>
            </w:r>
          </w:p>
        </w:tc>
        <w:tc>
          <w:tcPr>
            <w:tcW w:w="2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56,115,163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40" w:type="dxa"/>
            <w:vAlign w:val="bottom"/>
            <w:vMerge w:val="restart"/>
          </w:tcPr>
          <w:p>
            <w:pPr>
              <w:jc w:val="right"/>
              <w:ind w:right="572"/>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-626110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-626110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-325755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weighted average fair value of options granted during the six months ended June 30, 2006 and 2005 was $30.65 and $24.84, respectively. The total intrinsic value of the options exercised for the six months ended June 30, 2006 and 2005 was $11.0 million and $2.3 million, respectively. Net cash proceeds from the exercise of stock options were $4.8 million and $1.1 million for the six months ended June 30, 2006 and 2005, respectively. Since all deferred tax assets are fully reserved, these amounts did not create any tax benefit.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summary of the status of the Stock Plan’s nonvested shares as of June 30 2006 and changes during the six months ended June 30, 2006, is presented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789,169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(569,169)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270,000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three and six months ended June 30, 2006, the Company recognized compensation cost related to nonvested shares of Common Stock of approximately $1.5 million and $2.9 million, respectively. During the three and six months ended June 30, 2005, the Company recognized compensation cost related to the nonvested shares of Common Stock of approximately $1.8 million and $3.7 million. Of these amounts, approximately $418,000 and $539,000 was capitalized to construction in progress for the three months ended June 30, 2006 and 2005, respectively. Approximately $957,000 and $1.1 million was capitalized for the six months ended June 30, 2006 and 2005, respectively. Approximately $16.6 million of unamortized compensation cost relating to nonvested shares of Common Stock at June 30, 2006, will be recognized as compensation over the vesting period of the related grants through May 2011.</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After adoption of SFAS No. 123(R), the Company used the simplified method prescribed by SAB No. 107 for companies with a limited trading history, to estimate expected term. Prior to the adoption of SFAS No. 123(R), the Company used its best estimate and comparisons to industry peers. The risk free interest rate used for each period presented is based on the U.S. Treasury yield curve at the time of grant for the period equal to the expected term.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20" w:type="dxa"/>
            <w:vAlign w:val="bottom"/>
            <w:gridSpan w:val="4"/>
          </w:tcPr>
          <w:p>
            <w:pPr>
              <w:ind w:left="500"/>
              <w:spacing w:after="0"/>
              <w:rPr>
                <w:sz w:val="20"/>
                <w:szCs w:val="20"/>
                <w:color w:val="auto"/>
              </w:rPr>
            </w:pPr>
            <w:r>
              <w:rPr>
                <w:rFonts w:ascii="Arial" w:cs="Arial" w:eastAsia="Arial" w:hAnsi="Arial"/>
                <w:sz w:val="14"/>
                <w:szCs w:val="14"/>
                <w:b w:val="1"/>
                <w:bCs w:val="1"/>
                <w:color w:val="auto"/>
              </w:rPr>
              <w:t>June 30, 2006</w:t>
            </w:r>
          </w:p>
        </w:tc>
        <w:tc>
          <w:tcPr>
            <w:tcW w:w="300" w:type="dxa"/>
            <w:vAlign w:val="bottom"/>
          </w:tcPr>
          <w:p>
            <w:pPr>
              <w:spacing w:after="0"/>
              <w:rPr>
                <w:sz w:val="15"/>
                <w:szCs w:val="15"/>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2020" w:type="dxa"/>
            <w:vAlign w:val="bottom"/>
            <w:gridSpan w:val="2"/>
          </w:tcPr>
          <w:p>
            <w:pPr>
              <w:ind w:left="1480"/>
              <w:spacing w:after="0"/>
              <w:rPr>
                <w:sz w:val="20"/>
                <w:szCs w:val="20"/>
                <w:color w:val="auto"/>
              </w:rPr>
            </w:pPr>
            <w:r>
              <w:rPr>
                <w:rFonts w:ascii="Arial" w:cs="Arial" w:eastAsia="Arial" w:hAnsi="Arial"/>
                <w:sz w:val="14"/>
                <w:szCs w:val="14"/>
                <w:b w:val="1"/>
                <w:bCs w:val="1"/>
                <w:color w:val="auto"/>
                <w:w w:val="83"/>
              </w:rPr>
              <w:t>3 months</w:t>
            </w:r>
          </w:p>
        </w:tc>
        <w:tc>
          <w:tcPr>
            <w:tcW w:w="16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6 months</w:t>
            </w: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3 months</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32.5%</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35.33%</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4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adoption of SFAS No. 123(R) and the related interpretations on January 1, 2006 resulted in the Company’s elimination of approximately $15.8 million of deferred compensation against additional paid-in capital. For the three and six months ended June 30, 2006, adoption of SFAS No. 123(R) and the related interpretations resulted in the recognition of approximately $2.9 million ($0.03 per share) and $5.9 million ($0.06 per share) of compensation cost related to stock options. The compensation cost for the three and six months ended June 30, 2006 is allocated as follows (amounts in thousands):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 months</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Rooms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Preopening expenses</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 option costs expensed</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Total stock option costs capitalized</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stock option costs</w:t>
            </w:r>
          </w:p>
        </w:tc>
        <w:tc>
          <w:tcPr>
            <w:tcW w:w="300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2,949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$ 5,942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4734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three and six months ended June 30, 2005. Accordingly, compensation expense was recognized only to the extent that the market value at the date of grant exceeded the exercise price.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illustrates the effect on the net loss that would have resulted had the Company applied the fair value recognition provisions of SFAS No. 123, “Accounting for Stock-Based Compensation” to stock-based employee compensation during the three and six months ended June 30, 2005 (amounts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2005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3 months</w:t>
            </w:r>
          </w:p>
        </w:tc>
        <w:tc>
          <w:tcPr>
            <w:tcW w:w="280" w:type="dxa"/>
            <w:vAlign w:val="bottom"/>
          </w:tcPr>
          <w:p>
            <w:pPr>
              <w:spacing w:after="0"/>
              <w:rPr>
                <w:sz w:val="22"/>
                <w:szCs w:val="2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6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restated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(41,778)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(71,704)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w w:val="91"/>
              </w:rPr>
              <w:t>Less: total stock-based employee compensation expenses determined under the fair value method for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ind w:left="640"/>
              <w:spacing w:after="0"/>
              <w:rPr>
                <w:sz w:val="20"/>
                <w:szCs w:val="20"/>
                <w:color w:val="auto"/>
              </w:rPr>
            </w:pPr>
            <w:r>
              <w:rPr>
                <w:rFonts w:ascii="Arial" w:cs="Arial" w:eastAsia="Arial" w:hAnsi="Arial"/>
                <w:sz w:val="18"/>
                <w:szCs w:val="18"/>
                <w:color w:val="auto"/>
              </w:rPr>
              <w:t>all awards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(43,960)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(75,702)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-766445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-766445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-766445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-766445</wp:posOffset>
            </wp:positionV>
            <wp:extent cx="44132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-329565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-329565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Construction and Remodeling. </w:t>
      </w:r>
      <w:r>
        <w:rPr>
          <w:rFonts w:ascii="Arial" w:cs="Arial" w:eastAsia="Arial" w:hAnsi="Arial"/>
          <w:sz w:val="18"/>
          <w:szCs w:val="18"/>
          <w:color w:val="auto"/>
        </w:rPr>
        <w:t>As of June 30, 2006, approximately $4.5 million of budgeted project costs and retention amounts remained to be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close out the project. The Company expects these final costs to be paid in the third quarter of 2006.</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the third quarter of 2005, the Company began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$80.0 million of capital expenditures in 2006, of which approximately $46.4 million was spent during the six months ended June 30, 2006. These spending limits do not apply to any funds that may be contributed to Wynn Las Vegas, LLC by Wynn Resorts.</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Entertainment Productions</w:t>
      </w:r>
      <w:r>
        <w:rPr>
          <w:rFonts w:ascii="Arial" w:cs="Arial" w:eastAsia="Arial" w:hAnsi="Arial"/>
          <w:sz w:val="16"/>
          <w:szCs w:val="16"/>
          <w:color w:val="auto"/>
        </w:rPr>
        <w:t>. In 2002, the Company became a party to long-term agreements for the licensing, creation, development and production of “Le</w:t>
      </w:r>
      <w:r>
        <w:rPr>
          <w:rFonts w:ascii="Arial" w:cs="Arial" w:eastAsia="Arial" w:hAnsi="Arial"/>
          <w:sz w:val="16"/>
          <w:szCs w:val="16"/>
          <w:i w:val="1"/>
          <w:iCs w:val="1"/>
          <w:color w:val="auto"/>
        </w:rPr>
        <w:t xml:space="preserve"> </w:t>
      </w:r>
      <w:r>
        <w:rPr>
          <w:rFonts w:ascii="Arial" w:cs="Arial" w:eastAsia="Arial" w:hAnsi="Arial"/>
          <w:sz w:val="16"/>
          <w:szCs w:val="16"/>
          <w:color w:val="auto"/>
        </w:rPr>
        <w:t>Rêve,” the water-based production show which opened at Wynn Las Vegas on April 28, 2005. In 2004, the Company also purchased the rights to, and in August 2005 began to present, the Tony Award-winning musical production “Avenue Q,” in Wynn Las Vegas’ Broadway Theater.</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was required to make payments to the creators and producers of each show based upon certain criteria including net ticket sales or profits.</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On May 28, 2006, the Company ended Avenue Q’s production run at Wynn Las Vegas. To terminate the contract, the Company paid a contract termination fee of $5.0 million, which was recorded in the first quarter of 2006 in accordance with the liability recognition provisions of Statement of Financial Accounting Standards No. 146, </w:t>
      </w:r>
      <w:r>
        <w:rPr>
          <w:rFonts w:ascii="Arial" w:cs="Arial" w:eastAsia="Arial" w:hAnsi="Arial"/>
          <w:sz w:val="15"/>
          <w:szCs w:val="15"/>
          <w:i w:val="1"/>
          <w:iCs w:val="1"/>
          <w:color w:val="auto"/>
        </w:rPr>
        <w:t>Accounting for Costs Associated with Exit or Disposal Activities</w:t>
      </w:r>
      <w:r>
        <w:rPr>
          <w:rFonts w:ascii="Arial" w:cs="Arial" w:eastAsia="Arial" w:hAnsi="Arial"/>
          <w:sz w:val="15"/>
          <w:szCs w:val="15"/>
          <w:color w:val="auto"/>
        </w:rPr>
        <w:t xml:space="preserve"> (“SFAS 146”). The Company intends to present “Monty Python’s Spamalot” in the renovated Broadway Theater. The Company expects to commence public performances of “Monty Python’s Spamalot” in the first quarter of 2007.</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April 2006, the Company canceled the 189,723 nonvested shares of Wynn Resorts’ common stock granted, subject to certain performance criteria, to the executive producer of “Le Reve.”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May 31, 2006, Wynn Las Vegas entered into an agreement to acquire substantially all intellectual property rights related to “Le Reve” which were previously only licensed to Wynn Las Vegas. Wynn Las Vegas paid $15.9 million to acquire substantially all of the rights in and to “Le Reve,” and repaid approximately $1.4 million of production costs, which were reimbursable to the executive producer of “Le Reve”. The rights acquired enable Wynn Las Vegas to produce, present, enhance, or alter the performance of “Le Reve” after May 31, 2006.</w:t>
      </w:r>
    </w:p>
    <w:p>
      <w:pPr>
        <w:spacing w:after="0" w:line="13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Encore Construction and Development</w:t>
      </w:r>
      <w:r>
        <w:rPr>
          <w:rFonts w:ascii="Arial" w:cs="Arial" w:eastAsia="Arial" w:hAnsi="Arial"/>
          <w:sz w:val="16"/>
          <w:szCs w:val="16"/>
          <w:color w:val="auto"/>
        </w:rPr>
        <w:t>. On March 31, 2006, the Company’s lenders approved a $1.74 billion project budget and the related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for Encore (the “Encore Budget, Plans &amp; Specs”). Encore’s design features a 2,042-room hotel tower fully integrated with Wynn Las Vegas, consisting of approximately 132 suites and 1,910 guest rooms, an approximately 54,000 square foot casino, additional convention and meeting space, as well as restaurants, a nightclub, swimming pools, a spa and salon and retail outlets. The Encore Budget, Plans &amp; Specs includes approximately $70.0 million to be incurred for an additional employee parking garage located on our Koval property, a related pedestrian bridge, and costs to be incurred in connection with preparing the Broadway Theater to host “Monty Python’s Spamalot.” The Company commenced construction of Encore on April 28, 2006 and expects to open Encore to the public by the end of 2008.</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Through June 30, 2006, the Company has incurred approximately $120.4 million of the Encore budget. These costs have been funded from the Credit Facilities and the proceeds of the First Mortgage Notes. The Company expects that the available remaining proceeds from the First Mortgage Notes, together with availability under the Credit Facilities and cash flow from operations, will be sufficient to pay for expenditures of approximately $1.5 billion on the Encore project without incurring additional debt or receiving additional capital contributions from Wynn Resorts. Project costs exceeding approximately $1.5 billion are expected to be funded by an increase of up to $125.0 million of additional availability in the Credit Facilities and/or contributions from Wynn Resorts.</w:t>
      </w:r>
    </w:p>
    <w:p>
      <w:pPr>
        <w:spacing w:after="0" w:line="10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March 31, 2006, Wynn Resorts, Limited delivered an equity commitment agreement to the lenders under the Wynn Las Vegas Credit Facilities. Under this agreement, Wynn Resorts has committed to pay up to $215.3 million of Encore project costs if Wynn Las Vegas, LLC is unable to do so.</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Completion Guarantee and Liquidity Reserve</w:t>
      </w:r>
      <w:r>
        <w:rPr>
          <w:rFonts w:ascii="Arial" w:cs="Arial" w:eastAsia="Arial" w:hAnsi="Arial"/>
          <w:sz w:val="16"/>
          <w:szCs w:val="16"/>
          <w:color w:val="auto"/>
        </w:rPr>
        <w:t>. As part of the Wynn Las Vegas financing, the Company contributed $50.0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9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liquidity reserve account to secure the completion and opening of Wynn Las Vegas.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liquidity reserve is solely for use of the Wynn Las Vegas project, which is expected to be closed out in the third quarter of 2006. Upon final completion, the liquidity reserve will be released and is expected to be applied to construction costs incurred in connection with Encore. At the final completion of Wynn Las Vegas, $30.0 million of the $50.0 million completion guarantee will be retained in connection with the construction of Encore.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Construction and Development</w:t>
      </w:r>
      <w:r>
        <w:rPr>
          <w:rFonts w:ascii="Arial" w:cs="Arial" w:eastAsia="Arial" w:hAnsi="Arial"/>
          <w:sz w:val="18"/>
          <w:szCs w:val="18"/>
          <w:color w:val="auto"/>
        </w:rPr>
        <w:t>. Under its casino concession agreement with Macau SAR, Wynn Macau, S.A. is constructing and will own and 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Wynn Macau, a casino resort facility in Macau’s inner harbor area.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Wynn Macau is being constructed, and will open, in two phases. The first phase of Wynn Macau is expected to open in September of 2006. The second phase is expected to be open in stages and be fully completed by the fourth quarter of 2007.</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Construction of Wynn Macau’s first phase commenced in June 2004 under a guaranteed maximum price construction contract (“the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Under the amended and restated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for a guaranteed maximum price of approximately $483 million (including the contractors’ fee and contingencies). The performance of the contractors is backed by a full completion guarantee given jointly and severally by Leighton Holdings Limited and China Overseas Holdings Limited, the parent companies of the general contractor.</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 enhancements and upgrades to the overall project, and adding an electronic marquee sign at the entrance to Wynn Macau. The change orders increase the guaranteed maximum price under the Construction Contract from $457 million to approximately $483 million.</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June 30, 2006, the Company had incurred approximately $716 million of the approximate total $1.2 billion of budgeted project costs. Total budgeted project costs include construction and design costs (including construction contingencies) of approximately $685 million, land acquisition costs of approximately $49 million, the additional casino expansion and suite enhancements of approximately $68 million and capitalized interest, pre-opening expenses, financing fees and other costs totaling in the aggregate approximately $351 million. These costs have been, and will continue to be, paid from the previously funded $230 million base equity loans from Wynn Resorts, $80 million from Wynn Las Vegas, LLC and loaned through affiliates to Wynn Macau, S.A. as subordinated debt, Wynn Macau, S.A.’s $764 million senior secured credit facility and the balance from cash flows from operations.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Wynn Macau, S.A. has made four payments to the Macau government under the land concession contract and is required to make seven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Macau Subconcession Sale</w:t>
      </w:r>
      <w:r>
        <w:rPr>
          <w:rFonts w:ascii="Arial" w:cs="Arial" w:eastAsia="Arial" w:hAnsi="Arial"/>
          <w:sz w:val="18"/>
          <w:szCs w:val="18"/>
          <w:color w:val="auto"/>
        </w:rPr>
        <w:t>. On March 4, 2006, Wynn Macau, S.A. entered into an agreement with Publishing &amp; Broadcasting, Ltd. (“PBL”)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Wynn Macau, S.A. agreed to sell to PBL a subconcession to operate casino games in Macau for a purchase price of $900.0 million. The transaction is subject to the approval of the Macau government.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Strip Development</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land concession for an additional 54 acres of land on the Cotai Strip in Macau for future development.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License Agreements, and Joint Ventures</w:t>
      </w:r>
    </w:p>
    <w:p>
      <w:pPr>
        <w:spacing w:after="0" w:line="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i w:val="1"/>
          <w:iCs w:val="1"/>
          <w:color w:val="auto"/>
        </w:rPr>
        <w:t xml:space="preserve">Retail operations </w:t>
      </w:r>
      <w:r>
        <w:rPr>
          <w:rFonts w:ascii="Arial" w:cs="Arial" w:eastAsia="Arial" w:hAnsi="Arial"/>
          <w:sz w:val="16"/>
          <w:szCs w:val="16"/>
          <w:color w:val="auto"/>
        </w:rPr>
        <w:t>- The Company is the lessor under six leases for retail operations at Wynn Las Vegas and has entered into license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for five additional retail outlets in Wynn Las Vegas. The Company also is a party to joint venture agreements for the operation of one other retail outlet and the Ferrari and Maserati automobile dealership at Wynn Las Vegas. Each of these retail outlets opened concurrently with the opening of Wynn Las Vegas. Wynn Macau, S.A. has also entered agreements with fifteen entities for their future retail, food and beverage, and other operations.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Other commitments </w:t>
      </w:r>
      <w:r>
        <w:rPr>
          <w:rFonts w:ascii="Arial" w:cs="Arial" w:eastAsia="Arial" w:hAnsi="Arial"/>
          <w:sz w:val="18"/>
          <w:szCs w:val="18"/>
          <w:color w:val="auto"/>
        </w:rPr>
        <w:t>- In addition, the Company is the lessee under several leases for office space in Las Vegas, Macau and certain other 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 facilities, the land underlying the Company’s aircraft hangar and certain office equipment. The Company also leases land from the government of Macau for the site of Wynn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$200,000 per year for each insured person. Amounts in excess of this threshold are covered by the Company’s insurance programs, subject to customary policy limits. The Company’s foreign subsidiaries are fully-insured.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indicate a base salary. Certain agreements also contain provisions for guaranteed bonuses. Certain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Wynn Macau is currently in the development and construction phase and is expected to open in the third quarter of 2006. The Company’s total assets by segment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9"/>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5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3,068,404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3,115,814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360,474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5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4,101,465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3,945,283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940" w:type="dxa"/>
            <w:vAlign w:val="bottom"/>
            <w:vMerge w:val="restart"/>
          </w:tcPr>
          <w:p>
            <w:pPr>
              <w:jc w:val="right"/>
              <w:ind w:right="33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3849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Company’s segment information on its results of operations for the three and six months ended June 30, 2006 and 2005,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98,715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240,041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137,399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152,320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309,824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226,054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628,106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(36,454)</w:t>
            </w: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(24,934)</w:t>
            </w:r>
          </w:p>
        </w:tc>
        <w:tc>
          <w:tcPr>
            <w:tcW w:w="80" w:type="dxa"/>
            <w:vAlign w:val="bottom"/>
          </w:tcPr>
          <w:p>
            <w:pPr>
              <w:spacing w:after="0"/>
              <w:rPr>
                <w:sz w:val="19"/>
                <w:szCs w:val="19"/>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(77,511)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273,370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201,120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550,595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(1,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154,285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(36,795)</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(16,852)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(25,780)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(2,446)</w:t>
            </w:r>
          </w:p>
        </w:tc>
        <w:tc>
          <w:tcPr>
            <w:tcW w:w="8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(37,618)</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(24,057)</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(76,568)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 Q contract termination fee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Corporate expenses and other</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(11,533)</w:t>
            </w: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9"/>
                <w:szCs w:val="19"/>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(22,244)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(71,479)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(74,539)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8"/>
              </w:rPr>
              <w:t>(142,870)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(15,804)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(35,307)</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(27,143)</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(71,250)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Increase/(Decrease) in swap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(21,444)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(25,974)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(42,610)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(20,070)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(41,778)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(31,504)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-4563745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-4563745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-4563745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-4563745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-4563745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-4563745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-4563745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-4563745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-4563745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-4563745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-4563745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-4563745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-172720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48450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w:t>
      </w:r>
    </w:p>
    <w:p>
      <w:pPr>
        <w:spacing w:after="0" w:line="15"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is earnings before interest, taxes, depreciation, amortization, pre-opening expenses, property charges, corporate expenses, stock-based compensation, Avenue Q contract termination fee and other non-operating income and expenses. Adjusted EBITDA is presented exclusively as a supplemental</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color w:val="auto"/>
        </w:rPr>
        <w:t>disclosure because management believes that it is widely used to measure the performance, and as a principal basis for valuation, of gaming companies. Management uses Adjusted EBITDA as the primary measure of the operating performance of its segments and to compare the operating performance of its property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Restatement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and six months ended June 30, 2005, the Company determined that its interest rate swap arrangements relating to certain of its floating-rate debt facilities did not qualify for hedge accounting under Statement of Financial Accounting Standards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and six months ended June 30, 2005 to eliminate the application of hedge accounting. Eliminating the application of hedge accounting resulted in recording the mark to market adjustments for the interest rate swaps as increase/(decrease) in swap fair value, a component of other income (expense), net and not in comprehensive income, as was previously reported.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June 30, 2005 condensed consolidated financial statements is as follows (amounts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June 30, 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20"/>
                <w:szCs w:val="20"/>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Restated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Increase/(Decrease) in swap fair value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(5,814)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(27,143)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(19,358)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(25,974)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(15,325)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(41,778)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(72,789)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in swap fair value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(560,195)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(559,393)</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Consolidating Financial Information of Guarantors and Issuers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condensed consolidating financial statement information is related to Wynn Resorts (the “Parent”), which is the issuer of the Debentures, Wynn Resorts Funding, LLC, a subsidiary of the Parent that guarantees the Debentures (the “Convertible Debentures Guarantor”), and non-guarantor subsidiaries as of June 30, 2006 and December 31, 2005, and for the three and six months ended June 30, 2006 and 2005.</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condensed consolidating financial statement information is presented in the form provided because: (i) the Convertible Debentures Guarantor is a wholly-owned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2006</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312,098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74,681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49,951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371,019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372,324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2,813,417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2,814,005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69,862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82,243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142,952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1,262,084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(1,262,084)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218,825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37,496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(256,321)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1,807,870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45,087</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3,510,592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(1,262,084)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4,101,465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9,211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8,375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24,135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36,973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15,806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217,265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224,686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2,054,931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2,279,617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2,293,595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1,995,654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1,627,181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(1,671,209)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1,995,654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(426,665)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(409,955)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(426,665)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1,569,767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1,216,997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(1,262,084)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1,569,767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1,807,870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45,087</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3,510,592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(1,262,084)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4,101,465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-4462780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-4462780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-4462780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-4462780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-4462780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-4462780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-4462780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-4462780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-4462780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-4462780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-4462780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-4462780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-4462780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-4462780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-4462780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82,206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39,884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344,308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2,663,340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60,480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87,917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1,295,256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216,454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(246,454)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6,591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27,419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18,539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0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1,840,846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2,113,200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1,972,847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44,028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1,623,218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(1,667,246)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1,972,847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(15,784)</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957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(395,161)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973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(395,161)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1,562,895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1,250,255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-4437380</wp:posOffset>
            </wp:positionV>
            <wp:extent cx="53594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-4437380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-4437380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-4437380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-4437380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-4437380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-4437380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-4437380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-4437380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-4437380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-4437380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-4437380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-4437380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113,527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$ 113,527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(36,454)</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(36,454)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49,423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5,557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49,076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tcPr>
          <w:p>
            <w:pPr>
              <w:jc w:val="right"/>
              <w:spacing w:after="0"/>
              <w:rPr>
                <w:sz w:val="20"/>
                <w:szCs w:val="20"/>
                <w:color w:val="auto"/>
              </w:rPr>
            </w:pPr>
            <w:r>
              <w:rPr>
                <w:rFonts w:ascii="Arial" w:cs="Arial" w:eastAsia="Arial" w:hAnsi="Arial"/>
                <w:sz w:val="18"/>
                <w:szCs w:val="18"/>
                <w:color w:val="auto"/>
              </w:rPr>
              <w:t>49,011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(24,274)</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24,274</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(24,218)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(7,080)</w:t>
            </w:r>
          </w:p>
        </w:tc>
        <w:tc>
          <w:tcPr>
            <w:tcW w:w="680" w:type="dxa"/>
            <w:vAlign w:val="bottom"/>
          </w:tcPr>
          <w:p>
            <w:pPr>
              <w:jc w:val="right"/>
              <w:spacing w:after="0"/>
              <w:rPr>
                <w:sz w:val="20"/>
                <w:szCs w:val="20"/>
                <w:color w:val="auto"/>
              </w:rPr>
            </w:pPr>
            <w:r>
              <w:rPr>
                <w:rFonts w:ascii="Arial" w:cs="Arial" w:eastAsia="Arial" w:hAnsi="Arial"/>
                <w:sz w:val="18"/>
                <w:szCs w:val="18"/>
                <w:color w:val="auto"/>
              </w:rPr>
              <w:t>9,617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(5,206)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(37,181)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(25,608)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(20,070)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(23,977)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(20,070)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(24,286)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(20,070)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THREE MONTHS ENDED JUNE 30, 2005 (As Restated - 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98,715</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(24,934)</w:t>
            </w: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3,070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2,502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(43,064)</w:t>
            </w:r>
          </w:p>
        </w:tc>
        <w:tc>
          <w:tcPr>
            <w:tcW w:w="260" w:type="dxa"/>
            <w:vAlign w:val="bottom"/>
          </w:tcPr>
          <w:p>
            <w:pPr>
              <w:spacing w:after="0"/>
              <w:rPr>
                <w:sz w:val="19"/>
                <w:szCs w:val="19"/>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43,064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(44,142)</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(15,804)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5,083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(25,974)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(41,778)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(43,131)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(41,778)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40" w:type="dxa"/>
            <w:vAlign w:val="bottom"/>
            <w:gridSpan w:val="2"/>
          </w:tcPr>
          <w:p>
            <w:pPr>
              <w:jc w:val="right"/>
              <w:ind w:right="313"/>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240,041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152,320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628,106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(77,511)</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(77,511)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11,035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96,223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tcPr>
          <w:p>
            <w:pPr>
              <w:jc w:val="right"/>
              <w:spacing w:after="0"/>
              <w:rPr>
                <w:sz w:val="20"/>
                <w:szCs w:val="20"/>
                <w:color w:val="auto"/>
              </w:rPr>
            </w:pPr>
            <w:r>
              <w:rPr>
                <w:rFonts w:ascii="Arial" w:cs="Arial" w:eastAsia="Arial" w:hAnsi="Arial"/>
                <w:sz w:val="18"/>
                <w:szCs w:val="18"/>
                <w:color w:val="auto"/>
              </w:rPr>
              <w:t>95,976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11,051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(38,591)</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38,591</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(38,356)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17,308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w w:val="89"/>
              </w:rPr>
              <w:t>(13,223)</w:t>
            </w:r>
          </w:p>
        </w:tc>
        <w:tc>
          <w:tcPr>
            <w:tcW w:w="680" w:type="dxa"/>
            <w:vAlign w:val="bottom"/>
          </w:tcPr>
          <w:p>
            <w:pPr>
              <w:jc w:val="right"/>
              <w:spacing w:after="0"/>
              <w:rPr>
                <w:sz w:val="20"/>
                <w:szCs w:val="20"/>
                <w:color w:val="auto"/>
              </w:rPr>
            </w:pPr>
            <w:r>
              <w:rPr>
                <w:rFonts w:ascii="Arial" w:cs="Arial" w:eastAsia="Arial" w:hAnsi="Arial"/>
                <w:sz w:val="18"/>
                <w:szCs w:val="18"/>
                <w:color w:val="auto"/>
              </w:rPr>
              <w:t>18,049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(10,456)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(74,017)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(49,552)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(31,504)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(38,368)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38,591</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(31,504)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38,591</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(31,504)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 (As Restated - 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98,715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48,056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(24,934)</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42,280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33,706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33,936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9,388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72,081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12,489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(71,755)</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71,755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(78,243)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(50,972)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(57,464)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9,258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(31,938)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(29,292)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(20,932)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(71,704)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(71,904)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(71,704)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4584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income/(loss)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 (31,504)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(38,677)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38,591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income/(loss) to net cash provided by/(used in)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Equity in (income) loss from unconsolidated affiliates, net of distributions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(38,591)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(5,771)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(26,622)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affiliates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(225,487)</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(19,186)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(69,867)</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(312,959)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(311,105)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(59,422)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$312,098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46736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 (As Restated—See Note 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5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(71,704)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(71,904)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w w:val="90"/>
              </w:rPr>
              <w:t>Adjustments to reconcile net income/(loss) to net cash provided by/(used in)</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charges and other</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Equity in (income)/loss from unconsolidated affiliates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71,755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(71,755)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(63,901)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(63,916)</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Inventories and prepaid expenses</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(31,310)</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106,307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149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0" w:type="dxa"/>
            <w:vAlign w:val="bottom"/>
          </w:tcPr>
          <w:p>
            <w:pPr>
              <w:spacing w:after="0"/>
              <w:rPr>
                <w:sz w:val="1"/>
                <w:szCs w:val="1"/>
                <w:color w:val="auto"/>
              </w:rPr>
            </w:pPr>
          </w:p>
        </w:tc>
      </w:tr>
      <w:tr>
        <w:trPr>
          <w:trHeight w:val="108"/>
        </w:trPr>
        <w:tc>
          <w:tcPr>
            <w:tcW w:w="550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(559,393)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(559,393)</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343,010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unconsolidated affiliates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(20,542)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balances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(7,496)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rPr>
              <w:t>Proceeds from sale of equipment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(239,592)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(233,049)</w:t>
            </w:r>
          </w:p>
        </w:tc>
        <w:tc>
          <w:tcPr>
            <w:tcW w:w="0" w:type="dxa"/>
            <w:vAlign w:val="bottom"/>
          </w:tcPr>
          <w:p>
            <w:pPr>
              <w:spacing w:after="0"/>
              <w:rPr>
                <w:sz w:val="1"/>
                <w:szCs w:val="1"/>
                <w:color w:val="auto"/>
              </w:rPr>
            </w:pPr>
          </w:p>
        </w:tc>
      </w:tr>
      <w:tr>
        <w:trPr>
          <w:trHeight w:val="108"/>
        </w:trPr>
        <w:tc>
          <w:tcPr>
            <w:tcW w:w="55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437,186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437,186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Payments on long-term land concession obligation</w:t>
            </w:r>
          </w:p>
        </w:tc>
        <w:tc>
          <w:tcPr>
            <w:tcW w:w="5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deferred financing costs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405,842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406,907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147,741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302,262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175,740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8"/>
                <w:szCs w:val="18"/>
                <w:color w:val="auto"/>
              </w:rPr>
              <w:t>30</w:t>
            </w: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5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-325755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14 to these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and equity offerings and borrowings under our credit facilities; competition in the casino/hotel and resort industries; completion of our Wynn Macau casino resort on time and within budget; our intention to fund a substantial portion of the development and construction costs of Encore with anticipated cash flows generated at Wynn Las Vegas; doing business in foreign locations such as Macau (including the risks associated with Macau’s developing gaming regulatory framework); new development and construction activities of competitors; our limited operating history; our dependence on Stephen A. Wynn and existing management; our dependence on one property and, later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own and operate Wynn Las Vegas, a destination casino resort in Las Vegas, Nevada, which opened on April 28, 2005. We are also constructing Wynn Macau, a destination casino resort in the Macau Special Administrative Region of the People’s Republic of China (“Macau”), which will open in September 2006. In addition, on April 28, 2006, we commenced construction of Encore at Wynn Las Vegas (“Encore”), a hotel and casino resort fully integrated with Wynn Las Vegas. Until the opening of Wynn Las Vegas, we were solely a development stage company.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its opening, we have enhanced and refined Wynn Las Vegas in response to market demands and customer preferences. In the second quarter of 2006, we completed the remodeling of the North Fairway Villas, remodeled a portion of the former baccarat area to feature a casino bar, improved public baccarat space and private baccarat salons and opened both a watch store that exclusively offers Rolex products and a mens’ accessories store in the retail esplanade. The Keno lounge is currently being converted into a retail outlet for womens’ accessories and the Broadway Theater, which formerly presented Avenue Q through its last performance on May 28, 2006, is being modified to accommodate “Monty Python’s Spamalot,” winner of the 2005 Tony Award for best musical. We expect to commence performances of “Monty Python’s Spamalot” in the first quarter of 2007. We also expect to continue our remodel efforts, in each case investing in projects designed to maximize the performance of Wynn Las Vegas.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28, 2006, we began construction of Encore on approximately 20 acres on the Las Vegas Strip, immediately adjacent to Wynn Las Vegas. Encore plans currently include a 2,042-room hotel tower fully integrated with Wynn Las Vegas, consisting of 132 suites and 1,910 guest rooms, an approximately 54,000 square foot casino, additional convention and meeting space, as well as restaurants, a nightclub, swimming pools, a spa and salon and retail outlets. Encore is expected to open by the end of 2008.</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March 31, 2006, our lenders approved the $1.74 billion project budget and the related plans and specifications for Encore (the “Encore Budget, Plans and Specs”).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constructing and will own and operate Wynn Macau, our first destination casino resort in Macau, under a 20-year casino concession agreement granted by the Macau government in June 2002. We are one of only three concessionaires and two sub-concessionaires currently permitted by the government to operate a casino gaming business in Macau. The government of Macau has expressed its desire to transform Macau into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tourist destination of choice in Asia. The Chinese government has also gradually relaxed its travel and currency restrictions, allowing mainland Chinese from certain urban centers and economically developed areas to visit Macau without joining a tour group, and has increased the amount of currency that Chinese citizens are permitted to bring into Macau. With approximately 100 million people within a three-hour drive and nearly 1 billion people within a three-hour flight from Macau, Wynn Macau is located in what we believe will be one of the largest and fastest-growing gaming markets in the world.</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Macau is being constructed, and will open, in phases. The total budget of Wynn Macau’s two phases is approximately $1.2 billion. The first phase of the project will utilize approximately 11 acres of a total site area of 16 acres of land and includes 600 hotel rooms and suites, approximately 210 table games and 380 slot machines in approximately 100,000 square feet of casino gaming space, and also includes seven restaurants, approximately 26,000 square feet of retail space, a spa, a salon, entertainment lounges and meeting facilities. Entities including Chanel, Louis Vuitton, Prada, Dior, Fendi, Giorgio Armani, Tiffany, Bulgari, and Piaget have entered into agreements with Wynn Macau S.A. to operate retail outlets. Additionally, three food and beverage outlets, two cigar outlets and a beauty salon have also entered into agreements with Wynn Macau S.A.</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first phase will open in September 2006. The second phase will include an additional approximately 135,000 square feet of casino space, one restaurant, retail space, a theater, and a dramatic front feature attraction. The second phase will be built on the remaining five acres of the Wynn Macau site and will be integrated into the first phase of Wynn Macau. The second phase is expected to be completed and opened in stages and to be fully open to the public in the fourth quarter of 2007.</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Subconcession Sale</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4, 2006, Wynn Macau, S.A. entered into an agreement with Publishing &amp; Broadcasting, Ltd. (“PBL”) pursuant to which Wynn Macau, S.A. agreed to sell to PBL a subconcession to operate casino games in Macau for a purchase price of $900.0 million. The transaction is subject to the approval of the Macau government.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Strip Development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land concession for an additional 54 acres of land on the Cotai Strip in Macau for future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In the second quarter of 2006, Wynn Las Vegas generated net revenues and Adjusted EBITDA (as defined below) of $273.4 million and $73.2 million, respectively, compared to net revenues of $201.1 million and Adjusted EBITDA of $58.7 million for the 64 days of operation in the second quarter of 2005. Net revenues and Adjusted EBITDA for the six months ended June 30, 2006 were $550.6 million and $154.3 million, respectively. We opened Wynn Las Vegas on April 28, 2005, consequently, the six months ended June 30, 2005 contained the same 64 days of operations and therefore the same $201.1 million and $58.7 million of net revenues and Adjusted EBITDA as in the second quarter of 2005 discussed above.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incurred a net loss for the three and six months ended June 30, 2006 of $20.1 million and $31.5, respectively, which represents a $21.7 million (or 52.0%) decrease and $40.2 million (or 56.1%) decrease from the three and six months ended June 30, 2005. During the first quarter of 2005, we were solely a development stage enterprise and pre-opening expenses increased significantly as Wynn Las Vegas approached opening. The second quarter 2005 results reflect 64 days of Wynn Las Vegas operations. In contrast, the three and six month periods ended June 30, 2006 reflect full quarters of Wynn Las Vegas operations. As Wynn Macau nears its scheduled opening in September of 2006 and since construction of Encore has commenced, we expect that our pre-opening expenses in future periods will exceed those incurred in the three and six months ended June 30, 2006. However, we no longer incur pre-opening expenses related to Wynn Las Vegas, which were a significant contributor to the net loss incurred for the three and six months ended June 30,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monitor our operations and evaluate our earnings by reviewing the assets and operations of Wynn Las Vegas (including Encore) and Wynn Macau. The following table sets forth our financial results for the three and six months ended June 30, 2006 and 2005 by segment and reconciles Adjusted EBITDA to net loss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98,715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240,041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137,399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152,320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309,824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226,054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628,106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(36,454)</w:t>
            </w: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(24,934)</w:t>
            </w:r>
          </w:p>
        </w:tc>
        <w:tc>
          <w:tcPr>
            <w:tcW w:w="80" w:type="dxa"/>
            <w:vAlign w:val="bottom"/>
          </w:tcPr>
          <w:p>
            <w:pPr>
              <w:spacing w:after="0"/>
              <w:rPr>
                <w:sz w:val="19"/>
                <w:szCs w:val="19"/>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(77,511)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273,370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201,120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550,595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(1,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154,285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(36,795)</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(16,852)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(25,780)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(2,446)</w:t>
            </w:r>
          </w:p>
        </w:tc>
        <w:tc>
          <w:tcPr>
            <w:tcW w:w="8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(37,618)</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(24,057)</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(76,568)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Avenue Q contract termination fee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10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(11,533)</w:t>
            </w: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9"/>
                <w:szCs w:val="19"/>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(22,244)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(71,479)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(74,539)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8"/>
              </w:rPr>
              <w:t>(142,870)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(15,804)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(35,307)</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(27,143)</w:t>
            </w:r>
          </w:p>
        </w:tc>
        <w:tc>
          <w:tcPr>
            <w:tcW w:w="80" w:type="dxa"/>
            <w:vAlign w:val="bottom"/>
          </w:tcPr>
          <w:p>
            <w:pPr>
              <w:spacing w:after="0"/>
              <w:rPr>
                <w:sz w:val="18"/>
                <w:szCs w:val="18"/>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(71,250)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Increase/(Decrease) in swap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(21,444)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(25,974)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(42,610)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(20,070)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(41,778)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(31,504)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-4420235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-4420235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-4420235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-4420235</wp:posOffset>
            </wp:positionV>
            <wp:extent cx="48450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-4420235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-4420235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-4420235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-4420235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-4420235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-4420235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49276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w:t>
      </w:r>
    </w:p>
    <w:p>
      <w:pPr>
        <w:spacing w:after="0" w:line="15" w:lineRule="exact"/>
        <w:rPr>
          <w:rFonts w:ascii="Arial" w:cs="Arial" w:eastAsia="Arial" w:hAnsi="Arial"/>
          <w:sz w:val="18"/>
          <w:szCs w:val="18"/>
          <w:color w:val="auto"/>
        </w:rPr>
      </w:pPr>
    </w:p>
    <w:p>
      <w:pPr>
        <w:ind w:left="460" w:hanging="452"/>
        <w:spacing w:after="0" w:line="28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expenses, property charges, corporate expenses, stock-based compensation, Avenue Q contract termination fee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its segments and to compare the operating performance of its property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three months ended June 30, 2006 compared to the three months ended June 30, 2005.</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opened Wynn Las Vegas on April 28, 2005. Prior to opening Wynn Las Vegas, we had not commenced operations, nor generated any significant revenues. The results for the three months ended June 30, 2005 reflect 64 days of Wynn Las Vegas operations. The results for the three months ended June 30, 2006 reflect a full quarter of operations of Wynn Las Vegas.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statistics specific to the gaming industry are disclosed in the following discussion related to the Company’s operational performance for the periods in which a Statement of Operations is presented. Below are definitions of the gaming statistics discussed:</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percentage is calculated by dividing the table games win by the total table games drop.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percentage is calculated by dividing the total gross cash win by the total handle.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revenues for the three months ended June 30, 2006 are comprised of $113.5 million in net gaming revenues (41.5% of total net revenues) and $159.9 million of net non-gaming revenues (58.5% of total net revenues). Net revenues for the 64 days of operation in the second quarter of 2005 were comprised of $98.7 million in net gaming revenues (49.1% of total net revenues) and $102.4 million of net non-gaming revenues (50.9%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total net revenues). The quality of the resort’s non-gaming amenities, combined with providing guests an unparalleled total resort experience, has driven a premium in Wynn Las Vegas’ ADR and other non-gaming revenues.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net gaming revenues for the three months ended June 30, 2006 of approximately $113.5 million represents approximately a $14.8 million or (15.0%) increase from the net gaming revenues of $98.7 million for the three months ended June 30, 2005, which included 64 days of operations. During the three months ended June 30, 2006 and 2005, the average table games win percentage (before discounts) was within the expected range of 19% to 22%, and the slot win percentage was within the expected range of 5% to 6% of handle, but with respect to 2006, was at the lower end of each range.</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June 30, 2006, Wynn Las Vegas’ gross room revenues were approximately $69.2 million, which represents a $24.6 million (or 55.1%) increase over the $44.6 million generated in the 64 days of operations in the three months ended June 30, 2005. ADR and occupancy for the three months ended June 30, 2006 were $293 and 95.7%, respectively, generating REVPAR of $280. ADR and occupancy for the 64 days of operation in the second quarter of 2005 was $284 and 90.1%. Other non-gaming revenues for the three months ended June 30, 2006 included food and beverage revenues of approximately $77.7 million, retail revenues of approximately $19.3 million, entertainment revenues of approximately $17.1 million, and other revenues from outlets, including the spa and salon, of approximately $13.0 million. Other non-gaming revenues for the 64 days of operation in the three months ended June 30, 2005 included food and beverage revenues of approximately $48.1 million, retail revenues of approximately $16.9 million, entertainment revenues of approximately $8.3 million, and other revenues from outlets, including the spa and salon, of approximately $9.5 million.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EBITDA</w:t>
      </w:r>
    </w:p>
    <w:p>
      <w:pPr>
        <w:spacing w:after="0" w:line="7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Wynn Las Vegas’ Adjusted EBITDA was approximately $73.2 million for the three months ended June 30, 2006 compared to Adjusted EBITDA of $58.7 for the 64 days of operation in the period ended June 30, 2005. During the three months ended June 30, 2006, departmental expenses included casino expenses of $57.9 million, rooms expenses of $18.1 million, food and beverage expenses of $49.4 million, and entertainment, retail and other expenses of $34.1 million. Also included are general and administrative expenses of approximately $49.0 million and approximately $3.6 million charged as a provision for doubtful accounts receivable. During the 64 days of operations in the three months ended June 30, 2005, departmental expenses included casino expenses of $42.3 million, rooms expenses of $11.8 million, food and beverage expenses of $33.7 million, and entertainment, retail and other expenses of $20.3 million. Also included are general and administrative expenses of approximately $31.0 million and approximately $8.6 million charged as a provision for doubtful accounts receivable.</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Wynn Las Vegas’ pre-opening costs for the three months ended June 30, 2006 of $176,000 decreased by $36.6 million when compared to the three months ended June 30, 2005. Once it opened for business in April 2005, Wynn Las Vegas no longer incurred pre-opening costs; consequently, only the relatively small amount of pre-opening costs relating to Encore incurred through June 30, 2006 are included for the 2006 period. There was also a substantial increase in staffing immediately preceding the opening of Wynn Las Vegas, which is reflected in the pre-opening costs in the second quarter of 2005. As the Encore development progresses in 2006, we expect associated pre-opening expenses to increase, but not to the same level as we experienced with Wynn Las Vegas.</w:t>
      </w:r>
    </w:p>
    <w:p>
      <w:pPr>
        <w:spacing w:after="0" w:line="8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Macau’s pre-opening and other start up costs increased by $12.7 million in the three months ended June 30, 2006 to $16.9 million due primarily to the increased pre-opening activity commensurate with the progress of the resort’s construction. We expect that Wynn Macau’s pre-opening costs will continue to increase in the third quarter of 2006 as construction and development continue toward opening, similar to the trend experienced with Wynn Las Vegas in 2005, prior to its opening.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firstLine="228"/>
        <w:spacing w:after="0" w:line="375" w:lineRule="auto"/>
        <w:rPr>
          <w:sz w:val="20"/>
          <w:szCs w:val="20"/>
          <w:color w:val="auto"/>
        </w:rPr>
      </w:pPr>
      <w:r>
        <w:rPr>
          <w:rFonts w:ascii="Arial" w:cs="Arial" w:eastAsia="Arial" w:hAnsi="Arial"/>
          <w:sz w:val="18"/>
          <w:szCs w:val="18"/>
          <w:color w:val="auto"/>
        </w:rPr>
        <w:t xml:space="preserve">After Wynn Las Vegas opened on April 28, 2005, corporate expenses were charged to general and administrative expense instead of pre-opening expenses. </w:t>
      </w:r>
      <w:r>
        <w:rPr>
          <w:rFonts w:ascii="Arial" w:cs="Arial" w:eastAsia="Arial" w:hAnsi="Arial"/>
          <w:sz w:val="18"/>
          <w:szCs w:val="18"/>
          <w:i w:val="1"/>
          <w:iCs w:val="1"/>
          <w:color w:val="auto"/>
        </w:rPr>
        <w:t>Depreciation and amortization</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Las Vegas’ depreciation and amortization expense for the three months ended June 30, 2006 of $37.6 million increased by $13.6 million when compared to the three months ended June 30, 2005, primarily as a result of the longer operating period for the three months ended June 30, 2006 compared to the 2005 period. 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3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Wynn Macau’s depreciation and amortization expenses remained relatively consistent in the second quarter of 2006 compared to the second quarter of 2005. Other than charges to depreciation for certain office equipment and amortization for the Macau gaming and land concessions, Wynn Macau’s depreciation expenses will remain relatively insignificant until the resort opens and its assets are placed into service. Depreciation on the majority of the assets comprising Wynn Macau will commence in September 2006 when Wynn Macau opens. The maximum useful life of assets at Wynn Macau will be the remaining life of the gaming concession or land concession, which currently expires in June 2022 and 2029, respectively. Consequently, depreciation related to Wynn Macau will generally be charged on an accelerated basis when compared to Wynn Las Vegas.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assets, primarily a corporate aircraft and certain furniture, fixtures and equipment of Wynn Resorts and its subsidiaries included in corporate and other, are also depreciated. In addition, when we opened Wynn Las Vegas, we began recognizing the depreciation of the furniture, fixtures and equipment in our corporate offices, which are located at Wynn Las Vegas.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and continued enhancing Wynn Las Vegas in the first and second quarters of 2006. The $2.4 million of costs relating to assets retired as a result of these enhancement and remodel efforts for the three months ended June 30, 2006 have been expensed as property charges. In the second quarter of 2006, we completed the remodeling of the North Fairway Villas and remodeled a portion of the former baccarat area to feature a casino bar, improved public baccarat space and private baccarat salons. Additionally, we remodeled the area of the Wynn retail esplanade formerly occupied by the art gallery at Wynn Las Vegas and opened a store dedicated exclusively to selling Rolex watches and a mens’ accessories store.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expenses and other</w:t>
      </w:r>
    </w:p>
    <w:p>
      <w:pPr>
        <w:spacing w:after="0" w:line="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Corporate expenses reflect costs such as salaries and other general and administrative expenses that are not allocated to Wynn Las Vegas or Wynn Macau. Prior to opening Wynn Las Vegas, corporate expenses were reported as pre-opening expenses. Corporate expenses were recorded for the three months ended June 30, 2006 of $11.5 million compared to $5.0 million for the second quarter of 2005 which included 64 days of operations. Total stock option expense of $2.9 million for the three months ended June 30, 2006 resulting from the adoption of SFAS No. 123R is also included in corporate expenses and other.</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and other income increased by $2.6 million for the three months ended June 30, 2006 compared to the three months ended June 30, 2005. This increase is due primarily to higher interest rates earned on cash balances.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net of capitalized interest increased by $8.2 million for the three months ended June 30, 2006 compared to the same period in 2005, primarily due to higher interest rates during the period and the significant decrease in the amount of interest capitalized once Wynn Las Vegas opened on April 28,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(Decrease) in swap fair value</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interest rate swaps are accounted for in accordance with Statement of Financial Accounting Standards No. 133, Accounting for Derivative Instruments and Hedging Activities, as amended (“SFAS 133”). The fair value of the interest rate swaps are recorded as either assets or liabilities. Changes in the fair value of these interest rate swaps are recorded as non-operating income or expense in each period. We recorded approximately $4.2 million of interest rate swap income for the three months ended June 30, 2006 resulting from the increase in the fair value of our interest rate swaps from March 31, 2006 to June 30, 2006. During the three months ended June 30, 2005 we recorded a loss of $5.8 million resulting from the decrease in the fair value of interest rate swaps between March 31, 2005 and June 30,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are subject to income taxes in the United States, Macau and other foreign jurisdictions where we conduct business. We account for income taxes according to Statement of Financial Accounting Standards No. 109, “Accounting for Income Taxes” (“SFAS 109”). SFAS 109 requires the recognition of deferred tax assets, net of applicable reserves, related to net operating loss carry-forwards and certain temporary differences. The standard requires recognition of a future tax benefit to the extent that realization of such benefit is more likely than not. Otherwise, a valuation allowance is applied.</w:t>
      </w:r>
    </w:p>
    <w:p>
      <w:pPr>
        <w:spacing w:after="0" w:line="3"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During our development stage, we accumulated significant net operating losses which, among other things, generated significant deferred tax assets. At this time, because of our limited operating history, we have fully reserved these net deferred tax assets. If these net deferred tax assets become more likely than not realizable as defined by SFAS No. 109, we intend to appropriately reduce the deferred tax asset reserves.</w:t>
      </w:r>
    </w:p>
    <w:p>
      <w:pPr>
        <w:spacing w:after="0" w:line="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three months ended June 30, 2006, we recorded approximately $309,000 of foreign income tax expense relating to income taxes assessed on the Company’s international marketing subsidiary where the Company has no tax loss carryforwards. There were no comparable charges for the three months ended June 30, 2005.</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six months ended June 30, 2006 compared to the six months ended June 30, 2005.</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Las Vegas’ net gaming revenues for the six months ended June 30, 2006 of approximately $240.0 million represented an approximately $141.3 million (or 143.2%) increase from the net gaming revenues of $98.7 million for the 64 days of operations included in the six months ended June 30, 2005. During the six months ended June 30, 2006 and 2005, the average table games win percentage (before discounts) was within the expected range of 19% to 22%, and the slot win percentage was within the expected range of 5% to 6% of handle.</w:t>
      </w:r>
    </w:p>
    <w:p>
      <w:pPr>
        <w:spacing w:after="0" w:line="13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 the six months ended June 30, 2006, Wynn Las Vegas’ gross room revenues were approximately $137.4 million, which represents a $92.8 million (or 207.8%) increase over the $44.6 million generated in the 64 days of operations in the six months ended June 30, 2005. ADR and occupancy for the six months ended June 30, 2006 were $293 and 95.7%, respectively, generating REVPAR of $280. Other non-gaming revenues for the six months ended June 30, 2006 included food and beverage revenues of approximately $152.3 million, retail revenues of approximately $36.5 million, entertainment revenues of approximately $37.5 million, and other revenues from outlets, including the spa and salon, of approximately $24.3 million. Other non-gaming revenues for the 64 days of operation in the six months ended June 30, 2005 included food and beverage revenues of approximately $48.1 million, retail revenues of approximately $16.9 million, entertainment revenues of approximately $8.3 million, and other revenues from outlets, including the spa and salon, of approximately $9.5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EBITDA</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Wynn Las Vegas’ Adjusted EBITDA was approximately $154.3 million for the six months ended June 30, 2006 compared to Adjusted EBITDA of $58.7 million for the 64 days of operations in the six months ended June 30, 2005. During the six months ended June 30, 2006, departmental expenses included casino expenses of $121.2 million, rooms expenses of $35.1 million, food and beverage expenses of $94.2 million, and entertainment, retail and other expenses of $66.6 million. Also included are general and administrative expenses of approximately $96.0 million and approximately $6.6 million charged as a provision for doubtful accounts receivable. During the six months ended June 30, 2005, departmental expenses included casino expenses of $42.3 million, rooms expenses of $11.8 million, food and beverage expenses of $33.7 million, and entertainment, retail and other expenses of $20.3 million. Also included are general and administrative expenses of approximately $31.0 million and approximately $8.6 million charged as a provision for doubtful accounts receivable.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Wynn Las Vegas’ pre-opening costs for the six months ended June 30, 2006 were $194,000, a decrease of $65.7 million when compared to the six months ended June 30, 2005. Once it opened for business in April 2005, Wynn Las Vegas no longer incurred pre-opening costs; consequently, only the relatively small amount of pre-opening costs relating to Encore incurred through June 30, 2006 are included for the 2006 period. There also was a substantial increase in staffing immediately preceding the opening of Wynn Las Vegas, which is reflected in the pre-opening costs in the second quarter of 2005. As the Encore development progresses in 2006, we expect associated pre-opening costs to increase, but not to the same level as we experienced with Wynn Las Vegas.</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Macau’s pre-opening and other start up costs increased by $19.2 million in the six months ended June 30, 2006 to $25.8 million, due primarily to the increased pre-opening activity commensurate with the progress of the resort’s construction. We expect that Wynn Macau’s pre-opening costs will continue to increase in the third quarter of 2006 as construction and development continue toward opening, similar to the trend experienced with Wynn Las Vegas in 2005, prior to its opening.</w:t>
      </w:r>
    </w:p>
    <w:p>
      <w:pPr>
        <w:spacing w:after="0" w:line="130" w:lineRule="exact"/>
        <w:rPr>
          <w:sz w:val="20"/>
          <w:szCs w:val="20"/>
          <w:color w:val="auto"/>
        </w:rPr>
      </w:pPr>
    </w:p>
    <w:p>
      <w:pPr>
        <w:ind w:left="240" w:right="320" w:firstLine="228"/>
        <w:spacing w:after="0" w:line="375" w:lineRule="auto"/>
        <w:rPr>
          <w:sz w:val="20"/>
          <w:szCs w:val="20"/>
          <w:color w:val="auto"/>
        </w:rPr>
      </w:pPr>
      <w:r>
        <w:rPr>
          <w:rFonts w:ascii="Arial" w:cs="Arial" w:eastAsia="Arial" w:hAnsi="Arial"/>
          <w:sz w:val="18"/>
          <w:szCs w:val="18"/>
          <w:color w:val="auto"/>
        </w:rPr>
        <w:t xml:space="preserve">After Wynn Las Vegas opened on April 28, 2005, corporate expenses were charged to general and administrative expense instead of pre-opening costs. </w:t>
      </w:r>
      <w:r>
        <w:rPr>
          <w:rFonts w:ascii="Arial" w:cs="Arial" w:eastAsia="Arial" w:hAnsi="Arial"/>
          <w:sz w:val="18"/>
          <w:szCs w:val="18"/>
          <w:i w:val="1"/>
          <w:iCs w:val="1"/>
          <w:color w:val="auto"/>
        </w:rPr>
        <w:t>Depreciation and amortization</w:t>
      </w:r>
    </w:p>
    <w:p>
      <w:pPr>
        <w:spacing w:after="0" w:line="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Wynn Las Vegas’ depreciation and amortization expense for the six months ended June 30, 2006 of $76.6 million, increased by $51.0 million when compared to the six months ended June 30, 2005, primarily as a result of the longer operating period for the six months ended June 30, 2006 compared to 2005. 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 Wynn Macau’s depreciation and amortization expenses remained relatively consistent between the first half of 2006 compared to the first half of 2005. Other than charges to depreciation for certain office equipment and amortization for the Macau gaming and land concessions, Wynn Macau’s depreciation expenses will remain relatively insignificant until the resort opens and its assets are placed into service.</w:t>
      </w:r>
    </w:p>
    <w:p>
      <w:pPr>
        <w:spacing w:after="0" w:line="10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assets, primarily a corporate aircraft and certain furniture, fixtures and equipment of Wynn Resorts and its subsidiaries included in corporate and other, are also depreciated. In addition, when we opened Wynn Las Vegas, we began recognizing the depreciation of the furniture, fixtures and equipment in our corporate offices, which are located at Wynn Las Vegas.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in response to the reactions of our guests, we began to make enhancements and refinements to Wynn Las Vegas in the third quarter of 2005 and continued enhancing Wynn Las Vegas in the first and second quarters of 2006. The $7.3 million of costs relating to assets retired as a result of these enhancement and remodel efforts during the six months ended June 30, 2006 have been expensed as property charges. In the second quarter of 2006, we completed the remodeling of the North Fairway Villas and remodeled a portion of the former baccarat area to feature a casino bar, improved public baccarat space and private baccarat salons. Additionally, we remodeled the area of the Wynn retail esplanade formerly occupied by the art gallery, at Wynn Las Vegas and opened a store dedicated exclusively to selling Rolex watches and a mens’ accessories store.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Theatre at the end of May 2006. To terminate the contract, we paid a termination fee of $5.0 million. This fee was recorded in the first quarter of 2006 in accordance with the liability recognition provisions of Statement of Financial Accounting Standards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146”). We intend to remodel the Broadway Theater and adjacent areas to accommodate “Monty Python’s Spamalot.” Performances of “Monty Python’s Spamalot” are expected to begin in the first quarter of 2007.</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expenses and other</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Corporate expenses reflect costs such as salaries and other general and administrative expenses that are not allocated to Wynn Las Vegas or Wynn Macau. Prior to opening Wynn Las Vegas, corporate expenses were reported as pre-opening expenses. Corporate expenses were recorded for the six months ended June 30, 2006 of $22.2 million compared to $5.0 million for the second quarter of 2005. Total stock option expense of $5.9 million for the six months ended June 30, 2006, resulting from the adoption of SFAS No. 123R is also included in corporate expenses and other.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and other income increased by $4.9 million from the six months ended June 30, 2005 to the six months ended June 30, 2006. This increase is due primarily to higher interest rates earned on cash balances.</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Interest expense, net of capitalized interest increased by $42.0 million for the six months ended June 30, 2006 compared to the same period in 2005 due to the rise in interest rates and the significant decrease in the amount of interest capitalized once Wynn Las Vegas opened.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(Decrease) in swap fair value</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recorded approximately $10.6 million of swap income for the six months ended June 30, 2006 resulting from the increase in the fair value of our interest rate swaps from December 31, 2005 to June 30, 2006. During the six months ended June 30, 2005 we recorded a gain of $1.9 million resulting from the increase in the fair value of interest rate swaps between December 31, 2004 and June 30,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subject to income taxes in the United States, Macau and other foreign jurisdictions where we conduct business. We account for income taxes according to Statement of Financial Accounting Standards No. 109, “Accounting for Income Taxes” (“SFAS 109”). SFAS 109 requires the recognition of deferred tax assets, net of applicable reserves, related to net operating loss carry-forwards and certain temporary differences. The standard requires recognition of a future tax benefit to the extent that realization of such benefit is more likely than not. Otherwise, a valuation allowance is applied.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our development stage, we accumulated significant net operating losses which, among other things, generated significant deferred tax assets. At this time, because of our limited operating history, we have fully reserved these net deferred tax assets. If these net deferred tax assets become more likely than not realizable as defined by SFAS No. 109, we intend to appropriately reduce the deferred tax asset reserves.</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six months ended June 30, 2006, we recorded approximately $309,000 of foreign income tax expense relating to income taxes assessed on the Company’s international marketing subsidiary where the Company has no tax loss carryforwards. There were no comparable charges for the six months ended June 30,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operating cash flows are primarily affected by our operating income, interest paid, and non-cash charges included in operating income. On April 28, 2005, we opened Wynn Las Vegas and began generating cash from operations. Net cash from operations in the six months ended June 30, 2006 was $41.5 million compared to $18.3 million used in operations in the six months ended June 30,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require a certain amount of cash on hand for operations. Otherwise we attempt to minimize the amount of cash held in banks. At June 30, 2006, we had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$379.0 million of cash and cash equivalents generally available for use without restriction, including for new development activities,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enhancements to Wynn Las Vegas, and to support the development and construction of Wynn Macau and Encore. Of this,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$312.1 million is held by Wynn Resorts, Limited, which is not a guarantor of the debt of its subsidiaries, including Wynn Las Vegas, LLC and Wynn Macau,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However, Wynn Resorts, Limited has provided an equity commitment agreement to Wynn Las Vegas, LLC’s secured lenders, which obligates Wynn Resorts,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to contribute up to $215.3 million for Encore project costs if Wynn Las Vegas, LLC is unable to pay such costs.</w:t>
      </w:r>
    </w:p>
    <w:p>
      <w:pPr>
        <w:spacing w:after="0" w:line="1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June 30, 2006, we had approximately $454.6 million in restricted cash and investments from the proceeds of our debt and equity financings. Of this amount, approximately $386.8 million is restricted for the remaining costs of Wynn Las Vegas and the construction, development and pre-opening expenses of Encore, including $80.0 million restricted for the Wynn Las Vegas liquidity reserve and completion guarantee ($30.0 million of which must be retained for Encore as a completion guarantee); approximately $58.9 million is restricted for the ongoing development, construction and pre-opening expenses of Wynn Macau; and approximately $7.6 million is restricted for the semi-annual interest payment on our 6% Convertible Subordinated Debentures due 2015 (the “Convertible Debentures”), which was paid in July 2006. In addition, there is approximately $1.3 million restricted for certain sales tax and other payments. Cash equivalents include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Debentures Conversions</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Through August 1, 2006, approximately $25.3 million principal amount of the Convertible Debentures were converted by those holders into 1,100,602 shares of the common stock of Wynn Resorts, Limited. This has reduced our long-term debt accordingly and will decrease our future interest expense by approximately $1.5 million annually.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2006, approximately $4.5 million of budgeted project costs and retention amounts remained to be paid in order to close out the project. We expect these final costs to be paid in the third quarter of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Beginning in the third quarter of 2005, we made and continue to make certain enhancements and refinements to Wynn Las Vegas. As a result, we have incurred and will continue to incur capital expenditures relating to these enhancements and refinements. Under the terms of the Wynn Las Vegas credit facilities, we are permitted to make up to $80.0 million of capital expenditures in 2006, of which we have expended approximately $46.4 million through the second quarter of 2006. The spending limit will be increased to the extent funds are contributed to Wynn Las Vegas by Wynn Resorts, Limited.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lenders approved the Encore budget, plans and specifications on March 31, 2006. On April 28, 2006, we broke ground and commenced construction on Encore. We expect to open Encore to the public by the end of 2008.</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documentation is progressing in accordance with the design schedule;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Excavation for the tower has been completed;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Excavation for the low rise building has commenced;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Pile drilling and foundation work is progressing.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 Reve Production Rights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April 2006, we canceled the 189,723 nonvested shares of Wynn Resorts’ common stock granted, subject to certain performance criteria, to the executive producer of “Le Reve.”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construction of Wynn Macau is on time and remains within the project budget. The contractor has completed the majority of the work and is currently in the process of completing the final interior finishes and exterior site work of Phase I. Phase I of Wynn Macau will open in September 2006 with the Phase II expansion expected to be completed in the fourth quarter of 2007. Hotel room and banquet facility reservations are now being accepted.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construction accomplishments and/or progress for Phase I and the Phase II expansion to date include the following: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w:t>
      </w:r>
    </w:p>
    <w:p>
      <w:pPr>
        <w:spacing w:after="0" w:line="77" w:lineRule="exact"/>
        <w:rPr>
          <w:sz w:val="20"/>
          <w:szCs w:val="20"/>
          <w:color w:val="auto"/>
        </w:rPr>
      </w:pPr>
    </w:p>
    <w:p>
      <w:pPr>
        <w:ind w:left="1580" w:hanging="329"/>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 casino has been completed;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VIP dining and lounge area, café kitchen, and meeting rooms have been completed;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parking garage, information technology data center, and lowrise podium superstructure are complete;</w:t>
      </w:r>
    </w:p>
    <w:p>
      <w:pPr>
        <w:spacing w:after="0" w:line="36" w:lineRule="exact"/>
        <w:rPr>
          <w:rFonts w:ascii="Arial" w:cs="Arial" w:eastAsia="Arial" w:hAnsi="Arial"/>
          <w:sz w:val="18"/>
          <w:szCs w:val="18"/>
          <w:color w:val="auto"/>
        </w:rPr>
      </w:pPr>
    </w:p>
    <w:p>
      <w:pPr>
        <w:ind w:left="1580" w:right="140" w:hanging="329"/>
        <w:spacing w:after="0" w:line="254"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Final interior finishes are nearing completion in the VIP casinos, the hotel retail promenade, the spa and salon, several restaurants, and the lobby lounge; and</w:t>
      </w:r>
    </w:p>
    <w:p>
      <w:pPr>
        <w:ind w:left="1580" w:hanging="329"/>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Furniture installation is in progress in the hotel towers.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II (expansion)</w:t>
      </w:r>
    </w:p>
    <w:p>
      <w:pPr>
        <w:spacing w:after="0" w:line="77" w:lineRule="exact"/>
        <w:rPr>
          <w:sz w:val="20"/>
          <w:szCs w:val="20"/>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is substantially complete;</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Piling and pile cap activities are largely complete;</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Basement retaining walls for the moving front feature attraction have been completed;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ground floor slab is complete and first floor slab is in progress;</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fire spray on the roof steel has been completed; and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Mechanical and electrical services are in progress.</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current total project budget for Wynn Macau is approximately $1.2 billion, including contingencies, but excluding up to $20.5 million of post-opening land concession payments anticipated to be funded from operating cash flows. Under the amended and restated Construction Contract, the general contractor is responsible for both the construction and design of the project (other than certain limited portions to be designed by one of our subsidiaries) based on an existing scope of work and design specifications for both the first phase and the expansion as provided by us, for a guaranteed maximum price of approximately $483 million (including the contractors’ fee and contingency).</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permitting Wynn Macau, S.A. to enter into three change orders to its guaranteed maximum price construction contract. The three change orders implement a series of amendments to the Construction Contract including, providing for the completion of the majority of the first floor of the Wynn Macau expansion as additional gaming space, a series of enhancements and upgrades to the overall project, and adding an electronic marquee sign at the entrance to Wynn Macau. The change orders increase the guaranteed maximum price under the Construction Contract from $457 million to approximately $483 million.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2006, the Company has incurred approximately $716 million of the total $1.2 billion project budget for Wynn Macau.</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7"/>
          <w:szCs w:val="17"/>
          <w:color w:val="auto"/>
        </w:rPr>
        <w:t xml:space="preserve">A final accounting for Wynn Las Vegas is expected in the third quarter of 2006. Wynn Las Vegas’ estimated project cost of $2.74 billion has been or will be funded from a combination of contributed capital from the original shareholders of Valvino Lamore, LLC (the predecessor of Wynn Resorts, Limited), proceeds from sales of our common stock, proceeds from the issuance of the 12% Second Mortgage Notes due 2010 (the “Second Mortgage Notes”) (which were discharged in connection with the December 2004 refinancing), proceeds from the issuance of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 (the “First Mortgage Notes”), and a portion of Wynn Las Vegas, LLC’s $1.0 billion credit facilities (the “Wynn Las Vegas Credit Facilities”), which consist of a $400 million term loan facility (the “Term Loan”) and a $600 million revolving facility (the “Revolver”).</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Revolver is available for Wynn Las Vegas’ general corporate purposes and for Encore, and any amounts repaid may be re-borrowed. In the second quarter of 2005, we borrowed $80.0 million under the Revolver and loaned it to Wynn Macau, S.A. as subordinated debt. The Revolver borrowing was repaid in the third quarter of 2005; consequently, as of June 30, 2006, the entire $600.0 million Revolver was available for future borrowings for the construction of Encore or for other uses as necessary.</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designated, and expect to continue to designate, borrowings under the Wynn Las Vegas Credit Facilities as Eurodollar Loans. These Eurodollar Loans bear interest at the London Interbank Offered Rate (“LIBOR”) plus 2.25% for the Revolver loans and LIBOR plus 2.125% for the Term Loan.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depending on Wynn Las Vegas, LLC’s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Wynn Las Vegas, LLC’s leverage ratio and will range from 0.25% to 0.50% per annum.</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Wynn Las Vegas Credit Facilities are obligations of Wynn Las Vegas, LLC and are guaranteed by each of its subsidiaries (other than Wynn Completion Guarantor, LLC). The obligations and guarantees are secured by: (1) a first priority security interest on a $30.0 million liquidity reserve account; (2) a</w:t>
      </w:r>
    </w:p>
    <w:p>
      <w:pPr>
        <w:ind w:right="160"/>
        <w:spacing w:after="0" w:line="292" w:lineRule="auto"/>
        <w:rPr>
          <w:sz w:val="20"/>
          <w:szCs w:val="20"/>
          <w:color w:val="auto"/>
        </w:rPr>
      </w:pPr>
      <w:r>
        <w:rPr>
          <w:rFonts w:ascii="Arial" w:cs="Arial" w:eastAsia="Arial" w:hAnsi="Arial"/>
          <w:sz w:val="16"/>
          <w:szCs w:val="16"/>
          <w:color w:val="auto"/>
        </w:rPr>
        <w:t>$50.0 million completion guarantee deposit account held by Wynn Completion Guarantor, LLC; (3) the remaining previously funded proceeds of the Wynn Las Vegas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 corporate aircraft owned by World Travel, LLC, a subsidiary of Wynn Las Vegas, LLC.</w:t>
      </w:r>
    </w:p>
    <w:p>
      <w:pPr>
        <w:spacing w:after="0" w:line="10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 will mature on December 14, 2011.</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incurred approximately $120.4 million of Encore budget costs through June 30, 2006. These costs have been funded from the Wynn Las Vegas Credit Facilities and the proceeds of the First Mortgage Notes. We expect that the available remaining proceeds from the First Mortgage Notes, together with availability under the credit facilities, and cash flow from operations, will be sufficient to pay for expenditures of approximately $1.5 billion on the Encore project without incurring additional debt or receiving additional capital contributions from Wynn Resorts. Project costs exceeding approximately $1.5 billion are expected to be funded by an increase of up to $125.0 million of additional availability in the Credit Facilities and/or contributions from Wynn Resorts. The Company commenced construction of Encore on April 28, 2006 and expects to open it to the public by the end of 2008.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we amended our Wynn Las Vegas credit facilities to (a) allow us to issue up to $100.0 million of additional First Mortgage Notes;</w:t>
      </w:r>
    </w:p>
    <w:p>
      <w:pPr>
        <w:spacing w:after="0" w:line="38" w:lineRule="exact"/>
        <w:rPr>
          <w:sz w:val="20"/>
          <w:szCs w:val="20"/>
          <w:color w:val="auto"/>
        </w:rPr>
      </w:pPr>
    </w:p>
    <w:p>
      <w:pPr>
        <w:ind w:right="100" w:firstLine="8"/>
        <w:spacing w:after="0" w:line="295"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simplify draw procedures under the agreement governing our access to proceeds from our borrowings (the “Disbursement Agreement”); (c) consolidate certain accounts under the Disbursement Agreement; (d) amend and clarify certain of the conditions for the approval of the Encore budget, plans and specifications;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0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On March 31, 2006, Wynn Resorts, Limited delivered an equity commitment agreement to the lenders under the Wynn Las Vegas Credit Facilities. Under this agreement, Wynn Resorts has committed to pay up to $215.3 million of Encore project costs if Wynn Las Vegas, LLC is unable to do so.</w:t>
      </w:r>
    </w:p>
    <w:p>
      <w:pPr>
        <w:spacing w:after="0" w:line="7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June 30, 2006, in anticipation of a contemplated refinancing of the Credit Facilities, the Company further amended the Credit Agreement to: (i) clarify the Credit Agreement’s definition of “Consolidated Total Debt”; and (ii) change the Consolidated Interest Coverage Ratio (as defined in the Credit Agreement) applicable on Quarterly Dates (as defined in the Credit Agreement) on or prior to September 30, 2007 from 2.25:1 to 2.00:1.</w:t>
      </w:r>
    </w:p>
    <w:p>
      <w:pPr>
        <w:spacing w:after="0" w:line="9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July 7, 2006, we engaged Deutsche Bank Trust Company Americas, Deutsche Bank Securities Inc., Bank of America, N.A. and Banc of America Securities LLC in connection with the proposed refinancing of our Wynn Las Vegas Credit Facilities.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final costs of Wynn Las Vegas will be paid with proceeds from the First Mortgage Notes and the Term Loan, and the ongoing costs of Encore will be paid with funds from the following sources and in the following order of priority:</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103"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by using proceeds from the First Mortgage Notes (including any additional First Mortgage Notes that may be issued in the future), and the proceeds of borrowings under the Wynn Las Vegas Credit Facilities, until exhaustion of the First Mortgage Notes proceeds, with amounts funded 66.67% from notes proceeds and 33.33% from the Wynn Las Vegas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Wynn Las Vegas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Fourth, by using funds from the completion guarantee deposit account.</w:t>
      </w:r>
    </w:p>
    <w:p>
      <w:pPr>
        <w:spacing w:after="0" w:line="18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have two interest rate swap agreements to hedge a portion of the underlying interest rate risk on borrowings under the Wynn Las Vegas Credit Facilities. See Item 3. “Quantitative and Qualitative Disclosures About Market Risk.”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Financing for Wynn Macau’s design, development, construction and pre-opening expenses is provided by a combination of cash on hand in the form of base equity loans from Wynn Resorts totaling $230 million, subordinated loan financing from Wynn Las Vegas, LLC and loaned through affiliates to Wynn Macau, S.A. totaling $80 million, and a senior secured credit facility. Wynn Macau, S.A.’s senior secured credit facility of $764 million includes $729 million of senior term loan facilities, a HK$117 million revolving credit facility (approximately US$15 million), and an additional term loan facility of HK$156 million (approximately US$20 million). As of June 30, 2006, we had borrowed approximately $306.0 million under the Wynn Macau, S.A. senior secured credit facility.</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LIBOR or the Hong Kong Interbank Offered Rate (“HIBOR”) plus a margin of 3.0% until the opening of Wynn Macau (expected in the third quarter of 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22, 2006, Wynn Macau, S.A. received consent from its lending syndicate allowing Wynn Macau, S.A. to amend certain provisions of its credit agreement to permit Wynn Macau to fund the additional $68.4 million in costs associated with three change orders to its guaranteed maximum price construction contract and other increases in Wynn Macau’s project budget entirely from its existing $764 million senior secured credit facilities. The additional costs are to be incurred in connection with preparatory work for additional gaming space located in the expansion of Phase II, a series of enhancements and upgrades to the overall project, and an electronic marquee sign at the entrance to Wynn Macau.</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Wynn Macau will fund $60.5 million of costs from its existing $72 million contingent debt facility and $7.9 million of costs from its existing $20 million credit facility with Banco Nacional Ultramarino, S.A.</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Collateral for the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began to draw under the senior bank facility in October 2005, after expenditure of the base equity and subordinated funding. Through June 30, 2006, we incurred approximately $716 million of the total $1.2 billion of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budgeted project costs. Total budgeted project costs include construction and design costs (including construction contingencies) of approximately $685 million, land acquisition costs of approximately $49.0 million, costs related to the additional casino expansion of approximately $68 million and capitalized interest, pre-opening expenses, financing fees and other costs totaling in the aggregate approximately $351 million. These costs have been, and will continue to be, paid from the previously funded $230.0 million base equity loans from Wynn Resorts and $80 million from Wynn Las Vegas LLC and loaned through affiliates to Wynn Macau, S.A., as well as Wynn Macau, S.A.’s $764.0 million senior secured credit facilities and cash flows from operations once Wynn Macau opens.</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to the above financing sources, we have $30.0 million (plus $2.4 million of accumulated interest earnings) of long-term restricted cash reserved as contingent equity. We have entered into interest rate swap agreements to hedge a portion of the underlying interest rate risk on borrowings under the Wynn Macau, S.A. credit facilities. See Item 3. “Quantitative and Qualitative Disclosures About Market Risk.”</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also had outstanding at June 30, 2006 approximately $41.1 million of an original $44.75 million borrowing secured by one of our corporate aircraft. This loan matures on May 24,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however, the Wynn Macau, S.A. loan agreements permit distribution of the net proceeds of subconcession sales.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completion of the Encore or Wynn Macau projects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Limited or through subsidiaries separate from the Wynn Las Vegas and Wynn Macau-related entities.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Wynn Resorts, Limited’s articles of incorporation provide that Wynn Resorts, Limited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 description of our critical accounting policies can be found in “Item 7. Management’s Discussion and Analysis of Results of Financial Condition and Operations” of our Annual Report on Form 10-K for the year ended December 31, 2005. We present below a discussion of our policies related to share-based compensation which has been updated from the discussion in our Annual Report.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supersedes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for a description of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We attempt to manage interest rate risk by managing the mix of long-term fixed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Swaps</w:t>
      </w:r>
    </w:p>
    <w:p>
      <w:pPr>
        <w:spacing w:after="0" w:line="77"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On December 14, 2004, we entered into two interest rate swap arrangements to hedge the underlying interest rate risk on a total of $400.0 million of borrowings under Wynn Las Vegas, LLC’s term loan facility, which bears interest at LIBOR plus 2.125%. Under each of these two interest rate swap arrangements, we receive payments at a variable rate and pay a fixed rate of 3.793% on the $200.0 million notional amount set forth in each of the swap instruments from February and March 2005, respectively, through December 2008.</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Although these interest rate swaps are highly effective economically in fixing the interest rate on these borrowings under the new term loan facility at approximately 5.9%, changes in fair value of these interest rate swaps for each reporting period are, and will continue to be, recorded as a component of other income (expense), net, as the swaps do not qualify for hedge accounting.</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October 14, 2005, we entered into two interest rate swaps (each with three participating banks) to hedge a portion of the underlying interest rate risk on future borrowings under Wynn Macau S.A.’s $764 million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w:t>
      </w:r>
    </w:p>
    <w:p>
      <w:pPr>
        <w:spacing w:after="0" w:line="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swap agreements is from November 28, 2005 through November 28, 2008.</w:t>
      </w:r>
    </w:p>
    <w:p>
      <w:pPr>
        <w:spacing w:after="0" w:line="13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approximately 7.84% and 7.77%, respectively. However, changes in the fair values of these interest rate swaps for each reporting period recorded are, and will continue to be, recognized as a component of other income (expense), net, as the swaps do not qualify for hedge accounting.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 and Changes in Fair Values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tables presents the historical asset or (liability) fair values of our interest rate swap arrangements (reflected in deposits and other assets or in other long-term liabilities as appropriate) as of June 30, 2006 and December 31, 2005 and the relative changes in fair values for the three and six months ended June 30, 2006 and 2005 (all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980" w:type="dxa"/>
            <w:vAlign w:val="bottom"/>
          </w:tcPr>
          <w:p>
            <w:pPr>
              <w:jc w:val="center"/>
              <w:ind w:left="2152"/>
              <w:spacing w:after="0"/>
              <w:rPr>
                <w:sz w:val="20"/>
                <w:szCs w:val="20"/>
                <w:color w:val="auto"/>
              </w:rPr>
            </w:pPr>
            <w:r>
              <w:rPr>
                <w:rFonts w:ascii="Arial" w:cs="Arial" w:eastAsia="Arial" w:hAnsi="Arial"/>
                <w:sz w:val="14"/>
                <w:szCs w:val="14"/>
                <w:b w:val="1"/>
                <w:bCs w:val="1"/>
                <w:color w:val="auto"/>
                <w:w w:val="86"/>
              </w:rPr>
              <w:t>Wynn Las Vegas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Wynn Macau</w:t>
            </w:r>
          </w:p>
        </w:tc>
        <w:tc>
          <w:tcPr>
            <w:tcW w:w="1360" w:type="dxa"/>
            <w:vAlign w:val="bottom"/>
          </w:tcPr>
          <w:p>
            <w:pPr>
              <w:spacing w:after="0"/>
              <w:rPr>
                <w:sz w:val="14"/>
                <w:szCs w:val="14"/>
                <w:color w:val="auto"/>
              </w:rPr>
            </w:pPr>
          </w:p>
        </w:tc>
      </w:tr>
      <w:tr>
        <w:trPr>
          <w:trHeight w:val="149"/>
        </w:trPr>
        <w:tc>
          <w:tcPr>
            <w:tcW w:w="4440" w:type="dxa"/>
            <w:vAlign w:val="bottom"/>
          </w:tcPr>
          <w:p>
            <w:pPr>
              <w:spacing w:after="0"/>
              <w:rPr>
                <w:sz w:val="12"/>
                <w:szCs w:val="12"/>
                <w:color w:val="auto"/>
              </w:rPr>
            </w:pPr>
          </w:p>
        </w:tc>
        <w:tc>
          <w:tcPr>
            <w:tcW w:w="3980" w:type="dxa"/>
            <w:vAlign w:val="bottom"/>
          </w:tcPr>
          <w:p>
            <w:pPr>
              <w:jc w:val="center"/>
              <w:ind w:left="2152"/>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136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0"/>
              </w:rPr>
              <w:t>All Interest Rate</w:t>
            </w:r>
          </w:p>
        </w:tc>
      </w:tr>
      <w:tr>
        <w:trPr>
          <w:trHeight w:val="174"/>
        </w:trPr>
        <w:tc>
          <w:tcPr>
            <w:tcW w:w="4440" w:type="dxa"/>
            <w:vAlign w:val="bottom"/>
          </w:tcPr>
          <w:p>
            <w:pPr>
              <w:spacing w:after="0"/>
              <w:rPr>
                <w:sz w:val="20"/>
                <w:szCs w:val="20"/>
                <w:color w:val="auto"/>
              </w:rPr>
            </w:pPr>
            <w:r>
              <w:rPr>
                <w:rFonts w:ascii="Arial" w:cs="Arial" w:eastAsia="Arial" w:hAnsi="Arial"/>
                <w:sz w:val="14"/>
                <w:szCs w:val="14"/>
                <w:b w:val="1"/>
                <w:bCs w:val="1"/>
                <w:color w:val="auto"/>
              </w:rPr>
              <w:t>Asset / (Liability) Fair Value at:</w:t>
            </w:r>
          </w:p>
        </w:tc>
        <w:tc>
          <w:tcPr>
            <w:tcW w:w="3980" w:type="dxa"/>
            <w:vAlign w:val="bottom"/>
          </w:tcPr>
          <w:p>
            <w:pPr>
              <w:jc w:val="center"/>
              <w:ind w:left="2152"/>
              <w:spacing w:after="0"/>
              <w:rPr>
                <w:sz w:val="20"/>
                <w:szCs w:val="20"/>
                <w:color w:val="auto"/>
              </w:rPr>
            </w:pPr>
            <w:r>
              <w:rPr>
                <w:rFonts w:ascii="Arial" w:cs="Arial" w:eastAsia="Arial" w:hAnsi="Arial"/>
                <w:sz w:val="14"/>
                <w:szCs w:val="14"/>
                <w:b w:val="1"/>
                <w:bCs w:val="1"/>
                <w:color w:val="auto"/>
                <w:w w:val="81"/>
              </w:rPr>
              <w:t>Swaps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1"/>
              </w:rPr>
              <w:t>Swaps</w:t>
            </w:r>
          </w:p>
        </w:tc>
        <w:tc>
          <w:tcPr>
            <w:tcW w:w="1360" w:type="dxa"/>
            <w:vAlign w:val="bottom"/>
          </w:tcPr>
          <w:p>
            <w:pPr>
              <w:jc w:val="center"/>
              <w:ind w:left="312"/>
              <w:spacing w:after="0"/>
              <w:rPr>
                <w:sz w:val="20"/>
                <w:szCs w:val="20"/>
                <w:color w:val="auto"/>
              </w:rPr>
            </w:pPr>
            <w:r>
              <w:rPr>
                <w:rFonts w:ascii="Arial" w:cs="Arial" w:eastAsia="Arial" w:hAnsi="Arial"/>
                <w:sz w:val="14"/>
                <w:szCs w:val="14"/>
                <w:b w:val="1"/>
                <w:bCs w:val="1"/>
                <w:color w:val="auto"/>
                <w:w w:val="85"/>
              </w:rPr>
              <w:t>Swaps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833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60325</wp:posOffset>
            </wp:positionV>
            <wp:extent cx="6089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60325</wp:posOffset>
            </wp:positionV>
            <wp:extent cx="49720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60325</wp:posOffset>
            </wp:positionV>
            <wp:extent cx="6089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2005</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10,523</w:t>
            </w:r>
          </w:p>
        </w:tc>
        <w:tc>
          <w:tcPr>
            <w:tcW w:w="420" w:type="dxa"/>
            <w:vAlign w:val="bottom"/>
          </w:tcPr>
          <w:p>
            <w:pPr>
              <w:spacing w:after="0"/>
              <w:rPr>
                <w:sz w:val="19"/>
                <w:szCs w:val="19"/>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3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Rate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All Interest Rate</w:t>
            </w:r>
          </w:p>
        </w:tc>
        <w:tc>
          <w:tcPr>
            <w:tcW w:w="0" w:type="dxa"/>
            <w:vAlign w:val="bottom"/>
          </w:tcPr>
          <w:p>
            <w:pPr>
              <w:spacing w:after="0"/>
              <w:rPr>
                <w:sz w:val="1"/>
                <w:szCs w:val="1"/>
                <w:color w:val="auto"/>
              </w:rPr>
            </w:pPr>
          </w:p>
        </w:tc>
      </w:t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Increase/(Decrease) in Swap Fair Value for the periods:</w:t>
            </w: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Swaps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5,330</w:t>
            </w:r>
          </w:p>
        </w:tc>
        <w:tc>
          <w:tcPr>
            <w:tcW w:w="42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5,261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2005</w:t>
            </w:r>
          </w:p>
        </w:tc>
        <w:tc>
          <w:tcPr>
            <w:tcW w:w="32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3260" w:type="dxa"/>
            <w:vAlign w:val="bottom"/>
            <w:gridSpan w:val="2"/>
          </w:tcPr>
          <w:p>
            <w:pPr>
              <w:ind w:left="3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1,887</w:t>
            </w:r>
          </w:p>
        </w:tc>
        <w:tc>
          <w:tcPr>
            <w:tcW w:w="420" w:type="dxa"/>
            <w:vAlign w:val="bottom"/>
          </w:tcPr>
          <w:p>
            <w:pPr>
              <w:spacing w:after="0"/>
              <w:rPr>
                <w:sz w:val="19"/>
                <w:szCs w:val="19"/>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the three and six months ended June 30, 2006, we incurred approximately $44.1 million and $86.2 million, respectively, in interest. Certain amounts of our outstanding indebtedness for the period was based upon a variable rate, LIBOR or HIBOR, plus a premium. A 1% increase in the variable rates would have increased our interest cost for the three and six months ended June 30, 2006 by approximately $141,000 and $282,000 respectively.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Certain Asian countries have publicly asserted their desire to eliminate the linkage of the Hong Kong dollar to the U.S. dollar. As a result, the Hong Kong dollar and the Macau pataca may not be linked to the U.S. dollar in the future, which may result in severe fluctuations in the exchange rate for these currencies. We also cannot assure you that the current rate of exchange fixed by the applicable monetary authorities for these currencies will remain at the same level.</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Debentures Conversions</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Debentures are currently convertible at each holder’s option into shares of the Company’s common stock at a conversion price of $23.00 per share (equivalent to 43.4782 shares per $1,000 principal amount). During the second quarter of 2006, we issued shares of common stock upon conversion of Debentures, as set forth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 Amount of</w:t>
            </w:r>
          </w:p>
        </w:tc>
        <w:tc>
          <w:tcPr>
            <w:tcW w:w="18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4"/>
              </w:rPr>
              <w:t>Number of Shares Issued</w:t>
            </w:r>
          </w:p>
        </w:tc>
      </w:tr>
      <w:tr>
        <w:trPr>
          <w:trHeight w:val="174"/>
        </w:trPr>
        <w:tc>
          <w:tcPr>
            <w:tcW w:w="1780" w:type="dxa"/>
            <w:vAlign w:val="bottom"/>
          </w:tcPr>
          <w:p>
            <w:pPr>
              <w:spacing w:after="0"/>
              <w:rPr>
                <w:sz w:val="15"/>
                <w:szCs w:val="15"/>
                <w:color w:val="auto"/>
              </w:rPr>
            </w:pPr>
          </w:p>
        </w:tc>
        <w:tc>
          <w:tcPr>
            <w:tcW w:w="230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85"/>
              </w:rPr>
              <w:t>Date</w:t>
            </w:r>
          </w:p>
        </w:tc>
        <w:tc>
          <w:tcPr>
            <w:tcW w:w="16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5"/>
              </w:rPr>
              <w:t>Debentures Converted</w:t>
            </w:r>
          </w:p>
        </w:tc>
        <w:tc>
          <w:tcPr>
            <w:tcW w:w="1820" w:type="dxa"/>
            <w:vAlign w:val="bottom"/>
          </w:tcPr>
          <w:p>
            <w:pPr>
              <w:spacing w:after="0"/>
              <w:rPr>
                <w:sz w:val="15"/>
                <w:szCs w:val="15"/>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rPr>
              <w:t>Upon Conversion</w:t>
            </w:r>
          </w:p>
        </w:tc>
      </w:tr>
      <w:tr>
        <w:trPr>
          <w:trHeight w:val="95"/>
        </w:trPr>
        <w:tc>
          <w:tcPr>
            <w:tcW w:w="17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102"/>
        </w:trPr>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4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2"/>
              </w:rPr>
              <w:t>April 7, 2006</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1,385,000</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60,217</w:t>
            </w:r>
          </w:p>
        </w:tc>
      </w:tr>
      <w:tr>
        <w:trPr>
          <w:trHeight w:val="216"/>
        </w:trPr>
        <w:tc>
          <w:tcPr>
            <w:tcW w:w="40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April 17, 2006</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3,200,000</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139,130</w:t>
            </w:r>
          </w:p>
        </w:tc>
      </w:tr>
      <w:tr>
        <w:trPr>
          <w:trHeight w:val="216"/>
        </w:trPr>
        <w:tc>
          <w:tcPr>
            <w:tcW w:w="4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1"/>
              </w:rPr>
              <w:t>April 27, 2006</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282,607</w:t>
            </w:r>
          </w:p>
        </w:tc>
      </w:tr>
      <w:tr>
        <w:trPr>
          <w:trHeight w:val="222"/>
        </w:trPr>
        <w:tc>
          <w:tcPr>
            <w:tcW w:w="40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May 31, 2006</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4,347</w:t>
            </w:r>
          </w:p>
        </w:tc>
      </w:tr>
      <w:tr>
        <w:trPr>
          <w:trHeight w:val="102"/>
        </w:trPr>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102"/>
        </w:trPr>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4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TOTAL</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11,185,000</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486,301</w:t>
            </w:r>
          </w:p>
        </w:tc>
      </w:tr>
      <w:tr>
        <w:trPr>
          <w:trHeight w:val="132"/>
        </w:trPr>
        <w:tc>
          <w:tcPr>
            <w:tcW w:w="1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shares of Common Stock were issued in reliance upon the exemption from registration provided in Section 3(a)(9) of the Securities Act of 1933, as amended. No commission or other remuneration was paid or given directly or indirectly for soliciting these transactions.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than the Wynn Macau, S.A. loan documents permit distribution of the proceeds of subconcession sales.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Annual Meeting of Stockholders was held on May 3, 2006. The following proposal was presented to a vote of the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 Election of Directors (Class I)</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384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Votes For</w:t>
            </w:r>
          </w:p>
        </w:tc>
        <w:tc>
          <w:tcPr>
            <w:tcW w:w="13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Votes 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82,446,659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82,724,936</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1,177,265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82,394,064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1,508,137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tcPr>
          <w:p>
            <w:pPr>
              <w:jc w:val="right"/>
              <w:ind w:right="1672"/>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Class II directors remain in office with their term expiring in 2007 - Stephen A. Wynn, Alvin V. Shoemaker, D. Boone Wayson and Stanley R. Zax. The following Class III directors remain in office with their term expiring in 2008 - Kazuo Okada, Robert J. Miller and Allan Zeman.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10320" w:type="dxa"/>
            <w:vAlign w:val="bottom"/>
            <w:gridSpan w:val="3"/>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4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3.1</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3.2</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*10.1</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5"/>
              </w:rPr>
              <w:t>Production Rights Purchase Agreement, dated as of May 31, 2006, by and among Wynn Las Vegas, LLC; Lupa International, Inc.;</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Productions Du Dragon, S.A. and and Franco Dragone, to which intervenes Calitri Services and Licensing Limited Liability Company.**</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*10.2</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88"/>
              </w:rPr>
              <w:t>Change Order No. 11 to Agreement for Guarantee Maximum Price Construction Services, dated as of June 7, 2006, by and between Marnell</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Corrao Associates, Inc. as Contractor and Wynn Las Vegas, LLC.</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*10.3</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3"/>
              </w:rPr>
              <w:t>Change Order No. 1 to Agreement for Guarantee Maximum Price Construction Services, dated as of May 25, 2006, by and between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Leighton Contractors (Asia) Limited, China State Construction Engineering (Hong Kong) Limited, and China Construction Engineering</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(Macau) Company Limited as Contractors and Wynn Resorts (Macau) S.A.</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*10.4</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3"/>
              </w:rPr>
              <w:t>Change Order No. 2 to Agreement for Guarantee Maximum Price Construction Services, dated as of May 25, 2006, by and between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Leighton Contractors (Asia) Limited, China State Construction Engineering (Hong Kong) Limited, and China Construction Engineering</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(Macau) Company Limited as Contractors and Wynn Resorts (Macau) S.A.</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*10.5</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3"/>
              </w:rPr>
              <w:t>Change Order No. 3 to Agreement for Guarantee Maximum Price Construction Services, dated as of May 25, 2006, by and between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Leighton Contractors (Asia) Limited, China State Construction Engineering (Hong Kong) Limited, and China Construction Engineering</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(Macau) Company Limited as Contractors and Wynn Resorts (Macau) S.A.</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10.6</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Fourth Amendment to Credit Agreement, dated as of June 30, 2006, among Wynn Las Vegas, LLC, the Wynn Amendment Parties (as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2"/>
              </w:rPr>
              <w:t>defined therein) and Deutsche Bank Trust Company Americas, as administrative agent on behalf of the lenders (as defined therein. (5)</w:t>
            </w:r>
          </w:p>
        </w:tc>
      </w:tr>
      <w:tr>
        <w:trPr>
          <w:trHeight w:val="3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10.7</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as of May 8, 2006, by and between Wynn Resorts, Limited and Wesley Allison. (3)</w:t>
            </w:r>
          </w:p>
        </w:tc>
      </w:tr>
      <w:tr>
        <w:trPr>
          <w:trHeight w:val="318"/>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10.8</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w w:val="94"/>
              </w:rPr>
              <w:t>First Amendment to Agreement, dated as of June 1, 2006, by and among Wynn Resorts, Limited, Wynn Resorts (Macau), S.A. and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Publishing and Broadcasting, Ltd. (4)</w:t>
            </w:r>
          </w:p>
        </w:tc>
      </w:tr>
      <w:tr>
        <w:trPr>
          <w:trHeight w:val="3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*31.1</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*31.2</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*32.1</w:t>
            </w:r>
          </w:p>
        </w:tc>
        <w:tc>
          <w:tcPr>
            <w:tcW w:w="1032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Portions of the exhibit have been redacted and are subject to a confidential treatment request filed within the Securities and Exchange Commission pursuant to Rule 24b-2 under the Securities and Exchange Act of 1934, as amended.</w:t>
      </w:r>
    </w:p>
    <w:p>
      <w:pPr>
        <w:ind w:left="460" w:right="5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11,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July 7, 2006 and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7, 2006</w:t>
      </w:r>
    </w:p>
    <w:p>
      <w:pPr>
        <w:spacing w:after="0" w:line="15" w:lineRule="exact"/>
        <w:rPr>
          <w:sz w:val="20"/>
          <w:szCs w:val="20"/>
          <w:color w:val="auto"/>
        </w:rPr>
      </w:pPr>
    </w:p>
    <w:p>
      <w:pPr>
        <w:ind w:left="8460"/>
        <w:spacing w:after="0"/>
        <w:tabs>
          <w:tab w:leader="none" w:pos="8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-65405</wp:posOffset>
            </wp:positionV>
            <wp:extent cx="26587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John Strzemp</w:t>
      </w:r>
    </w:p>
    <w:p>
      <w:pPr>
        <w:jc w:val="center"/>
        <w:ind w:left="722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40"/>
          </w:cols>
          <w:pgMar w:left="240" w:top="459" w:right="8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RIGHTS PURCHASE AGREEMENT</w:t>
      </w:r>
    </w:p>
    <w:p>
      <w:pPr>
        <w:spacing w:after="0" w:line="158" w:lineRule="exact"/>
        <w:rPr>
          <w:sz w:val="20"/>
          <w:szCs w:val="20"/>
          <w:color w:val="auto"/>
        </w:rPr>
      </w:pPr>
    </w:p>
    <w:p>
      <w:pPr>
        <w:jc w:val="both"/>
        <w:ind w:right="660" w:firstLine="456"/>
        <w:spacing w:after="0" w:line="262" w:lineRule="auto"/>
        <w:rPr>
          <w:sz w:val="20"/>
          <w:szCs w:val="20"/>
          <w:color w:val="auto"/>
        </w:rPr>
      </w:pPr>
      <w:r>
        <w:rPr>
          <w:rFonts w:ascii="Arial" w:cs="Arial" w:eastAsia="Arial" w:hAnsi="Arial"/>
          <w:sz w:val="18"/>
          <w:szCs w:val="18"/>
          <w:color w:val="auto"/>
        </w:rPr>
        <w:t>This Agreement is made this 31 day of May,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Wynn Las Vegas, LLC (“</w:t>
      </w:r>
      <w:r>
        <w:rPr>
          <w:rFonts w:ascii="Arial" w:cs="Arial" w:eastAsia="Arial" w:hAnsi="Arial"/>
          <w:sz w:val="18"/>
          <w:szCs w:val="18"/>
          <w:b w:val="1"/>
          <w:bCs w:val="1"/>
          <w:color w:val="auto"/>
        </w:rPr>
        <w:t>Wynn</w:t>
      </w:r>
      <w:r>
        <w:rPr>
          <w:rFonts w:ascii="Arial" w:cs="Arial" w:eastAsia="Arial" w:hAnsi="Arial"/>
          <w:sz w:val="18"/>
          <w:szCs w:val="18"/>
          <w:color w:val="auto"/>
        </w:rPr>
        <w:t>”), Lupa International Inc. (“</w:t>
      </w:r>
      <w:r>
        <w:rPr>
          <w:rFonts w:ascii="Arial" w:cs="Arial" w:eastAsia="Arial" w:hAnsi="Arial"/>
          <w:sz w:val="18"/>
          <w:szCs w:val="18"/>
          <w:b w:val="1"/>
          <w:bCs w:val="1"/>
          <w:color w:val="auto"/>
        </w:rPr>
        <w:t>Lupa</w:t>
      </w:r>
      <w:r>
        <w:rPr>
          <w:rFonts w:ascii="Arial" w:cs="Arial" w:eastAsia="Arial" w:hAnsi="Arial"/>
          <w:sz w:val="18"/>
          <w:szCs w:val="18"/>
          <w:color w:val="auto"/>
        </w:rPr>
        <w:t>”), Productions du Dragon, S.A. (“</w:t>
      </w:r>
      <w:r>
        <w:rPr>
          <w:rFonts w:ascii="Arial" w:cs="Arial" w:eastAsia="Arial" w:hAnsi="Arial"/>
          <w:sz w:val="18"/>
          <w:szCs w:val="18"/>
          <w:b w:val="1"/>
          <w:bCs w:val="1"/>
          <w:color w:val="auto"/>
        </w:rPr>
        <w:t>Dragon</w:t>
      </w:r>
      <w:r>
        <w:rPr>
          <w:rFonts w:ascii="Arial" w:cs="Arial" w:eastAsia="Arial" w:hAnsi="Arial"/>
          <w:sz w:val="18"/>
          <w:szCs w:val="18"/>
          <w:color w:val="auto"/>
        </w:rPr>
        <w:t>”) and Franco Dragone, to which intervenes Calitri Services and Licensing Limited Liability Company (“</w:t>
      </w:r>
      <w:r>
        <w:rPr>
          <w:rFonts w:ascii="Arial" w:cs="Arial" w:eastAsia="Arial" w:hAnsi="Arial"/>
          <w:sz w:val="18"/>
          <w:szCs w:val="18"/>
          <w:b w:val="1"/>
          <w:bCs w:val="1"/>
          <w:color w:val="auto"/>
        </w:rPr>
        <w:t>Calitri</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October 31, 2002, Calitri and Wynn entered into that certain Licence Agreement (as amended to the date hereof, the “</w:t>
      </w:r>
      <w:r>
        <w:rPr>
          <w:rFonts w:ascii="Arial" w:cs="Arial" w:eastAsia="Arial" w:hAnsi="Arial"/>
          <w:sz w:val="18"/>
          <w:szCs w:val="18"/>
          <w:b w:val="1"/>
          <w:bCs w:val="1"/>
          <w:color w:val="auto"/>
        </w:rPr>
        <w:t>License Agreement</w:t>
      </w:r>
      <w:r>
        <w:rPr>
          <w:rFonts w:ascii="Arial" w:cs="Arial" w:eastAsia="Arial" w:hAnsi="Arial"/>
          <w:sz w:val="18"/>
          <w:szCs w:val="18"/>
          <w:color w:val="auto"/>
        </w:rPr>
        <w:t>”) pursuant to which Calitri licensed to Wynn, on an exclusive basis, the necessary rights to produce and present live performance of the Le Reve Show (the “</w:t>
      </w:r>
      <w:r>
        <w:rPr>
          <w:rFonts w:ascii="Arial" w:cs="Arial" w:eastAsia="Arial" w:hAnsi="Arial"/>
          <w:sz w:val="18"/>
          <w:szCs w:val="18"/>
          <w:b w:val="1"/>
          <w:bCs w:val="1"/>
          <w:color w:val="auto"/>
        </w:rPr>
        <w:t>Show</w:t>
      </w:r>
      <w:r>
        <w:rPr>
          <w:rFonts w:ascii="Arial" w:cs="Arial" w:eastAsia="Arial" w:hAnsi="Arial"/>
          <w:sz w:val="18"/>
          <w:szCs w:val="18"/>
          <w:color w:val="auto"/>
        </w:rPr>
        <w:t>”) and to create, manufacture, produce, sell and distribute derivative products and merchandising and to produce, distribute and sell publications relating to the Show, all as provided in the License Agreement;</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the date of execution of this Agreement, (i) the License Agreement and all associated rights and obligations have been transferred and assigned by Calitri to Lupa and (ii) all of the rights transferred, assigned and sold mentioned in Sections 2.a hereof are owned by Lupa;</w:t>
      </w:r>
    </w:p>
    <w:p>
      <w:pPr>
        <w:spacing w:after="0" w:line="11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On October 31, 2002, Dragon and Wynn entered into that certain Production Services Agreement (as amended to the date hereof, the “</w:t>
      </w:r>
      <w:r>
        <w:rPr>
          <w:rFonts w:ascii="Arial" w:cs="Arial" w:eastAsia="Arial" w:hAnsi="Arial"/>
          <w:sz w:val="18"/>
          <w:szCs w:val="18"/>
          <w:b w:val="1"/>
          <w:bCs w:val="1"/>
          <w:color w:val="auto"/>
        </w:rPr>
        <w:t>Production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Dragon agreed to provide certain services as defined in the Production Services Agreement, on the terms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Services Agreement. The License Agreement and the Production Services Agreement may hereafter be collectively referred to as the “</w:t>
      </w:r>
      <w:r>
        <w:rPr>
          <w:rFonts w:ascii="Arial" w:cs="Arial" w:eastAsia="Arial" w:hAnsi="Arial"/>
          <w:sz w:val="18"/>
          <w:szCs w:val="18"/>
          <w:b w:val="1"/>
          <w:bCs w:val="1"/>
          <w:color w:val="auto"/>
        </w:rPr>
        <w:t>Dragon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Wynn wishes to upgrade/enhance/change the Show.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agreed to terminate the License Agreement and the Production Services Agreement on the terms set forth in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herein contained, the parties agree as follows:</w:t>
      </w:r>
    </w:p>
    <w:p>
      <w:pPr>
        <w:spacing w:after="0" w:line="15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Capitalized Terms.  All capitalized terms used herein and not otherwise defined shall have the meanings given such terms in the Dragon Agreements.</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of Rights.</w:t>
      </w:r>
    </w:p>
    <w:p>
      <w:pPr>
        <w:spacing w:after="0" w:line="157" w:lineRule="exact"/>
        <w:rPr>
          <w:rFonts w:ascii="Arial" w:cs="Arial" w:eastAsia="Arial" w:hAnsi="Arial"/>
          <w:sz w:val="18"/>
          <w:szCs w:val="18"/>
          <w:color w:val="auto"/>
        </w:rPr>
      </w:pPr>
    </w:p>
    <w:p>
      <w:pPr>
        <w:ind w:right="100" w:firstLine="456"/>
        <w:spacing w:after="0" w:line="306" w:lineRule="auto"/>
        <w:rPr>
          <w:rFonts w:ascii="Arial" w:cs="Arial" w:eastAsia="Arial" w:hAnsi="Arial"/>
          <w:sz w:val="18"/>
          <w:szCs w:val="18"/>
          <w:color w:val="auto"/>
        </w:rPr>
      </w:pPr>
      <w:r>
        <w:rPr>
          <w:rFonts w:ascii="Arial" w:cs="Arial" w:eastAsia="Arial" w:hAnsi="Arial"/>
          <w:sz w:val="16"/>
          <w:szCs w:val="16"/>
          <w:color w:val="auto"/>
        </w:rPr>
        <w:t>a. Subject to paragraph f) below, Lupa hereby assigns, transfers and sells to Wynn or its designee all rights of every kind that it holds in and to the Show and all elements thereof in perpetuity, including, without limitation, all rights described in Section 2 of the License Agreement and all intellectual property and moral rights associated with the Show (all intellectual property and moral rights being assigned for the duration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-792480</wp:posOffset>
            </wp:positionV>
            <wp:extent cx="9499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49960" cy="88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-560705</wp:posOffset>
            </wp:positionV>
            <wp:extent cx="9226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22655" cy="8890"/>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5" w:name="page56"/>
    <w:bookmarkEnd w:id="5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as determined by law); provided that Lupa shall not retain any rights to approve the use or exploitation of any such rights. Lupa agrees to execute all such documents that are necessary to effectively transfer ownership of such rights to Wynn.</w:t>
      </w:r>
    </w:p>
    <w:p>
      <w:pPr>
        <w:spacing w:after="0" w:line="118" w:lineRule="exact"/>
        <w:rPr>
          <w:sz w:val="20"/>
          <w:szCs w:val="20"/>
          <w:color w:val="auto"/>
        </w:rPr>
      </w:pPr>
    </w:p>
    <w:p>
      <w:pPr>
        <w:jc w:val="both"/>
        <w:ind w:right="60" w:firstLine="464"/>
        <w:spacing w:after="0" w:line="256" w:lineRule="auto"/>
        <w:tabs>
          <w:tab w:leader="none" w:pos="7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paragraph f) below, Dragon hereby assigns, transfers and sells to Wynn or its designee all rights of every kind that it holds in and to the Show and all elements thereof, including, without limitation all intellectual property and moral rights associated with the Show (all intellectual property and moral rights being assigned for the duration of such rights as determined by law). Dragon agrees to execute all such documents that Wynn may present to Dragon to effectively transfer ownership of such rights to Wynn.</w:t>
      </w:r>
    </w:p>
    <w:p>
      <w:pPr>
        <w:spacing w:after="0" w:line="129" w:lineRule="exact"/>
        <w:rPr>
          <w:rFonts w:ascii="Arial" w:cs="Arial" w:eastAsia="Arial" w:hAnsi="Arial"/>
          <w:sz w:val="18"/>
          <w:szCs w:val="18"/>
          <w:color w:val="auto"/>
        </w:rPr>
      </w:pPr>
    </w:p>
    <w:p>
      <w:pPr>
        <w:ind w:firstLine="464"/>
        <w:spacing w:after="0" w:line="256" w:lineRule="auto"/>
        <w:tabs>
          <w:tab w:leader="none" w:pos="7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paragraph f) below, Franco Dragone hereby assigns, transfers and sells to Wynn or its designee all rights of every kind that he holds in and to the Show and all elements thereof, including, without limitation all intellectual property and moral rights associated with the Show (all intellectual property and moral rights being assigned for the duration of such rights as determined by law). Franco Dragone agrees to execute all such documents that Wynn may present to Franco Dragone to effectively transfer ownership of such rights to Wynn.</w:t>
      </w:r>
    </w:p>
    <w:p>
      <w:pPr>
        <w:spacing w:after="0" w:line="129" w:lineRule="exact"/>
        <w:rPr>
          <w:rFonts w:ascii="Arial" w:cs="Arial" w:eastAsia="Arial" w:hAnsi="Arial"/>
          <w:sz w:val="18"/>
          <w:szCs w:val="18"/>
          <w:color w:val="auto"/>
        </w:rPr>
      </w:pPr>
    </w:p>
    <w:p>
      <w:pPr>
        <w:ind w:right="140" w:firstLine="464"/>
        <w:spacing w:after="0" w:line="254" w:lineRule="auto"/>
        <w:tabs>
          <w:tab w:leader="none" w:pos="7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paragraph f) below, Dragon, Lupa and Franco Dragone agree to acquire and transfer to Wynn all intellectual property and moral rights associated with the Show and all elements thereof for the duration of such rights as determined by law, that are currently held by third party creators (the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Party Conceptors</w:t>
      </w:r>
      <w:r>
        <w:rPr>
          <w:rFonts w:ascii="Arial" w:cs="Arial" w:eastAsia="Arial" w:hAnsi="Arial"/>
          <w:sz w:val="18"/>
          <w:szCs w:val="18"/>
          <w:color w:val="auto"/>
        </w:rPr>
        <w:t>”). Dragon, Lupa and Franco Dragone agree to cause each Third Party Conceptor to assign, transfer and sell to Wynn or its designee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and to the Show owned by each Third Party Conceptor and all elements associated therewith for the duration of such rights as determined by law. For the avoidance of all doubt, Dragon, Lupa and Franco Dragone shall be responsible for payment to the Third Party Conceptors of any fee associated with the transfer of such rights.</w:t>
      </w:r>
    </w:p>
    <w:p>
      <w:pPr>
        <w:spacing w:after="0" w:line="130" w:lineRule="exact"/>
        <w:rPr>
          <w:rFonts w:ascii="Arial" w:cs="Arial" w:eastAsia="Arial" w:hAnsi="Arial"/>
          <w:sz w:val="18"/>
          <w:szCs w:val="18"/>
          <w:color w:val="auto"/>
        </w:rPr>
      </w:pPr>
    </w:p>
    <w:p>
      <w:pPr>
        <w:ind w:right="280" w:firstLine="464"/>
        <w:spacing w:after="0" w:line="255" w:lineRule="auto"/>
        <w:tabs>
          <w:tab w:leader="none" w:pos="7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Wynn undertakes to respect all obligations pursuant to Lupa’s agreements with Third Party Conceptors that relate to recognition/acknowledgement/attribution rights of their work. Lupa shall provide to Wynn the relevant portions of the Third Party Conceptor agreements reflecting these obligations. Wynn further agrees to work with Lupa in good faith to provide accurate information to Lupa regarding which works or not of the Third Party Conceptors are being retained in the new Show as this information becomes available to assist Lupa in fulfilling its ongoing obligations with the Third Party Conceptors.</w:t>
      </w:r>
    </w:p>
    <w:p>
      <w:pPr>
        <w:spacing w:after="0" w:line="129" w:lineRule="exact"/>
        <w:rPr>
          <w:rFonts w:ascii="Arial" w:cs="Arial" w:eastAsia="Arial" w:hAnsi="Arial"/>
          <w:sz w:val="18"/>
          <w:szCs w:val="18"/>
          <w:color w:val="auto"/>
        </w:rPr>
      </w:pPr>
    </w:p>
    <w:p>
      <w:pPr>
        <w:ind w:left="740" w:hanging="27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parties hereto also agree as follows:</w:t>
      </w:r>
    </w:p>
    <w:p>
      <w:pPr>
        <w:spacing w:after="0" w:line="158" w:lineRule="exact"/>
        <w:rPr>
          <w:sz w:val="20"/>
          <w:szCs w:val="20"/>
          <w:color w:val="auto"/>
        </w:rPr>
      </w:pPr>
    </w:p>
    <w:p>
      <w:pPr>
        <w:jc w:val="both"/>
        <w:ind w:right="40" w:firstLine="921"/>
        <w:spacing w:after="0" w:line="256" w:lineRule="auto"/>
        <w:tabs>
          <w:tab w:leader="none" w:pos="1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Wynn acknowledges and agrees that Dragon, Lupa and Franco Dragone shall not be required to assign or transfer any rights to the music (and its lyrics) currently used in the Show, however, Dragon, Lupa and Franco Dragone shall ensure that Wynn has the continued unrestricted right to use the Show music (and its lyrics) in the Show through January 31, 2007. Dragon, Lupa and Franco Dragone shall be responsible to pay all fees associated with the use of the Show music in the Show through January 31,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6" w:name="page57"/>
    <w:bookmarkEnd w:id="56"/>
    <w:p>
      <w:pPr>
        <w:ind w:left="-8" w:firstLine="921"/>
        <w:spacing w:after="0" w:line="332" w:lineRule="auto"/>
        <w:tabs>
          <w:tab w:leader="none" w:pos="1233" w:val="left"/>
        </w:tabs>
        <w:numPr>
          <w:ilvl w:val="2"/>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choreography elements of the Show created by Guiliano Peparini, Dragon, Lupa and Franco Dragone have represented to Wynn that Guiliano Peparini currently receives a royalty of $</w:t>
      </w:r>
      <w:r>
        <w:rPr>
          <w:rFonts w:ascii="Arial" w:cs="Arial" w:eastAsia="Arial" w:hAnsi="Arial"/>
          <w:sz w:val="16"/>
          <w:szCs w:val="16"/>
          <w:b w:val="1"/>
          <w:bCs w:val="1"/>
          <w:color w:val="auto"/>
        </w:rPr>
        <w:t>[ * ]</w:t>
      </w:r>
      <w:r>
        <w:rPr>
          <w:rFonts w:ascii="Arial" w:cs="Arial" w:eastAsia="Arial" w:hAnsi="Arial"/>
          <w:sz w:val="16"/>
          <w:szCs w:val="16"/>
          <w:color w:val="auto"/>
        </w:rPr>
        <w:t xml:space="preserve"> per Show. Wynn will directly assume the delivery of such royalty payment to Guiliano Peparini.</w:t>
      </w:r>
    </w:p>
    <w:p>
      <w:pPr>
        <w:spacing w:after="0" w:line="71" w:lineRule="exact"/>
        <w:rPr>
          <w:rFonts w:ascii="Arial" w:cs="Arial" w:eastAsia="Arial" w:hAnsi="Arial"/>
          <w:sz w:val="16"/>
          <w:szCs w:val="16"/>
          <w:color w:val="auto"/>
        </w:rPr>
      </w:pPr>
    </w:p>
    <w:p>
      <w:pPr>
        <w:ind w:left="-8" w:right="240" w:firstLine="921"/>
        <w:spacing w:after="0" w:line="332" w:lineRule="auto"/>
        <w:tabs>
          <w:tab w:leader="none" w:pos="1282" w:val="left"/>
        </w:tabs>
        <w:numPr>
          <w:ilvl w:val="2"/>
          <w:numId w:val="21"/>
        </w:numPr>
        <w:rPr>
          <w:rFonts w:ascii="Arial" w:cs="Arial" w:eastAsia="Arial" w:hAnsi="Arial"/>
          <w:sz w:val="16"/>
          <w:szCs w:val="16"/>
          <w:color w:val="auto"/>
        </w:rPr>
      </w:pPr>
      <w:r>
        <w:rPr>
          <w:rFonts w:ascii="Arial" w:cs="Arial" w:eastAsia="Arial" w:hAnsi="Arial"/>
          <w:sz w:val="16"/>
          <w:szCs w:val="16"/>
          <w:color w:val="auto"/>
        </w:rPr>
        <w:t>With respect to the aerial act elements of the Show created by Didier Antoine: Dragon, Lupa and Franco Dragone have represented to Wynn that Didier Antoine currently receives a royalty of $</w:t>
      </w:r>
      <w:r>
        <w:rPr>
          <w:rFonts w:ascii="Arial" w:cs="Arial" w:eastAsia="Arial" w:hAnsi="Arial"/>
          <w:sz w:val="16"/>
          <w:szCs w:val="16"/>
          <w:b w:val="1"/>
          <w:bCs w:val="1"/>
          <w:color w:val="auto"/>
        </w:rPr>
        <w:t>[ * ]</w:t>
      </w:r>
      <w:r>
        <w:rPr>
          <w:rFonts w:ascii="Arial" w:cs="Arial" w:eastAsia="Arial" w:hAnsi="Arial"/>
          <w:sz w:val="16"/>
          <w:szCs w:val="16"/>
          <w:color w:val="auto"/>
        </w:rPr>
        <w:t xml:space="preserve"> per Show. Wynn will directly assume the delivery of such royalty payment to Didier Antoine.</w:t>
      </w:r>
    </w:p>
    <w:p>
      <w:pPr>
        <w:spacing w:after="0" w:line="71" w:lineRule="exact"/>
        <w:rPr>
          <w:rFonts w:ascii="Arial" w:cs="Arial" w:eastAsia="Arial" w:hAnsi="Arial"/>
          <w:sz w:val="16"/>
          <w:szCs w:val="16"/>
          <w:color w:val="auto"/>
        </w:rPr>
      </w:pPr>
    </w:p>
    <w:p>
      <w:pPr>
        <w:ind w:left="-8" w:right="220" w:firstLine="921"/>
        <w:spacing w:after="0" w:line="259" w:lineRule="auto"/>
        <w:tabs>
          <w:tab w:leader="none" w:pos="1272" w:val="left"/>
        </w:tabs>
        <w:numPr>
          <w:ilvl w:val="2"/>
          <w:numId w:val="21"/>
        </w:numPr>
        <w:rPr>
          <w:rFonts w:ascii="Arial" w:cs="Arial" w:eastAsia="Arial" w:hAnsi="Arial"/>
          <w:sz w:val="18"/>
          <w:szCs w:val="18"/>
          <w:color w:val="auto"/>
        </w:rPr>
      </w:pPr>
      <w:r>
        <w:rPr>
          <w:rFonts w:ascii="Arial" w:cs="Arial" w:eastAsia="Arial" w:hAnsi="Arial"/>
          <w:sz w:val="18"/>
          <w:szCs w:val="18"/>
          <w:color w:val="auto"/>
        </w:rPr>
        <w:t>With respect to the synchro swimming elements of the show created by Dasha Nedorezova, Dragon, Lupa and Franco Dragone have represented to Wynn that Dasha Nedorezova currently receives a royalty of $</w:t>
      </w:r>
      <w:r>
        <w:rPr>
          <w:rFonts w:ascii="Arial" w:cs="Arial" w:eastAsia="Arial" w:hAnsi="Arial"/>
          <w:sz w:val="18"/>
          <w:szCs w:val="18"/>
          <w:b w:val="1"/>
          <w:bCs w:val="1"/>
          <w:color w:val="auto"/>
        </w:rPr>
        <w:t>[ * ]</w:t>
      </w:r>
      <w:r>
        <w:rPr>
          <w:rFonts w:ascii="Arial" w:cs="Arial" w:eastAsia="Arial" w:hAnsi="Arial"/>
          <w:sz w:val="18"/>
          <w:szCs w:val="18"/>
          <w:color w:val="auto"/>
        </w:rPr>
        <w:t xml:space="preserve"> per Show. Wynn will directly assume the delivery of such royalty payment to Dasha Nedorezova.</w:t>
      </w:r>
    </w:p>
    <w:p>
      <w:pPr>
        <w:spacing w:after="0" w:line="126" w:lineRule="exact"/>
        <w:rPr>
          <w:rFonts w:ascii="Arial" w:cs="Arial" w:eastAsia="Arial" w:hAnsi="Arial"/>
          <w:sz w:val="18"/>
          <w:szCs w:val="18"/>
          <w:color w:val="auto"/>
        </w:rPr>
      </w:pPr>
    </w:p>
    <w:p>
      <w:pPr>
        <w:ind w:left="-8" w:firstLine="464"/>
        <w:spacing w:after="0" w:line="255" w:lineRule="auto"/>
        <w:tabs>
          <w:tab w:leader="none" w:pos="75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Dragon, Lupa and Franco Dragone further represent and warrant that they are not aware of any material intellectual property or moral rights associated with the Show or otherwise necessary for the performance of the Show that will not be owned by Wynn upon the execution of this Agreement and the delivery of the Purchase Price, except as otherwise described in this Section 2. Dragon, Lupa and Franco Dragone do hereby agree to execute and deliver to Wynn any documents reasonably requested by Wynn to effectively transfer the intellectual property rights purchase by Wynn as more fully described in Sections 2.a, 2.b, 2.c and 2.d.</w:t>
      </w:r>
    </w:p>
    <w:p>
      <w:pPr>
        <w:spacing w:after="0" w:line="129" w:lineRule="exact"/>
        <w:rPr>
          <w:rFonts w:ascii="Arial" w:cs="Arial" w:eastAsia="Arial" w:hAnsi="Arial"/>
          <w:sz w:val="18"/>
          <w:szCs w:val="18"/>
          <w:color w:val="auto"/>
        </w:rPr>
      </w:pPr>
    </w:p>
    <w:p>
      <w:pPr>
        <w:ind w:left="-8" w:right="40" w:firstLine="8"/>
        <w:spacing w:after="0" w:line="288" w:lineRule="auto"/>
        <w:tabs>
          <w:tab w:leader="none" w:pos="29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On-Going Services. Dragon agrees that through January 31, 2007, Dragon and Lupa shall continue to provide to Wynn all services currently provided by Dragon and Lupa including but not limited to those services listed on Schedule A attached hereto on the same payment basis as in effect on the date hereof. Dragon and Lupa shall also receive ongoing compensation equal to the royalty payment and profit sharing referred to under the Dragon Agreements calculated in the manner as of the date hereof (i.e. the modified fee calculation agreed upon by the parties in May 2005). The parties agree that all provisions of the Dragon Agreements relating to such compensation including those in connection with the examination of books and records and budgetary approvals are hereby incorporated herein and will be deemed applicable and enforceable between the parties until January 31, 2007. For the avoidance of doubt, Dragon, Lupa and Franco Dragone shall have no obligation to provide any services in connection with modifications made to the Show; provided however, Dragon and Lupa and Franco Dragone agree to assist Wynn with maintaining the visa statuses and other immigration requirements of the artists through the current expiration dates of the such visas and not take any action adverse to the visa statuses of the artists.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-1144270</wp:posOffset>
            </wp:positionV>
            <wp:extent cx="9690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left="-8" w:right="580" w:firstLine="8"/>
        <w:spacing w:after="0" w:line="268" w:lineRule="auto"/>
        <w:tabs>
          <w:tab w:leader="none" w:pos="1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has been omitted based on a request for confidential treatment. The omitted portions have been separately filed with the Securities and Exchange Commission.</w:t>
      </w:r>
    </w:p>
    <w:p>
      <w:pPr>
        <w:sectPr>
          <w:pgSz w:w="11900" w:h="16838" w:orient="portrait"/>
          <w:cols w:equalWidth="0" w:num="1">
            <w:col w:w="11392"/>
          </w:cols>
          <w:pgMar w:left="248" w:top="280" w:right="259" w:bottom="1440" w:gutter="0" w:footer="0" w:header="0"/>
        </w:sectPr>
      </w:pPr>
    </w:p>
    <w:bookmarkStart w:id="57" w:name="page58"/>
    <w:bookmarkEnd w:id="57"/>
    <w:p>
      <w:pPr>
        <w:jc w:val="both"/>
        <w:ind w:right="260" w:firstLine="8"/>
        <w:spacing w:after="0" w:line="256"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Price</w:t>
      </w:r>
      <w:r>
        <w:rPr>
          <w:rFonts w:ascii="Arial" w:cs="Arial" w:eastAsia="Arial" w:hAnsi="Arial"/>
          <w:sz w:val="18"/>
          <w:szCs w:val="18"/>
          <w:color w:val="auto"/>
        </w:rPr>
        <w:t>. Upon the execution and delivery of this Agreement, Wynn irrevocably agrees to make a payment to Lupa in the amount of $15,871,952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amount shall represent the entire amount due for the purchase assignment or conveyances of the rights set forth in Section 2 and the repayment of all unreimbursed excess production costs. If this Agreement is not executed by Lupa and Dragon by May 31, 2006, Wynn shall have the right to terminate this Agreement.</w:t>
      </w:r>
    </w:p>
    <w:p>
      <w:pPr>
        <w:spacing w:after="0" w:line="129" w:lineRule="exact"/>
        <w:rPr>
          <w:rFonts w:ascii="Arial" w:cs="Arial" w:eastAsia="Arial" w:hAnsi="Arial"/>
          <w:sz w:val="18"/>
          <w:szCs w:val="18"/>
          <w:color w:val="auto"/>
        </w:rPr>
      </w:pPr>
    </w:p>
    <w:p>
      <w:pPr>
        <w:ind w:right="40" w:firstLine="8"/>
        <w:spacing w:after="0" w:line="306"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Subject to Section 3 hereof, the parties agree that upon payment by Wynn of the Purchase Price, the Dragon Agreements shall terminate and be of no further force or effect. Other than as provided herein, from and after the Termination Date, neither Lupa nor Dragon shall have any right under the Dragon Agreements, nor shall they be entitled to any payments thereunder except as provided under Section 3 hereof.</w:t>
      </w:r>
    </w:p>
    <w:p>
      <w:pPr>
        <w:spacing w:after="0" w:line="93" w:lineRule="exact"/>
        <w:rPr>
          <w:rFonts w:ascii="Arial" w:cs="Arial" w:eastAsia="Arial" w:hAnsi="Arial"/>
          <w:sz w:val="16"/>
          <w:szCs w:val="16"/>
          <w:color w:val="auto"/>
        </w:rPr>
      </w:pPr>
    </w:p>
    <w:p>
      <w:pPr>
        <w:ind w:right="300" w:firstLine="8"/>
        <w:spacing w:after="0" w:line="332"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Other than as required by applicable securities and other laws and as provided hereby, the parties agree that the terms and provisions of this Agreement are confidential and shall not be disclosed to any third party. The parties also agree not to disparage one another or the Show.</w:t>
      </w:r>
    </w:p>
    <w:p>
      <w:pPr>
        <w:spacing w:after="0" w:line="71" w:lineRule="exact"/>
        <w:rPr>
          <w:rFonts w:ascii="Arial" w:cs="Arial" w:eastAsia="Arial" w:hAnsi="Arial"/>
          <w:sz w:val="16"/>
          <w:szCs w:val="16"/>
          <w:color w:val="auto"/>
        </w:rPr>
      </w:pPr>
    </w:p>
    <w:p>
      <w:pPr>
        <w:ind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Agreement Expiration</w:t>
      </w:r>
      <w:r>
        <w:rPr>
          <w:rFonts w:ascii="Arial" w:cs="Arial" w:eastAsia="Arial" w:hAnsi="Arial"/>
          <w:sz w:val="18"/>
          <w:szCs w:val="18"/>
          <w:color w:val="auto"/>
        </w:rPr>
        <w:t>. If this Agreement is not executed and delivered by all parties by May 31, 2006 the offer and terms of this Agreement shall automatically terminate and cease and be of no further force of effect.</w:t>
      </w:r>
    </w:p>
    <w:p>
      <w:pPr>
        <w:spacing w:after="0" w:line="118" w:lineRule="exact"/>
        <w:rPr>
          <w:rFonts w:ascii="Arial" w:cs="Arial" w:eastAsia="Arial" w:hAnsi="Arial"/>
          <w:sz w:val="18"/>
          <w:szCs w:val="18"/>
          <w:color w:val="auto"/>
        </w:rPr>
      </w:pPr>
    </w:p>
    <w:p>
      <w:pPr>
        <w:ind w:right="10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Communication Strategy</w:t>
      </w:r>
      <w:r>
        <w:rPr>
          <w:rFonts w:ascii="Arial" w:cs="Arial" w:eastAsia="Arial" w:hAnsi="Arial"/>
          <w:sz w:val="18"/>
          <w:szCs w:val="18"/>
          <w:color w:val="auto"/>
        </w:rPr>
        <w:t>. Wynn and Franco Dragone agree that, subject to Wynn public disclosure obligations, Wynn and Franco Dragone shall coordinate on the development and delivery of a mutually acceptable communication of the matters covered by this Agreement.</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be assigned by any of the parties to a related or affiliated entity, without the prior consent of the other party.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In witness whereof, the undersigned have set their hands to this Agreement as of the date first written above.</w:t>
            </w:r>
          </w:p>
        </w:tc>
        <w:tc>
          <w:tcPr>
            <w:tcW w:w="0" w:type="dxa"/>
            <w:vAlign w:val="bottom"/>
          </w:tcPr>
          <w:p>
            <w:pPr>
              <w:spacing w:after="0"/>
              <w:rPr>
                <w:sz w:val="1"/>
                <w:szCs w:val="1"/>
                <w:color w:val="auto"/>
              </w:rPr>
            </w:pPr>
          </w:p>
        </w:tc>
      </w:tr>
      <w:tr>
        <w:trPr>
          <w:trHeight w:val="365"/>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560" w:type="dxa"/>
            <w:vAlign w:val="bottom"/>
          </w:tcPr>
          <w:p>
            <w:pPr>
              <w:spacing w:after="0"/>
              <w:rPr>
                <w:sz w:val="24"/>
                <w:szCs w:val="24"/>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Productions Du Dragon, S.A.</w:t>
            </w:r>
          </w:p>
        </w:tc>
        <w:tc>
          <w:tcPr>
            <w:tcW w:w="0" w:type="dxa"/>
            <w:vAlign w:val="bottom"/>
          </w:tcPr>
          <w:p>
            <w:pPr>
              <w:spacing w:after="0"/>
              <w:rPr>
                <w:sz w:val="1"/>
                <w:szCs w:val="1"/>
                <w:color w:val="auto"/>
              </w:rPr>
            </w:pPr>
          </w:p>
        </w:tc>
      </w:tr>
      <w:tr>
        <w:trPr>
          <w:trHeight w:val="43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120"/>
              <w:spacing w:after="0"/>
              <w:rPr>
                <w:sz w:val="20"/>
                <w:szCs w:val="20"/>
                <w:color w:val="auto"/>
              </w:rPr>
            </w:pPr>
            <w:r>
              <w:rPr>
                <w:rFonts w:ascii="Arial" w:cs="Arial" w:eastAsia="Arial" w:hAnsi="Arial"/>
                <w:sz w:val="18"/>
                <w:szCs w:val="18"/>
                <w:color w:val="auto"/>
              </w:rPr>
              <w:t>/s/ David Sisk</w:t>
            </w:r>
          </w:p>
        </w:tc>
        <w:tc>
          <w:tcPr>
            <w:tcW w:w="560" w:type="dxa"/>
            <w:vAlign w:val="bottom"/>
          </w:tcPr>
          <w:p>
            <w:pPr>
              <w:spacing w:after="0"/>
              <w:rPr>
                <w:sz w:val="24"/>
                <w:szCs w:val="24"/>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color w:val="auto"/>
              </w:rPr>
              <w:t>By:   /s/ Louis Parenteau</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6"/>
                <w:szCs w:val="16"/>
                <w:color w:val="auto"/>
                <w:w w:val="72"/>
              </w:rPr>
              <w:t>Name:</w:t>
            </w:r>
          </w:p>
        </w:tc>
        <w:tc>
          <w:tcPr>
            <w:tcW w:w="5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0" w:type="dxa"/>
            <w:vAlign w:val="bottom"/>
            <w:vMerge w:val="continue"/>
          </w:tcPr>
          <w:p>
            <w:pPr>
              <w:spacing w:after="0"/>
              <w:rPr>
                <w:sz w:val="17"/>
                <w:szCs w:val="17"/>
                <w:color w:val="auto"/>
              </w:rPr>
            </w:pPr>
          </w:p>
        </w:tc>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David Sisk</w:t>
            </w:r>
          </w:p>
        </w:tc>
        <w:tc>
          <w:tcPr>
            <w:tcW w:w="560" w:type="dxa"/>
            <w:vAlign w:val="bottom"/>
          </w:tcPr>
          <w:p>
            <w:pPr>
              <w:spacing w:after="0"/>
              <w:rPr>
                <w:sz w:val="17"/>
                <w:szCs w:val="17"/>
                <w:color w:val="auto"/>
              </w:rPr>
            </w:pPr>
          </w:p>
        </w:tc>
        <w:tc>
          <w:tcPr>
            <w:tcW w:w="5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Name: Louis Parenteau</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Title: CFO</w:t>
            </w:r>
          </w:p>
        </w:tc>
        <w:tc>
          <w:tcPr>
            <w:tcW w:w="560" w:type="dxa"/>
            <w:vAlign w:val="bottom"/>
          </w:tcPr>
          <w:p>
            <w:pPr>
              <w:spacing w:after="0"/>
              <w:rPr>
                <w:sz w:val="19"/>
                <w:szCs w:val="19"/>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color w:val="auto"/>
              </w:rPr>
              <w:t>Title: President</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Lupa International Inc.</w:t>
            </w:r>
          </w:p>
        </w:tc>
        <w:tc>
          <w:tcPr>
            <w:tcW w:w="560" w:type="dxa"/>
            <w:vAlign w:val="bottom"/>
          </w:tcPr>
          <w:p>
            <w:pPr>
              <w:spacing w:after="0"/>
              <w:rPr>
                <w:sz w:val="24"/>
                <w:szCs w:val="24"/>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b w:val="1"/>
                <w:bCs w:val="1"/>
                <w:color w:val="auto"/>
              </w:rPr>
              <w:t>Franco Dragone</w:t>
            </w:r>
          </w:p>
        </w:tc>
        <w:tc>
          <w:tcPr>
            <w:tcW w:w="0" w:type="dxa"/>
            <w:vAlign w:val="bottom"/>
          </w:tcPr>
          <w:p>
            <w:pPr>
              <w:spacing w:after="0"/>
              <w:rPr>
                <w:sz w:val="1"/>
                <w:szCs w:val="1"/>
                <w:color w:val="auto"/>
              </w:rPr>
            </w:pPr>
          </w:p>
        </w:tc>
      </w:tr>
      <w:tr>
        <w:trPr>
          <w:trHeight w:val="43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Austin L. Sealy</w:t>
            </w:r>
          </w:p>
        </w:tc>
        <w:tc>
          <w:tcPr>
            <w:tcW w:w="560" w:type="dxa"/>
            <w:vAlign w:val="bottom"/>
          </w:tcPr>
          <w:p>
            <w:pPr>
              <w:spacing w:after="0"/>
              <w:rPr>
                <w:sz w:val="24"/>
                <w:szCs w:val="24"/>
                <w:color w:val="auto"/>
              </w:rPr>
            </w:pPr>
          </w:p>
        </w:tc>
        <w:tc>
          <w:tcPr>
            <w:tcW w:w="54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Franco Dragone</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Austin L. Sealy</w:t>
            </w:r>
          </w:p>
        </w:tc>
        <w:tc>
          <w:tcPr>
            <w:tcW w:w="560" w:type="dxa"/>
            <w:vAlign w:val="bottom"/>
          </w:tcPr>
          <w:p>
            <w:pPr>
              <w:spacing w:after="0"/>
              <w:rPr>
                <w:sz w:val="17"/>
                <w:szCs w:val="17"/>
                <w:color w:val="auto"/>
              </w:rPr>
            </w:pPr>
          </w:p>
        </w:tc>
        <w:tc>
          <w:tcPr>
            <w:tcW w:w="5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Franco Dragone</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Title: Authorized Signatory</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INTERVENTION: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Intervening herein is Calitri Services and Licensing Limited Liability Company who hereby declares, represents and warrants and confirms that (i) the License Agreement has been transferred and assigned to Lupa International Inc. and (ii) all of the rights mentioned in Section 2.a of this Agreement are effectively owned by Lupa International Inc. as of the date of execution of this Agreement and that Calitri Services and Licensing Limited Liability Company is a third party beneficiary of this Agreement and (iii) it has transferred, assigned, sold and conveyed to Lupa International Inc. all the intellectual property and moral rights it possessed and held, of every kind, in and to the Show and all the elements thereof without limitation or reserve and that Lupa International Inc. possesses good clear and unrestricted title and ownership to same and may convey and transfer such rights to Wynn Las Vegas or its designee without a reserve, reservation of rights or limitation and (iv) with the exception of the rights to the music and lyrics referred to in Section 2.f(i), Lupa is not aware of any material intellectual property or moral rights associated with the Show or otherwise necessary for the performance of the Show owned or held by any third party other than Wynn Las Vegas.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Calitri Services and Licensing Limited Liability Company</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Austin L.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26073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Austin L. Sealy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83" w:lineRule="exact"/>
        <w:rPr>
          <w:sz w:val="20"/>
          <w:szCs w:val="20"/>
          <w:color w:val="auto"/>
        </w:rPr>
      </w:pPr>
    </w:p>
    <w:p>
      <w:pPr>
        <w:ind w:left="520" w:hanging="444"/>
        <w:spacing w:after="0"/>
        <w:tabs>
          <w:tab w:leader="none" w:pos="5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Continue to provide artistic direction and coordination as required and agreed to by Wynn.</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Continue to provide costumes, costume pieces and costume related items as requested and ordered by Wynn.</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Continue to provide artist audition and replacement services as required and agreed to by Wynn.</w:t>
      </w:r>
    </w:p>
    <w:p>
      <w:pPr>
        <w:spacing w:after="0" w:line="103" w:lineRule="exact"/>
        <w:rPr>
          <w:rFonts w:ascii="Arial" w:cs="Arial" w:eastAsia="Arial" w:hAnsi="Arial"/>
          <w:sz w:val="18"/>
          <w:szCs w:val="18"/>
          <w:color w:val="auto"/>
        </w:rPr>
      </w:pPr>
    </w:p>
    <w:p>
      <w:pPr>
        <w:ind w:left="500" w:hanging="451"/>
        <w:spacing w:after="0" w:line="26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audition and review potential replacement artists (Americas, Canadian and European) and provide Wynn with a list of these artists that includes all specifics.</w:t>
      </w:r>
    </w:p>
    <w:p>
      <w:pPr>
        <w:spacing w:after="0" w:line="37" w:lineRule="exact"/>
        <w:rPr>
          <w:rFonts w:ascii="Arial" w:cs="Arial" w:eastAsia="Arial" w:hAnsi="Arial"/>
          <w:sz w:val="18"/>
          <w:szCs w:val="18"/>
          <w:color w:val="auto"/>
        </w:rPr>
      </w:pPr>
    </w:p>
    <w:p>
      <w:pPr>
        <w:ind w:left="500" w:hanging="438"/>
        <w:spacing w:after="0"/>
        <w:tabs>
          <w:tab w:leader="none" w:pos="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Continue to provide any and all production and technical assistant as requested and agreed to by Wynn.</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Continue to provide marketing and publicity consultation, input and assistance as requested and agreed to by Wynn.</w:t>
      </w:r>
    </w:p>
    <w:p>
      <w:pPr>
        <w:spacing w:after="0" w:line="103" w:lineRule="exact"/>
        <w:rPr>
          <w:rFonts w:ascii="Arial" w:cs="Arial" w:eastAsia="Arial" w:hAnsi="Arial"/>
          <w:sz w:val="18"/>
          <w:szCs w:val="18"/>
          <w:color w:val="auto"/>
        </w:rPr>
      </w:pPr>
    </w:p>
    <w:p>
      <w:pPr>
        <w:ind w:left="500" w:hanging="451"/>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Assist in maintaining Visa status and requirements for the artists as requested by Wynn until such time as the current visas expire.</w:t>
      </w:r>
    </w:p>
    <w:p>
      <w:pPr>
        <w:spacing w:after="0" w:line="20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240" w:top="274" w:right="8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FOR GUARANTEED MAXIMUM PRICE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CONSTRUCTION SERVICES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ORDER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June 2006</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Order No.: 11</w:t>
      </w:r>
    </w:p>
    <w:p>
      <w:pPr>
        <w:spacing w:after="0" w:line="14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xml:space="preserve">That certain </w:t>
      </w:r>
      <w:r>
        <w:rPr>
          <w:rFonts w:ascii="Arial" w:cs="Arial" w:eastAsia="Arial" w:hAnsi="Arial"/>
          <w:sz w:val="16"/>
          <w:szCs w:val="16"/>
          <w:b w:val="1"/>
          <w:bCs w:val="1"/>
          <w:color w:val="auto"/>
        </w:rPr>
        <w:t>Agreement for Guaranteed Maximum Price Construction Services between Owner and Contractor for Wynn Las Vegas (“Project”)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xml:space="preserve"> is hereby modified as follows:</w:t>
      </w:r>
    </w:p>
    <w:p>
      <w:pPr>
        <w:spacing w:after="0" w:line="28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Initial capitalized terms not otherwise defined in this Change Order shall have the meanings attributed to such terms in the Contract.</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96" w:lineRule="exact"/>
        <w:rPr>
          <w:rFonts w:ascii="Arial" w:cs="Arial" w:eastAsia="Arial" w:hAnsi="Arial"/>
          <w:sz w:val="18"/>
          <w:szCs w:val="18"/>
          <w:b w:val="1"/>
          <w:bCs w:val="1"/>
          <w:color w:val="auto"/>
        </w:rPr>
      </w:pPr>
    </w:p>
    <w:p>
      <w:pPr>
        <w:jc w:val="both"/>
        <w:ind w:left="460"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provided in Section 15.1.1 of the Contract, the Owner, at its sole expense, implemented an Owner Controlled Insurance Program (OCIP) to furnish certain insurance coverages with respect to the on-Site activities of the Contractor and Subcontractors. The OCIP was established for the benefit of the Owner and Contractor and Subcontractors of all tiers who have performed Work on-Site.</w:t>
      </w:r>
    </w:p>
    <w:p>
      <w:pPr>
        <w:spacing w:after="0" w:line="59"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original Guaranteed Maximum Price in the Contract reflected a credit of $18,000,000.00, based upon the parties’ best efforts to estimate the construction cost savings to be realized as a result of the Owner’s furnishing of the insurance coverages provided under the OCIP. Based on Change Orders No. 4 &amp; 5, the amount of the credit for projected savings for the OCIP was increased from $18,000,000 to $19,867,980.</w:t>
      </w:r>
    </w:p>
    <w:p>
      <w:pPr>
        <w:spacing w:after="0" w:line="25" w:lineRule="exact"/>
        <w:rPr>
          <w:rFonts w:ascii="Arial" w:cs="Arial" w:eastAsia="Arial" w:hAnsi="Arial"/>
          <w:sz w:val="18"/>
          <w:szCs w:val="18"/>
          <w:b w:val="1"/>
          <w:bCs w:val="1"/>
          <w:color w:val="auto"/>
        </w:rPr>
      </w:pPr>
    </w:p>
    <w:p>
      <w:pPr>
        <w:ind w:left="4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Section 15.1.3 of the Contract provides that at the end of the Project, prior to Final Payment, the Guaranteed Maximum Price will be adjusted as a result of any variance between the actual savings amount and projected savings established by the foregoing credit amount, pursuant to an OCIP audit.</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12.2.1.16 of the Contract requires that as a condition to Final Payment and Final Completion, an OCIP audit be prepared and reasonably approved by Owner which reflects the actual savings amount from the OCIP.</w:t>
      </w:r>
    </w:p>
    <w:p>
      <w:pPr>
        <w:spacing w:after="0" w:line="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Contractor having achieved Final Completion for all Work areas covered by the OCIP, an OCIP audit was conducted by the OCIP Administrator and Contractor and Owner have agreed upon the results of the OCIP audit. Owner and Contractor agree that based upon the OCIP audit, the actual savings amount for the OCIP is $24,236,418.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level recap of the results of the OCIP Audit: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Project</w:t>
            </w:r>
          </w:p>
        </w:tc>
        <w:tc>
          <w:tcPr>
            <w:tcW w:w="3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MCA</w:t>
            </w:r>
          </w:p>
        </w:tc>
        <w:tc>
          <w:tcPr>
            <w:tcW w:w="0" w:type="dxa"/>
            <w:vAlign w:val="bottom"/>
          </w:tcPr>
          <w:p>
            <w:pPr>
              <w:spacing w:after="0"/>
              <w:rPr>
                <w:sz w:val="1"/>
                <w:szCs w:val="1"/>
                <w:color w:val="auto"/>
              </w:rPr>
            </w:pPr>
          </w:p>
        </w:tc>
      </w:tr>
      <w:tr>
        <w:trPr>
          <w:trHeight w:val="148"/>
        </w:trPr>
        <w:tc>
          <w:tcPr>
            <w:tcW w:w="4400" w:type="dxa"/>
            <w:vAlign w:val="bottom"/>
            <w:gridSpan w:val="2"/>
            <w:vMerge w:val="continue"/>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Job Number</w:t>
            </w:r>
          </w:p>
        </w:tc>
        <w:tc>
          <w:tcPr>
            <w:tcW w:w="102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8"/>
              </w:rPr>
              <w:t>OCIP Deduction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Master Plan</w:t>
            </w:r>
          </w:p>
        </w:tc>
        <w:tc>
          <w:tcPr>
            <w:tcW w:w="3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100-00-000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Highrise</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100-01-000</w:t>
            </w:r>
          </w:p>
        </w:tc>
        <w:tc>
          <w:tcPr>
            <w:tcW w:w="960" w:type="dxa"/>
            <w:vAlign w:val="bottom"/>
          </w:tcPr>
          <w:p>
            <w:pPr>
              <w:jc w:val="right"/>
              <w:spacing w:after="0"/>
              <w:rPr>
                <w:sz w:val="20"/>
                <w:szCs w:val="20"/>
                <w:color w:val="auto"/>
              </w:rPr>
            </w:pPr>
            <w:r>
              <w:rPr>
                <w:rFonts w:ascii="Arial" w:cs="Arial" w:eastAsia="Arial" w:hAnsi="Arial"/>
                <w:sz w:val="18"/>
                <w:szCs w:val="18"/>
                <w:color w:val="auto"/>
              </w:rPr>
              <w:t>7,075,375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Lowrise Master Plan</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100-02-000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Area 1</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100-02-100</w:t>
            </w:r>
          </w:p>
        </w:tc>
        <w:tc>
          <w:tcPr>
            <w:tcW w:w="960" w:type="dxa"/>
            <w:vAlign w:val="bottom"/>
          </w:tcPr>
          <w:p>
            <w:pPr>
              <w:jc w:val="right"/>
              <w:spacing w:after="0"/>
              <w:rPr>
                <w:sz w:val="20"/>
                <w:szCs w:val="20"/>
                <w:color w:val="auto"/>
              </w:rPr>
            </w:pPr>
            <w:r>
              <w:rPr>
                <w:rFonts w:ascii="Arial" w:cs="Arial" w:eastAsia="Arial" w:hAnsi="Arial"/>
                <w:sz w:val="18"/>
                <w:szCs w:val="18"/>
                <w:color w:val="auto"/>
              </w:rPr>
              <w:t>2,518,466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Area 2</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100-02-200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Area 3</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100-02-300</w:t>
            </w:r>
          </w:p>
        </w:tc>
        <w:tc>
          <w:tcPr>
            <w:tcW w:w="960" w:type="dxa"/>
            <w:vAlign w:val="bottom"/>
          </w:tcPr>
          <w:p>
            <w:pPr>
              <w:jc w:val="right"/>
              <w:spacing w:after="0"/>
              <w:rPr>
                <w:sz w:val="20"/>
                <w:szCs w:val="20"/>
                <w:color w:val="auto"/>
              </w:rPr>
            </w:pPr>
            <w:r>
              <w:rPr>
                <w:rFonts w:ascii="Arial" w:cs="Arial" w:eastAsia="Arial" w:hAnsi="Arial"/>
                <w:sz w:val="18"/>
                <w:szCs w:val="18"/>
                <w:color w:val="auto"/>
              </w:rPr>
              <w:t>3,457,128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Area 4</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100-02-400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Area 6</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100-02-500</w:t>
            </w:r>
          </w:p>
        </w:tc>
        <w:tc>
          <w:tcPr>
            <w:tcW w:w="960" w:type="dxa"/>
            <w:vAlign w:val="bottom"/>
          </w:tcPr>
          <w:p>
            <w:pPr>
              <w:jc w:val="right"/>
              <w:spacing w:after="0"/>
              <w:rPr>
                <w:sz w:val="20"/>
                <w:szCs w:val="20"/>
                <w:color w:val="auto"/>
              </w:rPr>
            </w:pPr>
            <w:r>
              <w:rPr>
                <w:rFonts w:ascii="Arial" w:cs="Arial" w:eastAsia="Arial" w:hAnsi="Arial"/>
                <w:sz w:val="18"/>
                <w:szCs w:val="18"/>
                <w:color w:val="auto"/>
              </w:rPr>
              <w:t>369,471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Aqua Theater</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100-03-000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Site Improvements</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100-06-000</w:t>
            </w:r>
          </w:p>
        </w:tc>
        <w:tc>
          <w:tcPr>
            <w:tcW w:w="960" w:type="dxa"/>
            <w:vAlign w:val="bottom"/>
          </w:tcPr>
          <w:p>
            <w:pPr>
              <w:jc w:val="right"/>
              <w:spacing w:after="0"/>
              <w:rPr>
                <w:sz w:val="20"/>
                <w:szCs w:val="20"/>
                <w:color w:val="auto"/>
              </w:rPr>
            </w:pPr>
            <w:r>
              <w:rPr>
                <w:rFonts w:ascii="Arial" w:cs="Arial" w:eastAsia="Arial" w:hAnsi="Arial"/>
                <w:sz w:val="18"/>
                <w:szCs w:val="18"/>
                <w:color w:val="auto"/>
              </w:rPr>
              <w:t>749,829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Lake Feature</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100-07-000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Villas</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100-08-000</w:t>
            </w:r>
          </w:p>
        </w:tc>
        <w:tc>
          <w:tcPr>
            <w:tcW w:w="960" w:type="dxa"/>
            <w:vAlign w:val="bottom"/>
          </w:tcPr>
          <w:p>
            <w:pPr>
              <w:jc w:val="right"/>
              <w:spacing w:after="0"/>
              <w:rPr>
                <w:sz w:val="20"/>
                <w:szCs w:val="20"/>
                <w:color w:val="auto"/>
              </w:rPr>
            </w:pPr>
            <w:r>
              <w:rPr>
                <w:rFonts w:ascii="Arial" w:cs="Arial" w:eastAsia="Arial" w:hAnsi="Arial"/>
                <w:sz w:val="18"/>
                <w:szCs w:val="18"/>
                <w:color w:val="auto"/>
              </w:rPr>
              <w:t>932,917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Fairway Suites</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100-09-000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Fairway Villas Expansion</w:t>
            </w:r>
          </w:p>
        </w:tc>
        <w:tc>
          <w:tcPr>
            <w:tcW w:w="5080" w:type="dxa"/>
            <w:vAlign w:val="bottom"/>
            <w:gridSpan w:val="4"/>
          </w:tcPr>
          <w:p>
            <w:pPr>
              <w:jc w:val="center"/>
              <w:ind w:left="3332"/>
              <w:spacing w:after="0"/>
              <w:rPr>
                <w:sz w:val="20"/>
                <w:szCs w:val="20"/>
                <w:color w:val="auto"/>
              </w:rPr>
            </w:pPr>
            <w:r>
              <w:rPr>
                <w:rFonts w:ascii="Arial" w:cs="Arial" w:eastAsia="Arial" w:hAnsi="Arial"/>
                <w:sz w:val="18"/>
                <w:szCs w:val="18"/>
                <w:color w:val="auto"/>
                <w:w w:val="89"/>
              </w:rPr>
              <w:t>120-03-000</w:t>
            </w:r>
          </w:p>
        </w:tc>
        <w:tc>
          <w:tcPr>
            <w:tcW w:w="960" w:type="dxa"/>
            <w:vAlign w:val="bottom"/>
          </w:tcPr>
          <w:p>
            <w:pPr>
              <w:jc w:val="right"/>
              <w:spacing w:after="0"/>
              <w:rPr>
                <w:sz w:val="20"/>
                <w:szCs w:val="20"/>
                <w:color w:val="auto"/>
              </w:rPr>
            </w:pPr>
            <w:r>
              <w:rPr>
                <w:rFonts w:ascii="Arial" w:cs="Arial" w:eastAsia="Arial" w:hAnsi="Arial"/>
                <w:sz w:val="18"/>
                <w:szCs w:val="18"/>
                <w:color w:val="auto"/>
              </w:rPr>
              <w:t>497,583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Showroom #1</w:t>
            </w:r>
          </w:p>
        </w:tc>
        <w:tc>
          <w:tcPr>
            <w:tcW w:w="5080" w:type="dxa"/>
            <w:vAlign w:val="bottom"/>
            <w:gridSpan w:val="4"/>
            <w:shd w:val="clear" w:color="auto" w:fill="CCEEFF"/>
          </w:tcPr>
          <w:p>
            <w:pPr>
              <w:jc w:val="center"/>
              <w:ind w:left="3332"/>
              <w:spacing w:after="0"/>
              <w:rPr>
                <w:sz w:val="20"/>
                <w:szCs w:val="20"/>
                <w:color w:val="auto"/>
              </w:rPr>
            </w:pPr>
            <w:r>
              <w:rPr>
                <w:rFonts w:ascii="Arial" w:cs="Arial" w:eastAsia="Arial" w:hAnsi="Arial"/>
                <w:sz w:val="18"/>
                <w:szCs w:val="18"/>
                <w:color w:val="auto"/>
                <w:w w:val="89"/>
              </w:rPr>
              <w:t>120-05-000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Revised MCA OCIP Deduction</w:t>
            </w: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26,236,418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Mutually Agreed Upon Credit Adjustments</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Total MCA OCIP Deduction</w:t>
            </w:r>
          </w:p>
        </w:tc>
        <w:tc>
          <w:tcPr>
            <w:tcW w:w="3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24,236,418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Credits Taken:</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Original Contract</w:t>
            </w: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Order #4 – Showroom Addition</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Change Order #5 – Lake/Mountain</w:t>
            </w: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OCIP Credits</w:t>
            </w:r>
          </w:p>
        </w:tc>
        <w:tc>
          <w:tcPr>
            <w:tcW w:w="3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GMP Credit / Final OCIP Adjustment</w:t>
            </w: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20" w:type="dxa"/>
            <w:vAlign w:val="bottom"/>
            <w:vMerge w:val="restart"/>
          </w:tcPr>
          <w:p>
            <w:pPr>
              <w:jc w:val="right"/>
              <w:ind w:right="2332"/>
              <w:spacing w:after="0"/>
              <w:rPr>
                <w:sz w:val="20"/>
                <w:szCs w:val="20"/>
                <w:color w:val="auto"/>
              </w:rPr>
            </w:pPr>
            <w:r>
              <w:rPr>
                <w:rFonts w:ascii="Arial" w:cs="Arial" w:eastAsia="Arial" w:hAnsi="Arial"/>
                <w:sz w:val="18"/>
                <w:szCs w:val="18"/>
                <w:color w:val="auto"/>
              </w:rPr>
              <w:t>- 2 -</w:t>
            </w: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700" w:top="280" w:right="359" w:bottom="1440" w:gutter="0" w:footer="0" w:header="0"/>
        </w:sectPr>
      </w:pPr>
    </w:p>
    <w:bookmarkStart w:id="62" w:name="page63"/>
    <w:bookmarkEnd w:id="62"/>
    <w:p>
      <w:pPr>
        <w:ind w:left="452"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Accordingly, pursuant to Section 15.1.3 of the Contract, and the procedures outlined in Section E of the OCIP Manual attached as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to the Contract, the Guaranteed Maximum Price is to be adjusted to reflect the variance between the actual savings amount of the OCIP ($24,236,418) as determined by the OCIP audit, and the projected savings established by the total OCIP credit amount ($19,867,980) provided for in the Guaranteed Maximum Price based on the original Contract as increased by Change Orders No. 4 &amp; 5, by applying such variance ($4,368,438) as a further credit to the Guaranteed Maximum Price, thereby reducing the Guaranteed Maximum Price to account for the OCIP variance.</w:t>
      </w:r>
    </w:p>
    <w:p>
      <w:pPr>
        <w:spacing w:after="0" w:line="231"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DECREASE TO GUARANTEED MAXIMUM PRICE</w:t>
      </w:r>
    </w:p>
    <w:p>
      <w:pPr>
        <w:spacing w:after="0" w:line="96" w:lineRule="exact"/>
        <w:rPr>
          <w:rFonts w:ascii="Arial" w:cs="Arial" w:eastAsia="Arial" w:hAnsi="Arial"/>
          <w:sz w:val="18"/>
          <w:szCs w:val="18"/>
          <w:b w:val="1"/>
          <w:bCs w:val="1"/>
          <w:color w:val="auto"/>
        </w:rPr>
      </w:pPr>
    </w:p>
    <w:p>
      <w:pPr>
        <w:ind w:left="452"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 xml:space="preserve">The GMP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Contract is by this Change Order hereby decreased, by $4,368,438 (equaling the amount of the variance in the OCIP credit), from </w:t>
      </w:r>
      <w:r>
        <w:rPr>
          <w:rFonts w:ascii="Arial" w:cs="Arial" w:eastAsia="Arial" w:hAnsi="Arial"/>
          <w:sz w:val="16"/>
          <w:szCs w:val="16"/>
          <w:u w:val="single" w:color="auto"/>
          <w:color w:val="auto"/>
        </w:rPr>
        <w:t>$1,133,479,322</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$1,129,110,884</w:t>
      </w:r>
      <w:r>
        <w:rPr>
          <w:rFonts w:ascii="Arial" w:cs="Arial" w:eastAsia="Arial" w:hAnsi="Arial"/>
          <w:sz w:val="16"/>
          <w:szCs w:val="16"/>
          <w:color w:val="auto"/>
        </w:rPr>
        <w:t xml:space="preserve"> as detailed in </w:t>
      </w:r>
      <w:r>
        <w:rPr>
          <w:rFonts w:ascii="Arial" w:cs="Arial" w:eastAsia="Arial" w:hAnsi="Arial"/>
          <w:sz w:val="16"/>
          <w:szCs w:val="16"/>
          <w:u w:val="single" w:color="auto"/>
          <w:color w:val="auto"/>
        </w:rPr>
        <w:t>Paragraph 2</w:t>
      </w:r>
      <w:r>
        <w:rPr>
          <w:rFonts w:ascii="Arial" w:cs="Arial" w:eastAsia="Arial" w:hAnsi="Arial"/>
          <w:sz w:val="16"/>
          <w:szCs w:val="16"/>
          <w:color w:val="auto"/>
        </w:rPr>
        <w:t xml:space="preserve"> above. From and after the date of this Change Order, any and all references in the Contract Documents to the “Guaranteed Maximum Price” shall mean the amount of </w:t>
      </w:r>
      <w:r>
        <w:rPr>
          <w:rFonts w:ascii="Arial" w:cs="Arial" w:eastAsia="Arial" w:hAnsi="Arial"/>
          <w:sz w:val="16"/>
          <w:szCs w:val="16"/>
          <w:u w:val="single" w:color="auto"/>
          <w:color w:val="auto"/>
        </w:rPr>
        <w:t>$1,129,110,884</w:t>
      </w:r>
      <w:r>
        <w:rPr>
          <w:rFonts w:ascii="Arial" w:cs="Arial" w:eastAsia="Arial" w:hAnsi="Arial"/>
          <w:sz w:val="16"/>
          <w:szCs w:val="16"/>
          <w:color w:val="auto"/>
        </w:rPr>
        <w:t>.</w:t>
      </w:r>
    </w:p>
    <w:p>
      <w:pPr>
        <w:spacing w:after="0" w:line="25" w:lineRule="exact"/>
        <w:rPr>
          <w:rFonts w:ascii="Arial" w:cs="Arial" w:eastAsia="Arial" w:hAnsi="Arial"/>
          <w:sz w:val="18"/>
          <w:szCs w:val="18"/>
          <w:b w:val="1"/>
          <w:bCs w:val="1"/>
          <w:color w:val="auto"/>
        </w:rPr>
      </w:pPr>
    </w:p>
    <w:p>
      <w:pPr>
        <w:ind w:left="452"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Owner and Contractor agree, acknowledge and accept the results of the OCIP audit as set forth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above, and the application of the variance and the adjustment to the Guaranteed Maximum Price as set forth in this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as full and complete satisfaction of the OCIP Audit and the requirements of Sections 12.2.1.16 and 15.1.3 of the Contract.</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RETAINAGE.</w:t>
      </w:r>
    </w:p>
    <w:p>
      <w:pPr>
        <w:spacing w:after="0" w:line="96"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the date of this Change Order, Owner is holding as Retainage, the total amount of $1,207,550 (“Retainage Amount”). The Retainage Amount shall be released pursuant to the terms of the Contract.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b w:val="1"/>
          <w:bCs w:val="1"/>
          <w:color w:val="auto"/>
        </w:rPr>
      </w:pPr>
    </w:p>
    <w:p>
      <w:pPr>
        <w:ind w:left="452" w:right="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As of the date hereof the Guaranteed Date of Substantial Completion for the Project which is defined as 27 April 2005 has been achieved by the Contractor. The Phase I Primary Contractor’s Completion Certificate was executed and delivered to the Owner and Owner’s Lenders on 30 September 2005.</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96"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consideration of Owner’s entering into this Change Order and agreeing to the $2,000,000 Credit Adjustment set forth above in the OCIP credit calculation, and as a condition precedent to such Credit Adjustment, effective as of the date of this Change Order, Contractor, on behalf of itself and its successors, assigns, officers, members, managers, affiliates, agents, representatives, past and present, from and hereby fully and completely waives, any and all claims with respect to (i) OCIP and insurance audits as set forth in this Change Order, (ii) the monthly Applications for Progress Payment previously paid by Owner.</w:t>
      </w:r>
    </w:p>
    <w:p>
      <w:pPr>
        <w:spacing w:after="0" w:line="129" w:lineRule="exact"/>
        <w:rPr>
          <w:rFonts w:ascii="Arial" w:cs="Arial" w:eastAsia="Arial" w:hAnsi="Arial"/>
          <w:sz w:val="18"/>
          <w:szCs w:val="18"/>
          <w:b w:val="1"/>
          <w:bCs w:val="1"/>
          <w:color w:val="auto"/>
        </w:rPr>
      </w:pPr>
    </w:p>
    <w:p>
      <w:pPr>
        <w:ind w:left="5672" w:hanging="112"/>
        <w:spacing w:after="0"/>
        <w:tabs>
          <w:tab w:leader="none" w:pos="56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12"/>
          </w:cols>
          <w:pgMar w:left="248" w:top="280" w:right="239" w:bottom="1440" w:gutter="0" w:footer="0" w:header="0"/>
        </w:sectPr>
      </w:pPr>
    </w:p>
    <w:bookmarkStart w:id="63" w:name="page64"/>
    <w:bookmarkEnd w:id="63"/>
    <w:p>
      <w:pPr>
        <w:ind w:left="452"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consideration of Contractor’s entering into this Change Order, subject to delivery of the release of the Notice of Lien pursuant to Paragraph 7, and effective as of the date of this Change Order, Owner hereby fully and completely waives any and all claims with respect to (i) OCIP and insurance audits, and (ii) the monthly job cost audits on the Applications for Progress Payment submitted by Contractor.</w:t>
      </w:r>
    </w:p>
    <w:p>
      <w:pPr>
        <w:spacing w:after="0" w:line="26" w:lineRule="exact"/>
        <w:rPr>
          <w:sz w:val="20"/>
          <w:szCs w:val="20"/>
          <w:color w:val="auto"/>
        </w:rPr>
      </w:pPr>
    </w:p>
    <w:p>
      <w:pPr>
        <w:ind w:left="452" w:right="100"/>
        <w:spacing w:after="0" w:line="259" w:lineRule="auto"/>
        <w:rPr>
          <w:sz w:val="20"/>
          <w:szCs w:val="20"/>
          <w:color w:val="auto"/>
        </w:rPr>
      </w:pPr>
      <w:r>
        <w:rPr>
          <w:rFonts w:ascii="Arial" w:cs="Arial" w:eastAsia="Arial" w:hAnsi="Arial"/>
          <w:sz w:val="18"/>
          <w:szCs w:val="18"/>
          <w:color w:val="auto"/>
        </w:rPr>
        <w:t>Owner acknowledges that as of the date of this Change Order, and subject to Contractor’s performance of its obligations and covenants under this Change Order and the Contract, Owner is not aware of any Claims held by Owner against Contractor under the Contract or at law or in equity, other than as to defective or non-complying work as to which Owner has already notified Contractor.</w:t>
      </w:r>
    </w:p>
    <w:p>
      <w:pPr>
        <w:spacing w:after="0" w:line="59"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Contractor hereby agrees, represents and warrants that the matters released in this Change Order are limited to matters related to the OCIP and the monthly job cost audits on the Applications for Progress Payment. Contractor’s releases and waivers in this Change Order shall be and remain in effect as a full and complete release of all OCIP and job cost audit matters.</w:t>
      </w:r>
    </w:p>
    <w:p>
      <w:pPr>
        <w:spacing w:after="0" w:line="256"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RELEASE OF LIEN</w:t>
      </w:r>
    </w:p>
    <w:p>
      <w:pPr>
        <w:spacing w:after="0" w:line="96" w:lineRule="exact"/>
        <w:rPr>
          <w:rFonts w:ascii="Arial" w:cs="Arial" w:eastAsia="Arial" w:hAnsi="Arial"/>
          <w:sz w:val="18"/>
          <w:szCs w:val="18"/>
          <w:b w:val="1"/>
          <w:bCs w:val="1"/>
          <w:color w:val="auto"/>
        </w:rPr>
      </w:pPr>
    </w:p>
    <w:p>
      <w:pPr>
        <w:jc w:val="both"/>
        <w:ind w:left="45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Contractor has recorded in Clark County, Nevada Recorder’s Book 20060406, as Instrument 0000368, a notice of lien against the Property (the “Notice of Lien”). Concurrent with the execution of this Change Order, Contractor shall deliver to Owner a duly executed and acknowledged release of the Notice of Lien.</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All future payments will be handled pursuant to the terms of the Contract.</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left="45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no event, except to the extent expressly set forth in this Change Order, shall this Change Order or any term, provision, condition or release herein contained, in any way be or be construed to be a limitation on, or waiver or release of, any liability, responsibility or obligation of Contractor (or any party that provided any services or materials to the Site or Project for, through, under the supervision of or on behalf of Contractor), directly or indirectly relating in any way to or arising out of or under the Contract and or any of the materials, services and/or Work performed by, through, under the supervision of or on behalf of Contractor on the Site and/or Project. Further, except to the extent expressly set forth in this Change Order, nothing in this Change Order shall in any way impair, limit, modify, waive, release, or reduce Owner’s rights, including, but not limited to, warranty, audit and/or setoff rights, under the Contract or any terms or conditions therein.</w:t>
      </w:r>
    </w:p>
    <w:p>
      <w:pPr>
        <w:spacing w:after="0" w:line="37"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Except to the extent expressly set forth in this Change Order, nothing in this Change Order shall in any way impair, limit, modify, waive, release, or reduce Contractor’s rights under the Contract or any terms or conditions therein.</w:t>
      </w:r>
    </w:p>
    <w:p>
      <w:pPr>
        <w:spacing w:after="0" w:line="118" w:lineRule="exact"/>
        <w:rPr>
          <w:rFonts w:ascii="Arial" w:cs="Arial" w:eastAsia="Arial" w:hAnsi="Arial"/>
          <w:sz w:val="18"/>
          <w:szCs w:val="18"/>
          <w:b w:val="1"/>
          <w:bCs w:val="1"/>
          <w:color w:val="auto"/>
        </w:rPr>
      </w:pPr>
    </w:p>
    <w:p>
      <w:pPr>
        <w:ind w:left="5672" w:hanging="112"/>
        <w:spacing w:after="0"/>
        <w:tabs>
          <w:tab w:leader="none" w:pos="56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52"/>
          </w:cols>
          <w:pgMar w:left="248" w:top="280" w:right="299" w:bottom="1440" w:gutter="0" w:footer="0" w:header="0"/>
        </w:sectPr>
      </w:pPr>
    </w:p>
    <w:bookmarkStart w:id="64" w:name="page65"/>
    <w:bookmarkEnd w:id="64"/>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Change Order is effective as of June </w:t>
      </w:r>
      <w:r>
        <w:rPr>
          <w:rFonts w:ascii="Arial" w:cs="Arial" w:eastAsia="Arial" w:hAnsi="Arial"/>
          <w:sz w:val="18"/>
          <w:szCs w:val="18"/>
          <w:u w:val="single" w:color="auto"/>
          <w:color w:val="auto"/>
        </w:rPr>
        <w:t>7</w:t>
      </w:r>
      <w:r>
        <w:rPr>
          <w:rFonts w:ascii="Arial" w:cs="Arial" w:eastAsia="Arial" w:hAnsi="Arial"/>
          <w:sz w:val="18"/>
          <w:szCs w:val="18"/>
          <w:color w:val="auto"/>
        </w:rPr>
        <w:t>, 2006. The invalidity of any of the provisions, or any portion thereof, of this Change Order, shall not affect the remaining provisions or remaining portion thereof, and the remainder shall be construed as if such invalid provision or portion thereof had not been included in this Change Order.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4680" w:type="dxa"/>
            <w:vAlign w:val="bottom"/>
          </w:tcPr>
          <w:p>
            <w:pPr>
              <w:spacing w:after="0"/>
              <w:rPr>
                <w:sz w:val="19"/>
                <w:szCs w:val="19"/>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CONTRACTOR:</w:t>
            </w: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WYNN LAS VEGAS, LLC,</w:t>
            </w: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MARNELL CORRAO ASSOCIATES, INC.,</w:t>
            </w: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a Nevada corporation</w:t>
            </w:r>
          </w:p>
        </w:tc>
      </w:tr>
      <w:tr>
        <w:trPr>
          <w:trHeight w:val="432"/>
        </w:trPr>
        <w:tc>
          <w:tcPr>
            <w:tcW w:w="820" w:type="dxa"/>
            <w:vAlign w:val="bottom"/>
          </w:tcPr>
          <w:p>
            <w:pPr>
              <w:ind w:left="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Nisbet</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Perry A. Eiman</w:t>
            </w:r>
          </w:p>
        </w:tc>
      </w:tr>
      <w:tr>
        <w:trPr>
          <w:trHeight w:val="217"/>
        </w:trPr>
        <w:tc>
          <w:tcPr>
            <w:tcW w:w="820" w:type="dxa"/>
            <w:vAlign w:val="bottom"/>
          </w:tcPr>
          <w:p>
            <w:pPr>
              <w:ind w:left="1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Todd Nisbet</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Perry A. Eiman</w:t>
            </w:r>
          </w:p>
        </w:tc>
      </w:tr>
      <w:tr>
        <w:trPr>
          <w:trHeight w:val="222"/>
        </w:trPr>
        <w:tc>
          <w:tcPr>
            <w:tcW w:w="820" w:type="dxa"/>
            <w:vAlign w:val="bottom"/>
          </w:tcPr>
          <w:p>
            <w:pPr>
              <w:ind w:left="1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Assistant Secretary</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ARCHITECT:</w:t>
            </w:r>
          </w:p>
        </w:tc>
      </w:tr>
      <w:tr>
        <w:trPr>
          <w:trHeight w:val="324"/>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BUTLER/ASHWORTH ARCHITECTS, LLC</w:t>
            </w:r>
          </w:p>
        </w:tc>
      </w:tr>
      <w:tr>
        <w:trPr>
          <w:trHeight w:val="324"/>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DeRuyter Butler</w:t>
            </w:r>
          </w:p>
        </w:tc>
      </w:tr>
      <w:tr>
        <w:trPr>
          <w:trHeight w:val="217"/>
        </w:trPr>
        <w:tc>
          <w:tcPr>
            <w:tcW w:w="8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DeRuyter Butler</w:t>
            </w:r>
          </w:p>
        </w:tc>
      </w:tr>
      <w:tr>
        <w:trPr>
          <w:trHeight w:val="222"/>
        </w:trPr>
        <w:tc>
          <w:tcPr>
            <w:tcW w:w="8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r>
      <w:tr>
        <w:trPr>
          <w:trHeight w:val="365"/>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- 5 -</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DESIGN-BUILD AGREEMENT FOR GUARANTEED MAXIMUM PRICE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ARCHITECTURAL, ENGINEERING AND CONSTRUCTION SERVICES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SEPTEMBER 14, 2005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 AND 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MARCH 2006</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Wynn Resorts Macau</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Order No.: 1</w:t>
      </w:r>
    </w:p>
    <w:p>
      <w:pPr>
        <w:spacing w:after="0" w:line="140" w:lineRule="exact"/>
        <w:rPr>
          <w:sz w:val="20"/>
          <w:szCs w:val="20"/>
          <w:color w:val="auto"/>
        </w:rPr>
      </w:pPr>
    </w:p>
    <w:p>
      <w:pPr>
        <w:sectPr>
          <w:pgSz w:w="11900" w:h="16838" w:orient="portrait"/>
          <w:cols w:equalWidth="0" w:num="2">
            <w:col w:w="5780" w:space="720"/>
            <w:col w:w="49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“Contractor”: </w:t>
      </w:r>
      <w:r>
        <w:rPr>
          <w:rFonts w:ascii="Arial" w:cs="Arial" w:eastAsia="Arial" w:hAnsi="Arial"/>
          <w:sz w:val="18"/>
          <w:szCs w:val="18"/>
          <w:color w:val="auto"/>
        </w:rPr>
        <w:t>jointly and severally: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LEIGHTON CONTRACTORS (ASIA)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39</w:t>
      </w:r>
      <w:r>
        <w:rPr>
          <w:rFonts w:ascii="Arial" w:cs="Arial" w:eastAsia="Arial" w:hAnsi="Arial"/>
          <w:sz w:val="11"/>
          <w:szCs w:val="11"/>
          <w:color w:val="auto"/>
        </w:rPr>
        <w:t>th</w:t>
      </w:r>
      <w:r>
        <w:rPr>
          <w:rFonts w:ascii="Arial" w:cs="Arial" w:eastAsia="Arial" w:hAnsi="Arial"/>
          <w:sz w:val="18"/>
          <w:szCs w:val="18"/>
          <w:color w:val="auto"/>
        </w:rPr>
        <w:t xml:space="preserve"> Floor, Sun Hung Kai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Harbour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Wanchai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RESORTS (MACAU) 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335-341, Alameda Dr. Carlos d’Asumpcao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Floor, Hotline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34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CHINA STATE CONSTRUCTION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ENGINEERING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w:t>
      </w:r>
      <w:r>
        <w:rPr>
          <w:rFonts w:ascii="Arial" w:cs="Arial" w:eastAsia="Arial" w:hAnsi="Arial"/>
          <w:sz w:val="11"/>
          <w:szCs w:val="11"/>
          <w:color w:val="auto"/>
        </w:rPr>
        <w:t>th</w:t>
      </w:r>
      <w:r>
        <w:rPr>
          <w:rFonts w:ascii="Arial" w:cs="Arial" w:eastAsia="Arial" w:hAnsi="Arial"/>
          <w:sz w:val="18"/>
          <w:szCs w:val="18"/>
          <w:color w:val="auto"/>
        </w:rPr>
        <w:t xml:space="preserve"> Floor, China Overseas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139 Hennessy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CHINA CONSTRUCTION ENGINEERING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Rua do Campo No. 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Edificio Commercial Zhang Kian, 18 andar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1420"/>
          </w:cols>
          <w:pgMar w:left="240" w:top="125" w:right="239" w:bottom="1440" w:gutter="0" w:footer="0" w:header="0"/>
          <w:type w:val="continuous"/>
        </w:sectPr>
      </w:pPr>
    </w:p>
    <w:p>
      <w:pPr>
        <w:spacing w:after="0" w:line="172"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Pursuant to Article XVIII of that certain </w:t>
      </w:r>
      <w:r>
        <w:rPr>
          <w:rFonts w:ascii="Arial" w:cs="Arial" w:eastAsia="Arial" w:hAnsi="Arial"/>
          <w:sz w:val="16"/>
          <w:szCs w:val="16"/>
          <w:b w:val="1"/>
          <w:bCs w:val="1"/>
          <w:color w:val="auto"/>
        </w:rPr>
        <w:t>Amended and Restated Design-Build Agreement for Guaranteed Maximum Price Architectural,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Engineering and Construction Services between Owner and Contractor </w:t>
      </w:r>
      <w:r>
        <w:rPr>
          <w:rFonts w:ascii="Arial" w:cs="Arial" w:eastAsia="Arial" w:hAnsi="Arial"/>
          <w:sz w:val="16"/>
          <w:szCs w:val="16"/>
          <w:color w:val="auto"/>
        </w:rPr>
        <w:t>for the design and construction of a luxury resort/hotel/casino complex in Macau</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Wynn Resorts Macau, executed and delivered as a deed on September 14, 2005 (the “Contract”), and the desire of the Owner and Contractor to amend and supplement certain terms and provisions of the Contract, the Contract is hereby modified by this agreement and all related drawings, plans and specifications attached hereto (collectively, the “Change Order”), made as a deed effective as of the date set forth above: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Scope of Work. The Scope of Work is changed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Revised Elevator Lobby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Location: Front of House Hotel Lobby</w:t>
      </w:r>
    </w:p>
    <w:p>
      <w:pPr>
        <w:spacing w:after="0" w:line="90"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The entry to the Hotel Public Lift Lobby is revised to improve traffic flow and increase exposure to the retail space. The side elevation of Retail Space 5, facing the lobby, is revised from glass to interior décor consistent with the surrounding lobby. The side elevation to Retail 6A, facing the Hotel Public Lift Lobby, is revised to glass.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Request Form: 106</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Action Notification: DAN/0001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to the Guaranteed Maximum Price: HK$ 40,000/ USD 5,128</w:t>
      </w:r>
    </w:p>
    <w:p>
      <w:pPr>
        <w:spacing w:after="0" w:line="246" w:lineRule="exact"/>
        <w:rPr>
          <w:sz w:val="20"/>
          <w:szCs w:val="20"/>
          <w:color w:val="auto"/>
        </w:rPr>
      </w:pPr>
    </w:p>
    <w:p>
      <w:pPr>
        <w:jc w:val="both"/>
        <w:ind w:left="460" w:right="8140" w:firstLine="4"/>
        <w:spacing w:after="0" w:line="387"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Convert Spa single rooms to doubles Location: Spa &amp; Health Club in Level 1</w:t>
      </w:r>
    </w:p>
    <w:p>
      <w:pPr>
        <w:spacing w:after="0" w:line="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layout of the Spa and Health Club is revised to incorporate a pair of enlarged relaxation rooms for couples in place of the original four single relaxation rooms. Two additional single relaxation rooms are added adjacent to the lounges. Finishes to the Spa Manager’s office are upgraded to front of house standard.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Request Form: 107</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Action Notification: DAN/ 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to the Guaranteed Maximum Price: HK$ 353,561/ USD 45,329</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Additional service counters and Points of Sale.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Location: Grand Café, Japanese Restaurant, Noodles Restaurant, Food Court, VIP dining and Italian Restaurant.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service counters with point of sale provisions are included to the various restaurants and food outlets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Grand Café</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Japanese Restaurant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Noodles Restaurant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Food Court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VIP Dining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Italian Restaurant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Request Form: 109</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Action Notification: DAN/ 003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 to the Guaranteed Maximum Price: HK$ 142,500/ USD 18,270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Relocation of Satellite Bank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South Side Back of House Area</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Satellite Bank is relocated from the Ground Floor (GL 18/F-1) into the unassigned area at the First Floor (GL 17/ C-4). A new cart storage area is added adjacent to the cage to be connected to the Satellite bank above via a vertical shaft with a dumb waiter.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5. Employees’ Kiosk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South Side, Back of House Area.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Employee kiosks (2nr) are added adjacent to the Health Care Centre and Satellite Bank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HK$ 120,000/ USD 15,385</w:t>
      </w:r>
    </w:p>
    <w:p>
      <w:pPr>
        <w:spacing w:after="0" w:line="246" w:lineRule="exact"/>
        <w:rPr>
          <w:sz w:val="20"/>
          <w:szCs w:val="20"/>
          <w:color w:val="auto"/>
        </w:rPr>
      </w:pPr>
    </w:p>
    <w:p>
      <w:pPr>
        <w:ind w:right="8060" w:firstLine="4"/>
        <w:spacing w:after="0" w:line="387" w:lineRule="auto"/>
        <w:tabs>
          <w:tab w:leader="none" w:pos="1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Observation Room layout Location: First Floor, I.T Department</w:t>
      </w:r>
    </w:p>
    <w:p>
      <w:pPr>
        <w:spacing w:after="0"/>
        <w:rPr>
          <w:rFonts w:ascii="Arial" w:cs="Arial" w:eastAsia="Arial" w:hAnsi="Arial"/>
          <w:sz w:val="16"/>
          <w:szCs w:val="16"/>
          <w:color w:val="auto"/>
        </w:rPr>
      </w:pPr>
      <w:r>
        <w:rPr>
          <w:rFonts w:ascii="Arial" w:cs="Arial" w:eastAsia="Arial" w:hAnsi="Arial"/>
          <w:sz w:val="18"/>
          <w:szCs w:val="18"/>
          <w:color w:val="auto"/>
        </w:rPr>
        <w:t>The layout of the Observation Room is rearranged to create additional space for security staff and monitoring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HK$ 27,500/ USD 3,526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7. Chinese Restaurant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Chinese Restaurant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layout and interior design of the restaurant is revised. The revised design incorporates a separate entrance to allow public officials and families with minors to access from outside the Casino. The layout and seating plan to the restaurant are revised accordingly.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700" w:top="280"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Casino Lounge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Casino Lounge</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layout and interior design of the Casino Lounge is revised to allow inclusion of the separate entry to the Chinese Restaurant which bypasses the Casino. The Casino Lounge area will also function as the entrance/ waiting area for the Chinese Restaurant with access from the Casino side.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7840" w:firstLine="4"/>
        <w:spacing w:after="0" w:line="413" w:lineRule="auto"/>
        <w:tabs>
          <w:tab w:leader="none" w:pos="176" w:val="left"/>
        </w:tabs>
        <w:numPr>
          <w:ilvl w:val="0"/>
          <w:numId w:val="32"/>
        </w:numPr>
        <w:rPr>
          <w:rFonts w:ascii="Arial" w:cs="Arial" w:eastAsia="Arial" w:hAnsi="Arial"/>
          <w:sz w:val="15"/>
          <w:szCs w:val="15"/>
          <w:color w:val="auto"/>
        </w:rPr>
      </w:pPr>
      <w:r>
        <w:rPr>
          <w:rFonts w:ascii="Arial" w:cs="Arial" w:eastAsia="Arial" w:hAnsi="Arial"/>
          <w:sz w:val="15"/>
          <w:szCs w:val="15"/>
          <w:color w:val="auto"/>
        </w:rPr>
        <w:t>End Suite to be upgraded to Villas Location: Hotel End Suites (S2s)</w:t>
      </w:r>
    </w:p>
    <w:p>
      <w:pPr>
        <w:spacing w:after="0"/>
        <w:rPr>
          <w:rFonts w:ascii="Arial" w:cs="Arial" w:eastAsia="Arial" w:hAnsi="Arial"/>
          <w:sz w:val="15"/>
          <w:szCs w:val="15"/>
          <w:color w:val="auto"/>
        </w:rPr>
      </w:pPr>
      <w:r>
        <w:rPr>
          <w:rFonts w:ascii="Arial" w:cs="Arial" w:eastAsia="Arial" w:hAnsi="Arial"/>
          <w:sz w:val="18"/>
          <w:szCs w:val="18"/>
          <w:color w:val="auto"/>
        </w:rPr>
        <w:t>The interior décor to Hotel End Suites (S2s) from floors 13 to 22 (10 nr) is upgraded.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HK$ 6,120,528/ USD 784,684</w:t>
      </w:r>
    </w:p>
    <w:p>
      <w:pPr>
        <w:spacing w:after="0" w:line="246" w:lineRule="exact"/>
        <w:rPr>
          <w:sz w:val="20"/>
          <w:szCs w:val="20"/>
          <w:color w:val="auto"/>
        </w:rPr>
      </w:pPr>
    </w:p>
    <w:p>
      <w:pPr>
        <w:ind w:right="6160" w:firstLine="4"/>
        <w:spacing w:after="0" w:line="344" w:lineRule="auto"/>
        <w:tabs>
          <w:tab w:leader="none" w:pos="2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Power and mounting support for External Retail Signage Location: Exterior Façade at North Elevation</w:t>
      </w:r>
    </w:p>
    <w:p>
      <w:pPr>
        <w:spacing w:after="0"/>
        <w:rPr>
          <w:rFonts w:ascii="Arial" w:cs="Arial" w:eastAsia="Arial" w:hAnsi="Arial"/>
          <w:sz w:val="18"/>
          <w:szCs w:val="18"/>
          <w:color w:val="auto"/>
        </w:rPr>
      </w:pPr>
      <w:r>
        <w:rPr>
          <w:rFonts w:ascii="Arial" w:cs="Arial" w:eastAsia="Arial" w:hAnsi="Arial"/>
          <w:sz w:val="18"/>
          <w:szCs w:val="18"/>
          <w:color w:val="auto"/>
        </w:rPr>
        <w:t>Power provisions added for 3nr exterior retail signs at North Elevation</w:t>
      </w:r>
      <w:r>
        <w:rPr>
          <w:rFonts w:ascii="Arial" w:cs="Arial" w:eastAsia="Arial" w:hAnsi="Arial"/>
          <w:sz w:val="18"/>
          <w:szCs w:val="18"/>
          <w:i w:val="1"/>
          <w:iCs w:val="1"/>
          <w:color w:val="auto"/>
        </w:rPr>
        <w:t>.</w:t>
      </w:r>
      <w:r>
        <w:rPr>
          <w:rFonts w:ascii="Arial" w:cs="Arial" w:eastAsia="Arial" w:hAnsi="Arial"/>
          <w:sz w:val="18"/>
          <w:szCs w:val="18"/>
          <w:color w:val="auto"/>
        </w:rPr>
        <w:t xml:space="preserve"> Signage is to be provided by retailers.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HK$ 110,000/ USD 14,103</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700" w:top="280" w:right="779" w:bottom="1440" w:gutter="0" w:footer="0" w:header="0"/>
        </w:sectPr>
      </w:pPr>
    </w:p>
    <w:bookmarkStart w:id="69" w:name="page70"/>
    <w:bookmarkEnd w:id="69"/>
    <w:p>
      <w:pPr>
        <w:ind w:right="7559" w:firstLine="4"/>
        <w:spacing w:after="0" w:line="387" w:lineRule="auto"/>
        <w:tabs>
          <w:tab w:leader="none" w:pos="257"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Hotel Main Entry layout Location: Main Hotel Entrance</w:t>
      </w:r>
    </w:p>
    <w:p>
      <w:pPr>
        <w:spacing w:after="0"/>
        <w:rPr>
          <w:rFonts w:ascii="Arial" w:cs="Arial" w:eastAsia="Arial" w:hAnsi="Arial"/>
          <w:sz w:val="16"/>
          <w:szCs w:val="16"/>
          <w:color w:val="auto"/>
        </w:rPr>
      </w:pPr>
      <w:r>
        <w:rPr>
          <w:rFonts w:ascii="Arial" w:cs="Arial" w:eastAsia="Arial" w:hAnsi="Arial"/>
          <w:sz w:val="18"/>
          <w:szCs w:val="18"/>
          <w:color w:val="auto"/>
        </w:rPr>
        <w:t>The Hotel Main Entry is revised to incorporate a revolving door.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122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HK$ 250,000/ USD 32,052</w:t>
      </w:r>
    </w:p>
    <w:p>
      <w:pPr>
        <w:spacing w:after="0" w:line="246" w:lineRule="exact"/>
        <w:rPr>
          <w:sz w:val="20"/>
          <w:szCs w:val="20"/>
          <w:color w:val="auto"/>
        </w:rPr>
      </w:pPr>
    </w:p>
    <w:p>
      <w:pPr>
        <w:ind w:right="7079" w:firstLine="4"/>
        <w:spacing w:after="0" w:line="387" w:lineRule="auto"/>
        <w:tabs>
          <w:tab w:leader="none" w:pos="2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Coat Check-in and Storage Location: First Floor, Meeting Rooms</w:t>
      </w:r>
    </w:p>
    <w:p>
      <w:pPr>
        <w:spacing w:after="0"/>
        <w:rPr>
          <w:rFonts w:ascii="Arial" w:cs="Arial" w:eastAsia="Arial" w:hAnsi="Arial"/>
          <w:sz w:val="16"/>
          <w:szCs w:val="16"/>
          <w:color w:val="auto"/>
        </w:rPr>
      </w:pPr>
      <w:r>
        <w:rPr>
          <w:rFonts w:ascii="Arial" w:cs="Arial" w:eastAsia="Arial" w:hAnsi="Arial"/>
          <w:sz w:val="18"/>
          <w:szCs w:val="18"/>
          <w:color w:val="auto"/>
        </w:rPr>
        <w:t>A separate coat check-in and storage area is added adjacent to the Main Meeting Rooms at the First Floor GL 20/ V-T.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123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HK$ 50,000/ USD 6,410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13. Hotel Registration Counter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Hotel Main Registration Counter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Provision of additional cooling fans to the Main Registration counter to meet cooling requirements of I.T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125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HK$ 76,000/ USD 9,744</w:t>
      </w:r>
    </w:p>
    <w:p>
      <w:pPr>
        <w:spacing w:after="0" w:line="246" w:lineRule="exact"/>
        <w:rPr>
          <w:sz w:val="20"/>
          <w:szCs w:val="20"/>
          <w:color w:val="auto"/>
        </w:rPr>
      </w:pPr>
    </w:p>
    <w:p>
      <w:pPr>
        <w:jc w:val="both"/>
        <w:ind w:right="7319" w:firstLine="4"/>
        <w:spacing w:after="0" w:line="387" w:lineRule="auto"/>
        <w:tabs>
          <w:tab w:leader="none" w:pos="2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VIP Manager’s Office / pantry Location: Ground Floor, VIP Area</w:t>
      </w:r>
    </w:p>
    <w:p>
      <w:pPr>
        <w:spacing w:after="0"/>
        <w:rPr>
          <w:rFonts w:ascii="Arial" w:cs="Arial" w:eastAsia="Arial" w:hAnsi="Arial"/>
          <w:sz w:val="16"/>
          <w:szCs w:val="16"/>
          <w:color w:val="auto"/>
        </w:rPr>
      </w:pPr>
      <w:r>
        <w:rPr>
          <w:rFonts w:ascii="Arial" w:cs="Arial" w:eastAsia="Arial" w:hAnsi="Arial"/>
          <w:sz w:val="16"/>
          <w:szCs w:val="16"/>
          <w:color w:val="auto"/>
        </w:rPr>
        <w:t>The private dining room to the VIP Casino is deleted and is replaced with a VIP Manager’s Office, dry pantry and connecting corridor.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126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HK$ 67,000/ USD 8,590</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59"/>
          </w:cols>
          <w:pgMar w:left="700" w:top="280"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 VIP Registration Counter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VIP Registration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Minor changes to registration counter design to accommodate operating equipment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127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16. Cashier stations for restaurants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Location: Ground Floor, Chinese Restaurant, Grand Cafe, Japanese Restaurant, Noodles Restaurant and First Floor, Italian Restaurant.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Cashier stations are added to the kitchens within the following restaurants: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Chinese Restaurant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Grand Café</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Japanese Restaurant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Noodles Restaurant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Italian Restaurant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HK$ 75,075/ USD 9,625</w:t>
      </w:r>
    </w:p>
    <w:p>
      <w:pPr>
        <w:spacing w:after="0" w:line="246" w:lineRule="exact"/>
        <w:rPr>
          <w:sz w:val="20"/>
          <w:szCs w:val="20"/>
          <w:color w:val="auto"/>
        </w:rPr>
      </w:pPr>
    </w:p>
    <w:p>
      <w:pPr>
        <w:ind w:right="6959" w:firstLine="4"/>
        <w:spacing w:after="0" w:line="387" w:lineRule="auto"/>
        <w:tabs>
          <w:tab w:leader="none" w:pos="2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Refrigerated wine cabinets Location: First Floor, Italian Restaurant</w:t>
      </w:r>
    </w:p>
    <w:p>
      <w:pPr>
        <w:spacing w:after="0"/>
        <w:rPr>
          <w:rFonts w:ascii="Arial" w:cs="Arial" w:eastAsia="Arial" w:hAnsi="Arial"/>
          <w:sz w:val="16"/>
          <w:szCs w:val="16"/>
          <w:color w:val="auto"/>
        </w:rPr>
      </w:pPr>
      <w:r>
        <w:rPr>
          <w:rFonts w:ascii="Arial" w:cs="Arial" w:eastAsia="Arial" w:hAnsi="Arial"/>
          <w:sz w:val="15"/>
          <w:szCs w:val="15"/>
          <w:color w:val="auto"/>
        </w:rPr>
        <w:t>Refrigerated wine coolers (4nr) are included at the Italian Restaurant. These are to be housed in millwork at the back of the drinks bar.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HK$ 200,000/ USD 25,641</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71" w:name="page72"/>
    <w:bookmarkEnd w:id="71"/>
    <w:p>
      <w:pPr>
        <w:ind w:right="6939" w:firstLine="4"/>
        <w:spacing w:after="0" w:line="344"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and data for additional ATMs Location: Podium Areas</w:t>
      </w:r>
    </w:p>
    <w:p>
      <w:pPr>
        <w:spacing w:after="0"/>
        <w:rPr>
          <w:rFonts w:ascii="Arial" w:cs="Arial" w:eastAsia="Arial" w:hAnsi="Arial"/>
          <w:sz w:val="18"/>
          <w:szCs w:val="18"/>
          <w:color w:val="auto"/>
        </w:rPr>
      </w:pPr>
      <w:r>
        <w:rPr>
          <w:rFonts w:ascii="Arial" w:cs="Arial" w:eastAsia="Arial" w:hAnsi="Arial"/>
          <w:sz w:val="18"/>
          <w:szCs w:val="18"/>
          <w:color w:val="auto"/>
        </w:rPr>
        <w:t>Power and data provisions are included for additional ATMs at the following locations: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Chinese Restaurant – 1nr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Food Court – 1nr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Retail Promenade – 2nr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 Dining – 2nr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HK$ 30,000/ USD 3,831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19. Re-design Spa lockers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Spa &amp; Health Club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detail of the changing room lockers is revised to accommodate hanging of coats within individual lockers.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HK$ 52,000/ USD 6,667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20. Exterior entry from Pool side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Japanese Restaurant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separate entrance is provided at the pool side, which will allow access to public officials and minors without entering the Casino.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280" w:right="1440" w:bottom="1440" w:gutter="0" w:footer="0" w:header="0"/>
        </w:sectPr>
      </w:pPr>
    </w:p>
    <w:bookmarkStart w:id="72" w:name="page73"/>
    <w:bookmarkEnd w:id="72"/>
    <w:p>
      <w:pPr>
        <w:ind w:right="7940" w:firstLine="4"/>
        <w:spacing w:after="0" w:line="387" w:lineRule="auto"/>
        <w:tabs>
          <w:tab w:leader="none" w:pos="263"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Enlarge width of connecting door Location: All levels of the Hotel Tower</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width of doors connecting the standard guest rooms corridor to VIP Room corridor are increased to allow easier access for house keeping services carts.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139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HK$ 15,000/ USD 1,923</w:t>
      </w:r>
    </w:p>
    <w:p>
      <w:pPr>
        <w:spacing w:after="0" w:line="246" w:lineRule="exact"/>
        <w:rPr>
          <w:sz w:val="20"/>
          <w:szCs w:val="20"/>
          <w:color w:val="auto"/>
        </w:rPr>
      </w:pPr>
    </w:p>
    <w:p>
      <w:pPr>
        <w:ind w:right="6940" w:firstLine="4"/>
        <w:spacing w:after="0" w:line="387" w:lineRule="auto"/>
        <w:tabs>
          <w:tab w:leader="none" w:pos="2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Spare toilet roll holder and retractable clothes line Location: All typical guest rooms in Tower</w:t>
      </w:r>
    </w:p>
    <w:p>
      <w:pPr>
        <w:spacing w:after="0"/>
        <w:rPr>
          <w:rFonts w:ascii="Arial" w:cs="Arial" w:eastAsia="Arial" w:hAnsi="Arial"/>
          <w:sz w:val="16"/>
          <w:szCs w:val="16"/>
          <w:color w:val="auto"/>
        </w:rPr>
      </w:pPr>
      <w:r>
        <w:rPr>
          <w:rFonts w:ascii="Arial" w:cs="Arial" w:eastAsia="Arial" w:hAnsi="Arial"/>
          <w:sz w:val="18"/>
          <w:szCs w:val="18"/>
          <w:color w:val="auto"/>
        </w:rPr>
        <w:t>Provision of a retractable clothes line and an additional toilet roll holder to all bathrooms.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HK$ 270,000/ USD 34,616</w:t>
      </w:r>
    </w:p>
    <w:p>
      <w:pPr>
        <w:spacing w:after="0" w:line="246" w:lineRule="exact"/>
        <w:rPr>
          <w:sz w:val="20"/>
          <w:szCs w:val="20"/>
          <w:color w:val="auto"/>
        </w:rPr>
      </w:pPr>
    </w:p>
    <w:p>
      <w:pPr>
        <w:ind w:right="8400" w:firstLine="4"/>
        <w:spacing w:after="0" w:line="387" w:lineRule="auto"/>
        <w:tabs>
          <w:tab w:leader="none" w:pos="2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Additional towel rings Location: Hotel End Suites (S2s)</w:t>
      </w:r>
    </w:p>
    <w:p>
      <w:pPr>
        <w:spacing w:after="0"/>
        <w:rPr>
          <w:rFonts w:ascii="Arial" w:cs="Arial" w:eastAsia="Arial" w:hAnsi="Arial"/>
          <w:sz w:val="16"/>
          <w:szCs w:val="16"/>
          <w:color w:val="auto"/>
        </w:rPr>
      </w:pPr>
      <w:r>
        <w:rPr>
          <w:rFonts w:ascii="Arial" w:cs="Arial" w:eastAsia="Arial" w:hAnsi="Arial"/>
          <w:sz w:val="18"/>
          <w:szCs w:val="18"/>
          <w:color w:val="auto"/>
        </w:rPr>
        <w:t>Provision of an additional hand towel ring at the powder rooms of all End Suites (S2s).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24. Security Monitor Room layout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Security Monitor Room</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Security (Monitor Room) and adjacent unassigned space are combined into a single enlarged Monitor room and the interior and equipment layout is revised as shown on marked up drawing WRM/186.01 rev.0 attached with the CRF 142.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HK$ 33,000/ USD 4,231</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700" w:top="280"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 Lost &amp; Found Room layout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Lost and Found Room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room layout is revised and a service window, with security grille, and additional racking are provided.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HK$ 60,000/ USD 7,692</w:t>
      </w:r>
    </w:p>
    <w:p>
      <w:pPr>
        <w:spacing w:after="0" w:line="246" w:lineRule="exact"/>
        <w:rPr>
          <w:sz w:val="20"/>
          <w:szCs w:val="20"/>
          <w:color w:val="auto"/>
        </w:rPr>
      </w:pPr>
    </w:p>
    <w:p>
      <w:pPr>
        <w:ind w:right="7480" w:firstLine="4"/>
        <w:spacing w:after="0" w:line="387" w:lineRule="auto"/>
        <w:tabs>
          <w:tab w:leader="none" w:pos="263"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E&amp;M provision for Post Mix Location: First Floor, Back of House Area</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Post mix provisions for the Podium Food and Beverage outlets are revised. The change involves provision of 4 nr stand alone systems for the Casino Service and a centralized system to serve the Staff Dining facility. Post mix equipment is to be supplied and installed by the operator with additional electrical and mechanical provisions for functioning of the equipment to be provided by the Contractor.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HK$ 150,000/ USD 19,231</w:t>
      </w:r>
    </w:p>
    <w:p>
      <w:pPr>
        <w:spacing w:after="0" w:line="246" w:lineRule="exact"/>
        <w:rPr>
          <w:sz w:val="20"/>
          <w:szCs w:val="20"/>
          <w:color w:val="auto"/>
        </w:rPr>
      </w:pPr>
    </w:p>
    <w:p>
      <w:pPr>
        <w:ind w:right="7580" w:firstLine="4"/>
        <w:spacing w:after="0" w:line="387" w:lineRule="auto"/>
        <w:tabs>
          <w:tab w:leader="none" w:pos="263"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E&amp;M provision for additional TVs Location: First Floor, Health Club &amp; Spa</w:t>
      </w:r>
    </w:p>
    <w:p>
      <w:pPr>
        <w:spacing w:after="0"/>
        <w:rPr>
          <w:rFonts w:ascii="Arial" w:cs="Arial" w:eastAsia="Arial" w:hAnsi="Arial"/>
          <w:sz w:val="16"/>
          <w:szCs w:val="16"/>
          <w:color w:val="auto"/>
        </w:rPr>
      </w:pPr>
      <w:r>
        <w:rPr>
          <w:rFonts w:ascii="Arial" w:cs="Arial" w:eastAsia="Arial" w:hAnsi="Arial"/>
          <w:sz w:val="18"/>
          <w:szCs w:val="18"/>
          <w:color w:val="auto"/>
        </w:rPr>
        <w:t>Power and signal cable provision is added for LCD TV screens at two locations.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HK$7,500/ USD 962</w:t>
      </w:r>
    </w:p>
    <w:p>
      <w:pPr>
        <w:spacing w:after="0" w:line="246" w:lineRule="exact"/>
        <w:rPr>
          <w:sz w:val="20"/>
          <w:szCs w:val="20"/>
          <w:color w:val="auto"/>
        </w:rPr>
      </w:pPr>
    </w:p>
    <w:p>
      <w:pPr>
        <w:ind w:right="7140" w:firstLine="4"/>
        <w:spacing w:after="0" w:line="387" w:lineRule="auto"/>
        <w:tabs>
          <w:tab w:leader="none" w:pos="2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Additional power points and shelving Location: Ground Floor, Hotel Service Kitchen</w:t>
      </w:r>
    </w:p>
    <w:p>
      <w:pPr>
        <w:spacing w:after="0"/>
        <w:rPr>
          <w:rFonts w:ascii="Arial" w:cs="Arial" w:eastAsia="Arial" w:hAnsi="Arial"/>
          <w:sz w:val="16"/>
          <w:szCs w:val="16"/>
          <w:color w:val="auto"/>
        </w:rPr>
      </w:pPr>
      <w:r>
        <w:rPr>
          <w:rFonts w:ascii="Arial" w:cs="Arial" w:eastAsia="Arial" w:hAnsi="Arial"/>
          <w:sz w:val="18"/>
          <w:szCs w:val="18"/>
          <w:color w:val="auto"/>
        </w:rPr>
        <w:t>Shelving and power provision is added for an additional 11 nr hot boxes at the Hotel service kitchen.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HK$ 45,000/ USD 5,769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700" w:top="280" w:right="7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29. Installation of whiteboards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Business Centre &amp; Executive Office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original presentation rails to these rooms are cancelled. The Owner will provide whiteboards to be installed by the Contractor.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7600" w:firstLine="4"/>
        <w:spacing w:after="0" w:line="387" w:lineRule="auto"/>
        <w:tabs>
          <w:tab w:leader="none" w:pos="2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E&amp;M provision for additional LCD display Location: Ground Floor, Public Areas</w:t>
      </w:r>
    </w:p>
    <w:p>
      <w:pPr>
        <w:spacing w:after="0"/>
        <w:rPr>
          <w:rFonts w:ascii="Arial" w:cs="Arial" w:eastAsia="Arial" w:hAnsi="Arial"/>
          <w:sz w:val="16"/>
          <w:szCs w:val="16"/>
          <w:color w:val="auto"/>
        </w:rPr>
      </w:pPr>
      <w:r>
        <w:rPr>
          <w:rFonts w:ascii="Arial" w:cs="Arial" w:eastAsia="Arial" w:hAnsi="Arial"/>
          <w:sz w:val="18"/>
          <w:szCs w:val="18"/>
          <w:color w:val="auto"/>
        </w:rPr>
        <w:t>Power and data provisions are added for LCD displays (Janus boards) at two ground floor locations.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149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HK$7,500/ USD 962</w:t>
      </w:r>
    </w:p>
    <w:p>
      <w:pPr>
        <w:spacing w:after="0" w:line="246" w:lineRule="exact"/>
        <w:rPr>
          <w:sz w:val="20"/>
          <w:szCs w:val="20"/>
          <w:color w:val="auto"/>
        </w:rPr>
      </w:pPr>
    </w:p>
    <w:p>
      <w:pPr>
        <w:ind w:right="7520" w:firstLine="4"/>
        <w:spacing w:after="0" w:line="344" w:lineRule="auto"/>
        <w:tabs>
          <w:tab w:leader="none" w:pos="2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Power points provision for fly exterminators Location: All kitchens</w:t>
      </w:r>
    </w:p>
    <w:p>
      <w:pPr>
        <w:spacing w:after="0"/>
        <w:rPr>
          <w:rFonts w:ascii="Arial" w:cs="Arial" w:eastAsia="Arial" w:hAnsi="Arial"/>
          <w:sz w:val="18"/>
          <w:szCs w:val="18"/>
          <w:color w:val="auto"/>
        </w:rPr>
      </w:pPr>
      <w:r>
        <w:rPr>
          <w:rFonts w:ascii="Arial" w:cs="Arial" w:eastAsia="Arial" w:hAnsi="Arial"/>
          <w:sz w:val="18"/>
          <w:szCs w:val="18"/>
          <w:color w:val="auto"/>
        </w:rPr>
        <w:t>Provision for a total of 22nr additional fly exterminators to be provided in the kitchens.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152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HK$115,000/ USD 14,744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32. Change door opening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Hotel Retail Space 11 and 12</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store area in retail space 11 is reassigned to Retail Space 12. The change involves moving the store door opening to a new position within Retail Space 12.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154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75" w:name="page76"/>
    <w:bookmarkEnd w:id="75"/>
    <w:p>
      <w:pPr>
        <w:ind w:right="8380" w:firstLine="4"/>
        <w:spacing w:after="0" w:line="344" w:lineRule="auto"/>
        <w:tabs>
          <w:tab w:leader="none" w:pos="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I.T &amp; Points of Sale Location: All Areas.</w:t>
      </w:r>
    </w:p>
    <w:p>
      <w:pPr>
        <w:spacing w:after="0"/>
        <w:rPr>
          <w:rFonts w:ascii="Arial" w:cs="Arial" w:eastAsia="Arial" w:hAnsi="Arial"/>
          <w:sz w:val="18"/>
          <w:szCs w:val="18"/>
          <w:color w:val="auto"/>
        </w:rPr>
      </w:pPr>
      <w:r>
        <w:rPr>
          <w:rFonts w:ascii="Arial" w:cs="Arial" w:eastAsia="Arial" w:hAnsi="Arial"/>
          <w:sz w:val="16"/>
          <w:szCs w:val="16"/>
          <w:color w:val="auto"/>
        </w:rPr>
        <w:t>Additional POS service points are provided for Food and Beverage and Retail outlets based on Wynn Resorts Macau’s final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156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HK$ 230,000/ USD 29,488</w:t>
      </w:r>
    </w:p>
    <w:p>
      <w:pPr>
        <w:spacing w:after="0" w:line="246" w:lineRule="exact"/>
        <w:rPr>
          <w:sz w:val="20"/>
          <w:szCs w:val="20"/>
          <w:color w:val="auto"/>
        </w:rPr>
      </w:pPr>
    </w:p>
    <w:p>
      <w:pPr>
        <w:ind w:right="8560" w:firstLine="4"/>
        <w:spacing w:after="0" w:line="413" w:lineRule="auto"/>
        <w:tabs>
          <w:tab w:leader="none" w:pos="263" w:val="left"/>
        </w:tabs>
        <w:numPr>
          <w:ilvl w:val="0"/>
          <w:numId w:val="48"/>
        </w:numPr>
        <w:rPr>
          <w:rFonts w:ascii="Arial" w:cs="Arial" w:eastAsia="Arial" w:hAnsi="Arial"/>
          <w:sz w:val="15"/>
          <w:szCs w:val="15"/>
          <w:color w:val="auto"/>
        </w:rPr>
      </w:pPr>
      <w:r>
        <w:rPr>
          <w:rFonts w:ascii="Arial" w:cs="Arial" w:eastAsia="Arial" w:hAnsi="Arial"/>
          <w:sz w:val="15"/>
          <w:szCs w:val="15"/>
          <w:color w:val="auto"/>
        </w:rPr>
        <w:t>Robe hooks on Closet Room Location: All Guest Rooms</w:t>
      </w:r>
    </w:p>
    <w:p>
      <w:pPr>
        <w:spacing w:after="0"/>
        <w:rPr>
          <w:rFonts w:ascii="Arial" w:cs="Arial" w:eastAsia="Arial" w:hAnsi="Arial"/>
          <w:sz w:val="15"/>
          <w:szCs w:val="15"/>
          <w:color w:val="auto"/>
        </w:rPr>
      </w:pPr>
      <w:r>
        <w:rPr>
          <w:rFonts w:ascii="Arial" w:cs="Arial" w:eastAsia="Arial" w:hAnsi="Arial"/>
          <w:sz w:val="16"/>
          <w:szCs w:val="16"/>
          <w:color w:val="auto"/>
        </w:rPr>
        <w:t>The robe hooks to Guest room closet doors are deleted. Surplus robe hooks are to be installed at the Bathrooms as directed by the Interior Designer.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35. Pneumatic tube 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Gaming and Related Support Areas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Drywall enclosures to pneumatic tube ducts are deleted.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jc w:val="both"/>
        <w:ind w:right="8040" w:firstLine="4"/>
        <w:spacing w:after="0" w:line="387"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Re-arrange wall at Executive Office Location: First Floor, Executive Offices</w:t>
      </w:r>
    </w:p>
    <w:p>
      <w:pPr>
        <w:spacing w:after="0" w:line="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wall detail between Office 1 and the Conference Room is revised to form an enlarged drapery pocket that extends the full length of the window at GL Q/P. Lighting and drapery to the room will be controlled from Office No.1 to ensure the window is lit uniformly when viewed from the outside.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700" w:top="280" w:right="359" w:bottom="1440" w:gutter="0" w:footer="0" w:header="0"/>
        </w:sectPr>
      </w:pPr>
    </w:p>
    <w:bookmarkStart w:id="76" w:name="page77"/>
    <w:bookmarkEnd w:id="76"/>
    <w:p>
      <w:pPr>
        <w:ind w:right="8060" w:firstLine="4"/>
        <w:spacing w:after="0" w:line="344"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Electronic access controlled doors Location: All areas.</w:t>
      </w:r>
    </w:p>
    <w:p>
      <w:pPr>
        <w:spacing w:after="0"/>
        <w:rPr>
          <w:rFonts w:ascii="Arial" w:cs="Arial" w:eastAsia="Arial" w:hAnsi="Arial"/>
          <w:sz w:val="18"/>
          <w:szCs w:val="18"/>
          <w:color w:val="auto"/>
        </w:rPr>
      </w:pPr>
      <w:r>
        <w:rPr>
          <w:rFonts w:ascii="Arial" w:cs="Arial" w:eastAsia="Arial" w:hAnsi="Arial"/>
          <w:sz w:val="16"/>
          <w:szCs w:val="16"/>
          <w:color w:val="auto"/>
        </w:rPr>
        <w:t>Final revisions are incorporated to the Electronic access controlled doors to meet Wynn Resorts Macau’s security consultant’s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8860" w:firstLine="4"/>
        <w:spacing w:after="0" w:line="387"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IT Cable Infrastructure Location: All areas</w:t>
      </w:r>
    </w:p>
    <w:p>
      <w:pPr>
        <w:spacing w:after="0"/>
        <w:rPr>
          <w:rFonts w:ascii="Arial" w:cs="Arial" w:eastAsia="Arial" w:hAnsi="Arial"/>
          <w:sz w:val="16"/>
          <w:szCs w:val="16"/>
          <w:color w:val="auto"/>
        </w:rPr>
      </w:pPr>
      <w:r>
        <w:rPr>
          <w:rFonts w:ascii="Arial" w:cs="Arial" w:eastAsia="Arial" w:hAnsi="Arial"/>
          <w:sz w:val="18"/>
          <w:szCs w:val="18"/>
          <w:color w:val="auto"/>
        </w:rPr>
        <w:t>Final revisions are incorporated to the IT cabling infrastructure to meet Wynn Resorts Macau Operation’s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8580" w:firstLine="4"/>
        <w:spacing w:after="0" w:line="344" w:lineRule="auto"/>
        <w:tabs>
          <w:tab w:leader="none" w:pos="2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Upgrade the Radio System Location: All areas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trunk radio system is upgraded from an analogue system to a digital system with capacity for 300 handsets and the flexibility for future expansion to 900 handsets.</w:t>
      </w:r>
    </w:p>
    <w:p>
      <w:pPr>
        <w:spacing w:after="0"/>
        <w:rPr>
          <w:sz w:val="20"/>
          <w:szCs w:val="20"/>
          <w:color w:val="auto"/>
        </w:rPr>
      </w:pPr>
      <w:r>
        <w:rPr>
          <w:rFonts w:ascii="Arial" w:cs="Arial" w:eastAsia="Arial" w:hAnsi="Arial"/>
          <w:sz w:val="18"/>
          <w:szCs w:val="18"/>
          <w:color w:val="auto"/>
        </w:rPr>
        <w:t>The Contractor provides cabling for the radio system with all handsets and active equipment to be provided by the Owner.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167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8080" w:firstLine="4"/>
        <w:spacing w:after="0" w:line="387" w:lineRule="auto"/>
        <w:tabs>
          <w:tab w:leader="none" w:pos="2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Extend Bag Storage Area Location: Ground Floor, Hotel Lobby</w:t>
      </w:r>
    </w:p>
    <w:p>
      <w:pPr>
        <w:spacing w:after="0"/>
        <w:rPr>
          <w:rFonts w:ascii="Arial" w:cs="Arial" w:eastAsia="Arial" w:hAnsi="Arial"/>
          <w:sz w:val="16"/>
          <w:szCs w:val="16"/>
          <w:color w:val="auto"/>
        </w:rPr>
      </w:pPr>
      <w:r>
        <w:rPr>
          <w:rFonts w:ascii="Arial" w:cs="Arial" w:eastAsia="Arial" w:hAnsi="Arial"/>
          <w:sz w:val="18"/>
          <w:szCs w:val="18"/>
          <w:color w:val="auto"/>
        </w:rPr>
        <w:t>The baggage store is extended to provide a separate area for long term bag storage.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HK$ 40,696/ USD 5,217</w:t>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700" w:top="280" w:right="459" w:bottom="1440" w:gutter="0" w:footer="0" w:header="0"/>
        </w:sectPr>
      </w:pPr>
    </w:p>
    <w:bookmarkStart w:id="77" w:name="page78"/>
    <w:bookmarkEnd w:id="77"/>
    <w:p>
      <w:pPr>
        <w:ind w:right="7959" w:firstLine="4"/>
        <w:spacing w:after="0" w:line="413" w:lineRule="auto"/>
        <w:tabs>
          <w:tab w:leader="none" w:pos="263" w:val="left"/>
        </w:tabs>
        <w:numPr>
          <w:ilvl w:val="0"/>
          <w:numId w:val="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Ice Machine surround Location: Hotel Tower</w:t>
      </w:r>
    </w:p>
    <w:p>
      <w:pPr>
        <w:spacing w:after="0"/>
        <w:rPr>
          <w:rFonts w:ascii="Arial" w:cs="Arial" w:eastAsia="Arial" w:hAnsi="Arial"/>
          <w:sz w:val="15"/>
          <w:szCs w:val="15"/>
          <w:color w:val="auto"/>
        </w:rPr>
      </w:pPr>
      <w:r>
        <w:rPr>
          <w:rFonts w:ascii="Arial" w:cs="Arial" w:eastAsia="Arial" w:hAnsi="Arial"/>
          <w:sz w:val="16"/>
          <w:szCs w:val="16"/>
          <w:color w:val="auto"/>
        </w:rPr>
        <w:t>Provision of partitions to enclose space behind the ice making machines on each Hotel floor.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HK$ 47,300/ USD 6,064</w:t>
      </w:r>
    </w:p>
    <w:p>
      <w:pPr>
        <w:spacing w:after="0" w:line="246" w:lineRule="exact"/>
        <w:rPr>
          <w:sz w:val="20"/>
          <w:szCs w:val="20"/>
          <w:color w:val="auto"/>
        </w:rPr>
      </w:pPr>
    </w:p>
    <w:p>
      <w:pPr>
        <w:ind w:right="7079" w:firstLine="4"/>
        <w:spacing w:after="0" w:line="344" w:lineRule="auto"/>
        <w:tabs>
          <w:tab w:leader="none" w:pos="2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Replace grill plate with deep fryer Location: Café Kitchen</w:t>
      </w:r>
    </w:p>
    <w:p>
      <w:pPr>
        <w:spacing w:after="0"/>
        <w:rPr>
          <w:rFonts w:ascii="Arial" w:cs="Arial" w:eastAsia="Arial" w:hAnsi="Arial"/>
          <w:sz w:val="18"/>
          <w:szCs w:val="18"/>
          <w:color w:val="auto"/>
        </w:rPr>
      </w:pPr>
      <w:r>
        <w:rPr>
          <w:rFonts w:ascii="Arial" w:cs="Arial" w:eastAsia="Arial" w:hAnsi="Arial"/>
          <w:sz w:val="18"/>
          <w:szCs w:val="18"/>
          <w:color w:val="auto"/>
        </w:rPr>
        <w:t>The grille plate is replaced with a deep fat fryer at this kitchen.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HK$ 10,000/ USD 1,283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43. Chopping board length adjustment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Location: Commissary Kitchen, R.S Kitchen, Japanese Sushi Bar, Italian Restaurant Kitchen.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chopping boards at these kitchens are increased in length.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HK$ 10,000/ USD 1,283</w:t>
      </w:r>
    </w:p>
    <w:p>
      <w:pPr>
        <w:spacing w:after="0" w:line="246" w:lineRule="exact"/>
        <w:rPr>
          <w:sz w:val="20"/>
          <w:szCs w:val="20"/>
          <w:color w:val="auto"/>
        </w:rPr>
      </w:pPr>
    </w:p>
    <w:p>
      <w:pPr>
        <w:ind w:right="6079" w:firstLine="4"/>
        <w:spacing w:after="0" w:line="344" w:lineRule="auto"/>
        <w:tabs>
          <w:tab w:leader="none" w:pos="2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Sushi Counter sink into sensor operated Location: Japanese Restaurant</w:t>
      </w:r>
    </w:p>
    <w:p>
      <w:pPr>
        <w:spacing w:after="0"/>
        <w:rPr>
          <w:rFonts w:ascii="Arial" w:cs="Arial" w:eastAsia="Arial" w:hAnsi="Arial"/>
          <w:sz w:val="18"/>
          <w:szCs w:val="18"/>
          <w:color w:val="auto"/>
        </w:rPr>
      </w:pPr>
      <w:r>
        <w:rPr>
          <w:rFonts w:ascii="Arial" w:cs="Arial" w:eastAsia="Arial" w:hAnsi="Arial"/>
          <w:sz w:val="16"/>
          <w:szCs w:val="16"/>
          <w:color w:val="auto"/>
        </w:rPr>
        <w:t>The faucet provided to the Sushi Bar sink is to be sensor operated in lieu of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HK$ 10,000/ USD 1,283</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80"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 Shifted door position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Security Workshop</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door to the workshop is moved to allow entry from the adjacent Security Office only and not from adjacent corridor as previously planned.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HK$ 3,000/ USD 385</w:t>
      </w:r>
    </w:p>
    <w:p>
      <w:pPr>
        <w:spacing w:after="0" w:line="246" w:lineRule="exact"/>
        <w:rPr>
          <w:sz w:val="20"/>
          <w:szCs w:val="20"/>
          <w:color w:val="auto"/>
        </w:rPr>
      </w:pPr>
    </w:p>
    <w:p>
      <w:pPr>
        <w:ind w:right="7720" w:firstLine="4"/>
        <w:spacing w:after="0" w:line="387"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Suite S – 1 bar modifications. Location: Hotel Tower</w:t>
      </w:r>
    </w:p>
    <w:p>
      <w:pPr>
        <w:spacing w:after="0"/>
        <w:rPr>
          <w:rFonts w:ascii="Arial" w:cs="Arial" w:eastAsia="Arial" w:hAnsi="Arial"/>
          <w:sz w:val="16"/>
          <w:szCs w:val="16"/>
          <w:color w:val="auto"/>
        </w:rPr>
      </w:pPr>
      <w:r>
        <w:rPr>
          <w:rFonts w:ascii="Arial" w:cs="Arial" w:eastAsia="Arial" w:hAnsi="Arial"/>
          <w:sz w:val="18"/>
          <w:szCs w:val="18"/>
          <w:color w:val="auto"/>
        </w:rPr>
        <w:t>Bars within the S1 Suites are extended by approximately 380 mm for inside suites and 590 mm for the outside suites.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HK$ 150,000/ USD 19,231</w:t>
      </w:r>
    </w:p>
    <w:p>
      <w:pPr>
        <w:spacing w:after="0" w:line="246" w:lineRule="exact"/>
        <w:rPr>
          <w:sz w:val="20"/>
          <w:szCs w:val="20"/>
          <w:color w:val="auto"/>
        </w:rPr>
      </w:pPr>
    </w:p>
    <w:p>
      <w:pPr>
        <w:ind w:right="6940" w:firstLine="4"/>
        <w:spacing w:after="0" w:line="413" w:lineRule="auto"/>
        <w:tabs>
          <w:tab w:leader="none" w:pos="263" w:val="left"/>
        </w:tabs>
        <w:numPr>
          <w:ilvl w:val="0"/>
          <w:numId w:val="58"/>
        </w:numPr>
        <w:rPr>
          <w:rFonts w:ascii="Arial" w:cs="Arial" w:eastAsia="Arial" w:hAnsi="Arial"/>
          <w:sz w:val="15"/>
          <w:szCs w:val="15"/>
          <w:color w:val="auto"/>
        </w:rPr>
      </w:pPr>
      <w:r>
        <w:rPr>
          <w:rFonts w:ascii="Arial" w:cs="Arial" w:eastAsia="Arial" w:hAnsi="Arial"/>
          <w:sz w:val="15"/>
          <w:szCs w:val="15"/>
          <w:color w:val="auto"/>
        </w:rPr>
        <w:t>Surveillance Room reception area layout Location: First Floor, Surveillance Room</w:t>
      </w:r>
    </w:p>
    <w:p>
      <w:pPr>
        <w:spacing w:after="0"/>
        <w:rPr>
          <w:rFonts w:ascii="Arial" w:cs="Arial" w:eastAsia="Arial" w:hAnsi="Arial"/>
          <w:sz w:val="15"/>
          <w:szCs w:val="15"/>
          <w:color w:val="auto"/>
        </w:rPr>
      </w:pPr>
      <w:r>
        <w:rPr>
          <w:rFonts w:ascii="Arial" w:cs="Arial" w:eastAsia="Arial" w:hAnsi="Arial"/>
          <w:sz w:val="18"/>
          <w:szCs w:val="18"/>
          <w:color w:val="auto"/>
        </w:rPr>
        <w:t>The layout of the room is revised to allow one additional workstation.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HK$ 41,500/ USD 5,321</w:t>
      </w:r>
    </w:p>
    <w:p>
      <w:pPr>
        <w:spacing w:after="0" w:line="246" w:lineRule="exact"/>
        <w:rPr>
          <w:sz w:val="20"/>
          <w:szCs w:val="20"/>
          <w:color w:val="auto"/>
        </w:rPr>
      </w:pPr>
    </w:p>
    <w:p>
      <w:pPr>
        <w:ind w:right="8020" w:firstLine="4"/>
        <w:spacing w:after="0" w:line="413" w:lineRule="auto"/>
        <w:tabs>
          <w:tab w:leader="none" w:pos="263" w:val="left"/>
        </w:tabs>
        <w:numPr>
          <w:ilvl w:val="0"/>
          <w:numId w:val="59"/>
        </w:numPr>
        <w:rPr>
          <w:rFonts w:ascii="Arial" w:cs="Arial" w:eastAsia="Arial" w:hAnsi="Arial"/>
          <w:sz w:val="15"/>
          <w:szCs w:val="15"/>
          <w:color w:val="auto"/>
        </w:rPr>
      </w:pPr>
      <w:r>
        <w:rPr>
          <w:rFonts w:ascii="Arial" w:cs="Arial" w:eastAsia="Arial" w:hAnsi="Arial"/>
          <w:sz w:val="15"/>
          <w:szCs w:val="15"/>
          <w:color w:val="auto"/>
        </w:rPr>
        <w:t>Glass shelf at the vanities Location: Hotel Rooms</w:t>
      </w:r>
    </w:p>
    <w:p>
      <w:pPr>
        <w:spacing w:after="0"/>
        <w:rPr>
          <w:rFonts w:ascii="Arial" w:cs="Arial" w:eastAsia="Arial" w:hAnsi="Arial"/>
          <w:sz w:val="15"/>
          <w:szCs w:val="15"/>
          <w:color w:val="auto"/>
        </w:rPr>
      </w:pPr>
      <w:r>
        <w:rPr>
          <w:rFonts w:ascii="Arial" w:cs="Arial" w:eastAsia="Arial" w:hAnsi="Arial"/>
          <w:sz w:val="16"/>
          <w:szCs w:val="16"/>
          <w:color w:val="auto"/>
        </w:rPr>
        <w:t>At all hotel rooms above the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the glass shelf above the vanity counters is to be raised as per revised Interior Design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80"/>
          </w:cols>
          <w:pgMar w:left="700" w:top="280" w:right="1119" w:bottom="1440" w:gutter="0" w:footer="0" w:header="0"/>
        </w:sectPr>
      </w:pPr>
    </w:p>
    <w:bookmarkStart w:id="79" w:name="page80"/>
    <w:bookmarkEnd w:id="79"/>
    <w:p>
      <w:pPr>
        <w:ind w:right="8000" w:firstLine="4"/>
        <w:spacing w:after="0" w:line="387" w:lineRule="auto"/>
        <w:tabs>
          <w:tab w:leader="none" w:pos="263"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 service cashier in kitchen Location: Ground Level, Lobby Lounge</w:t>
      </w:r>
    </w:p>
    <w:p>
      <w:pPr>
        <w:spacing w:after="0"/>
        <w:rPr>
          <w:rFonts w:ascii="Arial" w:cs="Arial" w:eastAsia="Arial" w:hAnsi="Arial"/>
          <w:sz w:val="16"/>
          <w:szCs w:val="16"/>
          <w:color w:val="auto"/>
        </w:rPr>
      </w:pPr>
      <w:r>
        <w:rPr>
          <w:rFonts w:ascii="Arial" w:cs="Arial" w:eastAsia="Arial" w:hAnsi="Arial"/>
          <w:sz w:val="18"/>
          <w:szCs w:val="18"/>
          <w:color w:val="auto"/>
        </w:rPr>
        <w:t>A cashier service station is added in the kitchen.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179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HK$ 75,075/ USD 9,625</w:t>
      </w:r>
    </w:p>
    <w:p>
      <w:pPr>
        <w:spacing w:after="0" w:line="246" w:lineRule="exact"/>
        <w:rPr>
          <w:sz w:val="20"/>
          <w:szCs w:val="20"/>
          <w:color w:val="auto"/>
        </w:rPr>
      </w:pPr>
    </w:p>
    <w:p>
      <w:pPr>
        <w:ind w:right="6740" w:firstLine="4"/>
        <w:spacing w:after="0" w:line="344" w:lineRule="auto"/>
        <w:tabs>
          <w:tab w:leader="none" w:pos="2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Door addition and upgrade to Front of House finishes. Location: Japanese Restaurant Kitchen</w:t>
      </w:r>
    </w:p>
    <w:p>
      <w:pPr>
        <w:spacing w:after="0"/>
        <w:rPr>
          <w:rFonts w:ascii="Arial" w:cs="Arial" w:eastAsia="Arial" w:hAnsi="Arial"/>
          <w:sz w:val="18"/>
          <w:szCs w:val="18"/>
          <w:color w:val="auto"/>
        </w:rPr>
      </w:pPr>
      <w:r>
        <w:rPr>
          <w:rFonts w:ascii="Arial" w:cs="Arial" w:eastAsia="Arial" w:hAnsi="Arial"/>
          <w:sz w:val="16"/>
          <w:szCs w:val="16"/>
          <w:color w:val="auto"/>
        </w:rPr>
        <w:t>The interior finishes adjacent to the kitchen entrance are upgraded to front of house standard where visible to the public and an additional door added.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HK$ 100,000/ USD 12,821</w:t>
      </w:r>
    </w:p>
    <w:p>
      <w:pPr>
        <w:spacing w:after="0" w:line="246" w:lineRule="exact"/>
        <w:rPr>
          <w:sz w:val="20"/>
          <w:szCs w:val="20"/>
          <w:color w:val="auto"/>
        </w:rPr>
      </w:pPr>
    </w:p>
    <w:p>
      <w:pPr>
        <w:ind w:right="8280" w:firstLine="4"/>
        <w:spacing w:after="0" w:line="387" w:lineRule="auto"/>
        <w:tabs>
          <w:tab w:leader="none" w:pos="2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Upgrade Dealers’ Entry finishes Location: Main Casino Area</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doors at the dealers’ entry to the Casino along GL 15 are removed. The interior décor to service corridor at this location becomes visible to the public and is upgraded to a front of house standard.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HK$ 400,000/ USD 51,282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52. Public Restroom entry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Lobby Lounge</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entrance to the Public Restrooms located between GL 9-10 and P-Q is relocated away from the main Promenade. A separate access corridor to the restrooms is created through the North West corner of the Lobby Lounge leading from the Promenade check-out area.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700" w:top="280"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 Lobby Lounge revision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Lobby Lounge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wall layout at the South East corner of the Lobby Lounge is revised as a result of the introduction of the external entry to the Japanese Restaurant on the pool side and which impacts on the layout of the private dining area adjacent to the Lobby Lounge.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7040" w:firstLine="4"/>
        <w:spacing w:after="0" w:line="344" w:lineRule="auto"/>
        <w:tabs>
          <w:tab w:leader="none" w:pos="2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Re-aligning the glass façade to Retail Space # 12 Location: Retail Promenade</w:t>
      </w:r>
    </w:p>
    <w:p>
      <w:pPr>
        <w:spacing w:after="0"/>
        <w:rPr>
          <w:rFonts w:ascii="Arial" w:cs="Arial" w:eastAsia="Arial" w:hAnsi="Arial"/>
          <w:sz w:val="18"/>
          <w:szCs w:val="18"/>
          <w:color w:val="auto"/>
        </w:rPr>
      </w:pPr>
      <w:r>
        <w:rPr>
          <w:rFonts w:ascii="Arial" w:cs="Arial" w:eastAsia="Arial" w:hAnsi="Arial"/>
          <w:sz w:val="18"/>
          <w:szCs w:val="18"/>
          <w:color w:val="auto"/>
        </w:rPr>
        <w:t>The glass façade to Retail Space 12 is re-aligned with the setting out of the flooring and ceiling revised accordingly.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HK$ 20,000/ USD 2,564</w:t>
      </w:r>
    </w:p>
    <w:p>
      <w:pPr>
        <w:spacing w:after="0" w:line="246" w:lineRule="exact"/>
        <w:rPr>
          <w:sz w:val="20"/>
          <w:szCs w:val="20"/>
          <w:color w:val="auto"/>
        </w:rPr>
      </w:pPr>
    </w:p>
    <w:p>
      <w:pPr>
        <w:ind w:right="6620" w:firstLine="4"/>
        <w:spacing w:after="0" w:line="344" w:lineRule="auto"/>
        <w:tabs>
          <w:tab w:leader="none" w:pos="2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Eliminating honed stone within End Suite living rooms Location: Hotel End Suites (S2s)</w:t>
      </w:r>
    </w:p>
    <w:p>
      <w:pPr>
        <w:spacing w:after="0"/>
        <w:rPr>
          <w:rFonts w:ascii="Arial" w:cs="Arial" w:eastAsia="Arial" w:hAnsi="Arial"/>
          <w:sz w:val="18"/>
          <w:szCs w:val="18"/>
          <w:color w:val="auto"/>
        </w:rPr>
      </w:pPr>
      <w:r>
        <w:rPr>
          <w:rFonts w:ascii="Arial" w:cs="Arial" w:eastAsia="Arial" w:hAnsi="Arial"/>
          <w:sz w:val="16"/>
          <w:szCs w:val="16"/>
          <w:color w:val="auto"/>
        </w:rPr>
        <w:t>Stone flooring in the suite living rooms is changed to all polished stone in lieu of the honed/ polished stone mix for consistency of floor finish.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HK$ 30,000/ USD 3,846</w:t>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700" w:top="280" w:right="439" w:bottom="1440" w:gutter="0" w:footer="0" w:header="0"/>
        </w:sectPr>
      </w:pPr>
    </w:p>
    <w:bookmarkStart w:id="81" w:name="page82"/>
    <w:bookmarkEnd w:id="81"/>
    <w:p>
      <w:pPr>
        <w:ind w:right="8580" w:firstLine="4"/>
        <w:spacing w:after="0" w:line="413" w:lineRule="auto"/>
        <w:tabs>
          <w:tab w:leader="none" w:pos="263" w:val="left"/>
        </w:tabs>
        <w:numPr>
          <w:ilvl w:val="0"/>
          <w:numId w:val="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Re-design Cage counters Location: Cage Counters</w:t>
      </w:r>
    </w:p>
    <w:p>
      <w:pPr>
        <w:spacing w:after="0"/>
        <w:rPr>
          <w:rFonts w:ascii="Arial" w:cs="Arial" w:eastAsia="Arial" w:hAnsi="Arial"/>
          <w:sz w:val="15"/>
          <w:szCs w:val="15"/>
          <w:color w:val="auto"/>
        </w:rPr>
      </w:pPr>
      <w:r>
        <w:rPr>
          <w:rFonts w:ascii="Arial" w:cs="Arial" w:eastAsia="Arial" w:hAnsi="Arial"/>
          <w:sz w:val="18"/>
          <w:szCs w:val="18"/>
          <w:color w:val="auto"/>
        </w:rPr>
        <w:t>Provision of additional cooling fans to the Cage counters counter to meet cooling requirements of IT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5720" w:firstLine="4"/>
        <w:spacing w:after="0" w:line="344" w:lineRule="auto"/>
        <w:tabs>
          <w:tab w:leader="none" w:pos="2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Reverse shower layout and add bench Executive Office bathroom Location: Executive Office</w:t>
      </w:r>
    </w:p>
    <w:p>
      <w:pPr>
        <w:spacing w:after="0"/>
        <w:rPr>
          <w:rFonts w:ascii="Arial" w:cs="Arial" w:eastAsia="Arial" w:hAnsi="Arial"/>
          <w:sz w:val="18"/>
          <w:szCs w:val="18"/>
          <w:color w:val="auto"/>
        </w:rPr>
      </w:pPr>
      <w:r>
        <w:rPr>
          <w:rFonts w:ascii="Arial" w:cs="Arial" w:eastAsia="Arial" w:hAnsi="Arial"/>
          <w:sz w:val="18"/>
          <w:szCs w:val="18"/>
          <w:color w:val="auto"/>
        </w:rPr>
        <w:t>The layout of the shower in Executive Office No.1 is revised and a bench added.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189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58. Relocation of Hotel Garbage Chute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First Floor Linen Sorting and Third Floor Hotel Garbage Chute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Hotel garbage collection room is relocated from the First Floor to the area previously assigned as a store room on the Third Floor (adjacent to the Service Lift Lobby). The Laundry collection room at the First Floor is enlarged into the area previously assigned for garbage collection. As a result the installed garbage chute is to be modified to terminate at the Third Floor and room finishes are revised to meet standards required for a wet area.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HK$ 340,000/ USD 43,590</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600"/>
          </w:cols>
          <w:pgMar w:left="700" w:top="280" w:right="599" w:bottom="1440" w:gutter="0" w:footer="0" w:header="0"/>
        </w:sectPr>
      </w:pPr>
    </w:p>
    <w:bookmarkStart w:id="82" w:name="page83"/>
    <w:bookmarkEnd w:id="82"/>
    <w:p>
      <w:pPr>
        <w:ind w:right="8000" w:firstLine="4"/>
        <w:spacing w:after="0" w:line="387" w:lineRule="auto"/>
        <w:tabs>
          <w:tab w:leader="none" w:pos="263"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5no. of doors’ width Location: First Floor, Service Lift Lobby</w:t>
      </w:r>
    </w:p>
    <w:p>
      <w:pPr>
        <w:spacing w:after="0"/>
        <w:rPr>
          <w:rFonts w:ascii="Arial" w:cs="Arial" w:eastAsia="Arial" w:hAnsi="Arial"/>
          <w:sz w:val="16"/>
          <w:szCs w:val="16"/>
          <w:color w:val="auto"/>
        </w:rPr>
      </w:pPr>
      <w:r>
        <w:rPr>
          <w:rFonts w:ascii="Arial" w:cs="Arial" w:eastAsia="Arial" w:hAnsi="Arial"/>
          <w:sz w:val="18"/>
          <w:szCs w:val="18"/>
          <w:color w:val="auto"/>
        </w:rPr>
        <w:t>The opening width of 5 nr doors within the service lift lobby is increased to allow easier access for housekeeping service cart.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jc w:val="both"/>
        <w:ind w:right="8600" w:firstLine="4"/>
        <w:spacing w:after="0" w:line="387" w:lineRule="auto"/>
        <w:tabs>
          <w:tab w:leader="none" w:pos="263" w:val="left"/>
        </w:tabs>
        <w:numPr>
          <w:ilvl w:val="0"/>
          <w:numId w:val="68"/>
        </w:numPr>
        <w:rPr>
          <w:rFonts w:ascii="Arial" w:cs="Arial" w:eastAsia="Arial" w:hAnsi="Arial"/>
          <w:sz w:val="16"/>
          <w:szCs w:val="16"/>
          <w:color w:val="auto"/>
        </w:rPr>
      </w:pPr>
      <w:r>
        <w:rPr>
          <w:rFonts w:ascii="Arial" w:cs="Arial" w:eastAsia="Arial" w:hAnsi="Arial"/>
          <w:sz w:val="16"/>
          <w:szCs w:val="16"/>
          <w:color w:val="auto"/>
        </w:rPr>
        <w:t>Upgrade Lift Lobby finishes Location: Multi-storey Car Park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lift and lift lobby interior finishes at the car park are upgraded from a “back of house” to a “front of house” standard and air conditioning is introduced to the lobbies.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HK$ 800,000/ USD 102,565</w:t>
      </w:r>
    </w:p>
    <w:p>
      <w:pPr>
        <w:spacing w:after="0" w:line="246" w:lineRule="exact"/>
        <w:rPr>
          <w:sz w:val="20"/>
          <w:szCs w:val="20"/>
          <w:color w:val="auto"/>
        </w:rPr>
      </w:pPr>
    </w:p>
    <w:p>
      <w:pPr>
        <w:ind w:right="8320" w:firstLine="4"/>
        <w:spacing w:after="0" w:line="387" w:lineRule="auto"/>
        <w:tabs>
          <w:tab w:leader="none" w:pos="263"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Revised layout of Staff Entrance Location: Podium External Entry</w:t>
      </w:r>
    </w:p>
    <w:p>
      <w:pPr>
        <w:spacing w:after="0"/>
        <w:rPr>
          <w:rFonts w:ascii="Arial" w:cs="Arial" w:eastAsia="Arial" w:hAnsi="Arial"/>
          <w:sz w:val="16"/>
          <w:szCs w:val="16"/>
          <w:color w:val="auto"/>
        </w:rPr>
      </w:pPr>
      <w:r>
        <w:rPr>
          <w:rFonts w:ascii="Arial" w:cs="Arial" w:eastAsia="Arial" w:hAnsi="Arial"/>
          <w:sz w:val="16"/>
          <w:szCs w:val="16"/>
          <w:color w:val="auto"/>
        </w:rPr>
        <w:t>The internal layout at the Staff Entry is revised to incorporate a separate entry to the recruitment office with access/ egress control by automatic turnstiles.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8320" w:firstLine="4"/>
        <w:spacing w:after="0" w:line="387" w:lineRule="auto"/>
        <w:tabs>
          <w:tab w:leader="none" w:pos="2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Marquee Sign foundation Location: North West Corner of Site</w:t>
      </w:r>
    </w:p>
    <w:p>
      <w:pPr>
        <w:spacing w:after="0"/>
        <w:rPr>
          <w:rFonts w:ascii="Arial" w:cs="Arial" w:eastAsia="Arial" w:hAnsi="Arial"/>
          <w:sz w:val="16"/>
          <w:szCs w:val="16"/>
          <w:color w:val="auto"/>
        </w:rPr>
      </w:pPr>
      <w:r>
        <w:rPr>
          <w:rFonts w:ascii="Arial" w:cs="Arial" w:eastAsia="Arial" w:hAnsi="Arial"/>
          <w:sz w:val="18"/>
          <w:szCs w:val="18"/>
          <w:color w:val="auto"/>
        </w:rPr>
        <w:t>The reinforced concrete foundation for the Wynn Marquee sign is added to the Contractor’s scope of 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HK$ 8,000,000/ USD 1,025,641</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700" w:top="280" w:right="319" w:bottom="1440" w:gutter="0" w:footer="0" w:header="0"/>
        </w:sectPr>
      </w:pPr>
    </w:p>
    <w:bookmarkStart w:id="83" w:name="page84"/>
    <w:bookmarkEnd w:id="83"/>
    <w:p>
      <w:pPr>
        <w:ind w:right="6980" w:firstLine="4"/>
        <w:spacing w:after="0" w:line="344" w:lineRule="auto"/>
        <w:tabs>
          <w:tab w:leader="none" w:pos="263"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Detailing and millwork in Back of House areas Location: All Back of House Areas</w:t>
      </w:r>
    </w:p>
    <w:p>
      <w:pPr>
        <w:spacing w:after="0" w:line="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Minor changes to millwork in the Back of House areas to match the final layout of system furniture and FF &amp; E. Generally electrical and mechanical services locations are to remain unchanged and as installed on site unless required to accommodate specific equipment needs.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7380" w:firstLine="4"/>
        <w:spacing w:after="0" w:line="344" w:lineRule="auto"/>
        <w:tabs>
          <w:tab w:leader="none" w:pos="2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Clarification of rigging, A/V and lighting Location: Grand Ballroom</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steelwork gantry for support to stage rigging, audio/ visual and lighting equipment is to be supplied and installed by the Contractor and not by the Owner’s specialist contractor as provided in the original scope.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199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7560" w:firstLine="4"/>
        <w:spacing w:after="0" w:line="344"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Delete side wall of the Slot Club booth Location: Slot Machine Area</w:t>
      </w:r>
    </w:p>
    <w:p>
      <w:pPr>
        <w:spacing w:after="0"/>
        <w:rPr>
          <w:rFonts w:ascii="Arial" w:cs="Arial" w:eastAsia="Arial" w:hAnsi="Arial"/>
          <w:sz w:val="18"/>
          <w:szCs w:val="18"/>
          <w:color w:val="auto"/>
        </w:rPr>
      </w:pPr>
      <w:r>
        <w:rPr>
          <w:rFonts w:ascii="Arial" w:cs="Arial" w:eastAsia="Arial" w:hAnsi="Arial"/>
          <w:sz w:val="18"/>
          <w:szCs w:val="18"/>
          <w:color w:val="auto"/>
        </w:rPr>
        <w:t>The side walls to the Casino slot booth are deleted to allow unrestricted views of the slot area.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700" w:top="280" w:right="639" w:bottom="1440" w:gutter="0" w:footer="0" w:header="0"/>
        </w:sectPr>
      </w:pPr>
    </w:p>
    <w:bookmarkStart w:id="84" w:name="page85"/>
    <w:bookmarkEnd w:id="84"/>
    <w:p>
      <w:pPr>
        <w:ind w:right="7500" w:firstLine="4"/>
        <w:spacing w:after="0" w:line="344" w:lineRule="auto"/>
        <w:tabs>
          <w:tab w:leader="none" w:pos="263"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Re-layout of DICJ Room and Police Room Location: DICJ &amp; Police Room</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internal layout of the Security (Police) office and DICJ Regulators’ office are revised and a power and data provision for LCD screens is included for two locations.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HK$30,765/ USD 3,944</w:t>
      </w:r>
    </w:p>
    <w:p>
      <w:pPr>
        <w:spacing w:after="0" w:line="246" w:lineRule="exact"/>
        <w:rPr>
          <w:sz w:val="20"/>
          <w:szCs w:val="20"/>
          <w:color w:val="auto"/>
        </w:rPr>
      </w:pPr>
    </w:p>
    <w:p>
      <w:pPr>
        <w:ind w:right="8920" w:firstLine="4"/>
        <w:spacing w:after="0" w:line="413" w:lineRule="auto"/>
        <w:tabs>
          <w:tab w:leader="none" w:pos="263" w:val="left"/>
        </w:tabs>
        <w:numPr>
          <w:ilvl w:val="0"/>
          <w:numId w:val="75"/>
        </w:numPr>
        <w:rPr>
          <w:rFonts w:ascii="Arial" w:cs="Arial" w:eastAsia="Arial" w:hAnsi="Arial"/>
          <w:sz w:val="15"/>
          <w:szCs w:val="15"/>
          <w:color w:val="auto"/>
        </w:rPr>
      </w:pPr>
      <w:r>
        <w:rPr>
          <w:rFonts w:ascii="Arial" w:cs="Arial" w:eastAsia="Arial" w:hAnsi="Arial"/>
          <w:sz w:val="15"/>
          <w:szCs w:val="15"/>
          <w:color w:val="auto"/>
        </w:rPr>
        <w:t>Warehouse layout Location: Warehouse Area</w:t>
      </w:r>
    </w:p>
    <w:p>
      <w:pPr>
        <w:spacing w:after="0" w:line="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 separate Retail Storage room is provided within the Warehouse space. The Security Guard room is revised to function as the Inventory Control Office and a new workspace is added for warehouse staff within the Staging area incorporating fixed millwork work stations. The layout of the installed AFSS systems in the Warehouse is also to be modified based on the final racking layout received from WRM operations.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HK$ 185,000/ USD 23,718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68. Mail Room detailing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Ground Floor, Mail Room</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Minor changes to millwork detailing based on final FF&amp;E requirements. The room will incorporate a shut-off switch that allows isolation of the HVAC system in the event of receiving potentially hazardous material.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HK$ 17,500/ USD 2,244</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00"/>
          </w:cols>
          <w:pgMar w:left="700" w:top="280" w:right="399" w:bottom="1440" w:gutter="0" w:footer="0" w:header="0"/>
        </w:sectPr>
      </w:pPr>
    </w:p>
    <w:bookmarkStart w:id="85" w:name="page86"/>
    <w:bookmarkEnd w:id="85"/>
    <w:p>
      <w:pPr>
        <w:ind w:right="8440" w:firstLine="4"/>
        <w:spacing w:after="0" w:line="413" w:lineRule="auto"/>
        <w:tabs>
          <w:tab w:leader="none" w:pos="263" w:val="left"/>
        </w:tabs>
        <w:numPr>
          <w:ilvl w:val="0"/>
          <w:numId w:val="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Revision to Retail Promenade Location: Retail Promenade</w:t>
      </w:r>
    </w:p>
    <w:p>
      <w:pPr>
        <w:spacing w:after="0"/>
        <w:rPr>
          <w:rFonts w:ascii="Arial" w:cs="Arial" w:eastAsia="Arial" w:hAnsi="Arial"/>
          <w:sz w:val="15"/>
          <w:szCs w:val="15"/>
          <w:color w:val="auto"/>
        </w:rPr>
      </w:pPr>
      <w:r>
        <w:rPr>
          <w:rFonts w:ascii="Arial" w:cs="Arial" w:eastAsia="Arial" w:hAnsi="Arial"/>
          <w:sz w:val="18"/>
          <w:szCs w:val="18"/>
          <w:color w:val="auto"/>
        </w:rPr>
        <w:t>Minor changes to the demising walls around retail spaces to meet specific requirements of tenants.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8000" w:firstLine="4"/>
        <w:spacing w:after="0" w:line="387" w:lineRule="auto"/>
        <w:tabs>
          <w:tab w:leader="none" w:pos="263"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Detailing of the Lobby Lounge bar Location: Ground Floor, Lobby Lounge</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layout of the back of house area is revised to incorporate a new kitchen and cocktail bar. In order to accommodate the kitchen the original service bar area is reduced and relocated and the performers’ room reduced in size. These layout revisions involve extensive alterations to services installations and drywall that are already installed. The temporary stage unit included in the revised plans is to be supplied by the Owner.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HK$ 1,200,000/ USD 153,847</w:t>
      </w:r>
    </w:p>
    <w:p>
      <w:pPr>
        <w:spacing w:after="0" w:line="246" w:lineRule="exact"/>
        <w:rPr>
          <w:sz w:val="20"/>
          <w:szCs w:val="20"/>
          <w:color w:val="auto"/>
        </w:rPr>
      </w:pPr>
    </w:p>
    <w:p>
      <w:pPr>
        <w:ind w:right="6780" w:firstLine="4"/>
        <w:spacing w:after="0" w:line="344" w:lineRule="auto"/>
        <w:tabs>
          <w:tab w:leader="none" w:pos="2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Final construction revision in the Back of House area Location: All Back of House area</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Final detail changes are to be incorporated to the installed drywall and services rough-ins at the Ground Floor back of house areas as identified on the following marked up drawings: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WM20000-0018-0064-R7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WM20000-0002-048-R7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WM20000-0004-050-R9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WM20000-0005-051-R8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WM20000-0006-052-R8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WM20000-0013-059-R9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WM20000-0015-061-R6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WM20100-0101-077-R10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WM20100-0104-080-R8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WM20100-0114-090-R10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WM20100-0106-082-R10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WM20100-0117-093-R7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HK$ 800,000/ USD 102,565</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700" w:top="280" w:right="399" w:bottom="1440" w:gutter="0" w:footer="0" w:header="0"/>
        </w:sectPr>
      </w:pPr>
    </w:p>
    <w:bookmarkStart w:id="86" w:name="page87"/>
    <w:bookmarkEnd w:id="86"/>
    <w:p>
      <w:pPr>
        <w:ind w:right="6400" w:firstLine="4"/>
        <w:spacing w:after="0" w:line="387" w:lineRule="auto"/>
        <w:tabs>
          <w:tab w:leader="none" w:pos="263"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and data provision for additional Timelox installation Location: First Floor, Grand Ballroom and Meeting rooms</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Provision of power and data points for additional 8nr Timelox units to be installed by the Contractor at the above locations. Timelox units are supplied by the Owner for installation by the Contractor.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HK$ 42,000/ USD 5,385</w:t>
      </w:r>
    </w:p>
    <w:p>
      <w:pPr>
        <w:spacing w:after="0" w:line="246" w:lineRule="exact"/>
        <w:rPr>
          <w:sz w:val="20"/>
          <w:szCs w:val="20"/>
          <w:color w:val="auto"/>
        </w:rPr>
      </w:pPr>
    </w:p>
    <w:p>
      <w:pPr>
        <w:ind w:right="6160" w:firstLine="4"/>
        <w:spacing w:after="0" w:line="387" w:lineRule="auto"/>
        <w:tabs>
          <w:tab w:leader="none" w:pos="263"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Construction revision and re-locate security equipment Location: First Floor, Security and Surveillance Monitoring Rooms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interior layout of the Security and Surveillance Monitoring Room is revised and equipment relocated as per direction of the Security Consultant on the 25th October 2005.</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As set out in the various revised drawings listed in Appendix A to this Change Order No.1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246" w:lineRule="exact"/>
        <w:rPr>
          <w:sz w:val="20"/>
          <w:szCs w:val="20"/>
          <w:color w:val="auto"/>
        </w:rPr>
      </w:pPr>
    </w:p>
    <w:p>
      <w:pPr>
        <w:ind w:right="6200" w:firstLine="4"/>
        <w:spacing w:after="0" w:line="344"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Construction revision and detailing of the Lost &amp; Found Room Location: Lost and Found Room</w:t>
      </w:r>
    </w:p>
    <w:p>
      <w:pPr>
        <w:spacing w:after="0"/>
        <w:rPr>
          <w:rFonts w:ascii="Arial" w:cs="Arial" w:eastAsia="Arial" w:hAnsi="Arial"/>
          <w:sz w:val="18"/>
          <w:szCs w:val="18"/>
          <w:color w:val="auto"/>
        </w:rPr>
      </w:pPr>
      <w:r>
        <w:rPr>
          <w:rFonts w:ascii="Arial" w:cs="Arial" w:eastAsia="Arial" w:hAnsi="Arial"/>
          <w:sz w:val="18"/>
          <w:szCs w:val="18"/>
          <w:color w:val="auto"/>
        </w:rPr>
        <w:t>Minor change to interior layout of the Lost and Found Room.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 Request Form: 210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Design Action Notification: DAN/ 0066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Nil</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80" w:right="29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 Speaker Lamp Posts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Main Entrance Water Feature</w:t>
      </w:r>
    </w:p>
    <w:p>
      <w:pPr>
        <w:spacing w:after="0" w:line="90" w:lineRule="exact"/>
        <w:rPr>
          <w:sz w:val="20"/>
          <w:szCs w:val="20"/>
          <w:color w:val="auto"/>
        </w:rPr>
      </w:pPr>
    </w:p>
    <w:p>
      <w:pPr>
        <w:ind w:right="2140"/>
        <w:spacing w:after="0" w:line="362" w:lineRule="auto"/>
        <w:rPr>
          <w:sz w:val="20"/>
          <w:szCs w:val="20"/>
          <w:color w:val="auto"/>
        </w:rPr>
      </w:pPr>
      <w:r>
        <w:rPr>
          <w:rFonts w:ascii="Arial" w:cs="Arial" w:eastAsia="Arial" w:hAnsi="Arial"/>
          <w:sz w:val="18"/>
          <w:szCs w:val="18"/>
          <w:color w:val="auto"/>
        </w:rPr>
        <w:t>Lamp post columns are to be provided with Speakers and Sub-woofer for the music component of the Water Feature Display. Increase to the Guaranteed Maximum Price: HK$ 3,500,000/ USD 448,718</w:t>
      </w:r>
    </w:p>
    <w:p>
      <w:pPr>
        <w:spacing w:after="0" w:line="132" w:lineRule="exact"/>
        <w:rPr>
          <w:sz w:val="20"/>
          <w:szCs w:val="20"/>
          <w:color w:val="auto"/>
        </w:rPr>
      </w:pPr>
    </w:p>
    <w:p>
      <w:pPr>
        <w:ind w:right="5660" w:firstLine="4"/>
        <w:spacing w:after="0" w:line="344" w:lineRule="auto"/>
        <w:tabs>
          <w:tab w:leader="none" w:pos="2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Marque Sign: Structural steel, cladding and Building Maintenance Unit Location: Main Entrance</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Design and construct primary steelwork and cladding system for the Wynn Marque sign, generally in accordance with proposals negotiated between Wynn Design Development and Genetron Engineering Co Ltd who are the selected Subcontractor for this package of work. The work to be undertaken is included in the Contractor’s letter of award issued reference C2263/5.67/L-21963/MC/CMc/Fo/yi. Direct costs determined from provisional assessments which are to be adjusted to reflect the actual costs incurred by Genetron.</w:t>
      </w:r>
    </w:p>
    <w:p>
      <w:pPr>
        <w:spacing w:after="0" w:line="6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scope of work further includes the provision of a Building Maintenance Unit, Contractor’s Letter of Award to Genetron, reference C2263/5.67/L-22275/MC/Fo/yi.</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drawings used in defining this change are:</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Consultants (Young Electric Sign Company) Drawing List</w:t>
      </w: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Drawing</w:t>
            </w:r>
          </w:p>
        </w:tc>
        <w:tc>
          <w:tcPr>
            <w:tcW w:w="60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85"/>
              </w:rPr>
              <w:t>Rev</w:t>
            </w:r>
          </w:p>
        </w:tc>
        <w:tc>
          <w:tcPr>
            <w:tcW w:w="6660" w:type="dxa"/>
            <w:vAlign w:val="bottom"/>
            <w:gridSpan w:val="2"/>
          </w:tcPr>
          <w:p>
            <w:pPr>
              <w:ind w:left="360"/>
              <w:spacing w:after="0"/>
              <w:rPr>
                <w:sz w:val="20"/>
                <w:szCs w:val="20"/>
                <w:color w:val="auto"/>
              </w:rPr>
            </w:pPr>
            <w:r>
              <w:rPr>
                <w:rFonts w:ascii="Arial" w:cs="Arial" w:eastAsia="Arial" w:hAnsi="Arial"/>
                <w:sz w:val="14"/>
                <w:szCs w:val="14"/>
                <w:b w:val="1"/>
                <w:bCs w:val="1"/>
                <w:color w:val="auto"/>
              </w:rPr>
              <w:t>Title</w:t>
            </w:r>
          </w:p>
        </w:tc>
      </w:tr>
      <w:tr>
        <w:trPr>
          <w:trHeight w:val="209"/>
        </w:trPr>
        <w:tc>
          <w:tcPr>
            <w:tcW w:w="1880" w:type="dxa"/>
            <w:vAlign w:val="bottom"/>
          </w:tcPr>
          <w:p>
            <w:pPr>
              <w:spacing w:after="0" w:line="202" w:lineRule="exact"/>
              <w:rPr>
                <w:sz w:val="20"/>
                <w:szCs w:val="20"/>
                <w:color w:val="auto"/>
              </w:rPr>
            </w:pPr>
            <w:r>
              <w:rPr>
                <w:rFonts w:ascii="Arial" w:cs="Arial" w:eastAsia="Arial" w:hAnsi="Arial"/>
                <w:sz w:val="18"/>
                <w:szCs w:val="18"/>
                <w:color w:val="auto"/>
              </w:rPr>
              <w:t>A1.00</w:t>
            </w:r>
          </w:p>
        </w:tc>
        <w:tc>
          <w:tcPr>
            <w:tcW w:w="36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PYLON_SIGN DETAILS</w:t>
            </w:r>
          </w:p>
        </w:tc>
      </w:tr>
      <w:tr>
        <w:trPr>
          <w:trHeight w:val="275"/>
        </w:trPr>
        <w:tc>
          <w:tcPr>
            <w:tcW w:w="1880" w:type="dxa"/>
            <w:vAlign w:val="bottom"/>
          </w:tcPr>
          <w:p>
            <w:pPr>
              <w:spacing w:after="0"/>
              <w:rPr>
                <w:sz w:val="20"/>
                <w:szCs w:val="20"/>
                <w:color w:val="auto"/>
              </w:rPr>
            </w:pPr>
            <w:r>
              <w:rPr>
                <w:rFonts w:ascii="Arial" w:cs="Arial" w:eastAsia="Arial" w:hAnsi="Arial"/>
                <w:sz w:val="18"/>
                <w:szCs w:val="18"/>
                <w:color w:val="auto"/>
              </w:rPr>
              <w:t>A1.01</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PYLON_SIGN DETAILS</w:t>
            </w:r>
          </w:p>
        </w:tc>
      </w:tr>
      <w:tr>
        <w:trPr>
          <w:trHeight w:val="284"/>
        </w:trPr>
        <w:tc>
          <w:tcPr>
            <w:tcW w:w="1880" w:type="dxa"/>
            <w:vAlign w:val="bottom"/>
          </w:tcPr>
          <w:p>
            <w:pPr>
              <w:spacing w:after="0"/>
              <w:rPr>
                <w:sz w:val="20"/>
                <w:szCs w:val="20"/>
                <w:color w:val="auto"/>
              </w:rPr>
            </w:pPr>
            <w:r>
              <w:rPr>
                <w:rFonts w:ascii="Arial" w:cs="Arial" w:eastAsia="Arial" w:hAnsi="Arial"/>
                <w:sz w:val="18"/>
                <w:szCs w:val="18"/>
                <w:color w:val="auto"/>
              </w:rPr>
              <w:t>A1.02</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PYLON_SIGN DETAILS</w:t>
            </w:r>
          </w:p>
        </w:tc>
      </w:tr>
      <w:tr>
        <w:trPr>
          <w:trHeight w:val="284"/>
        </w:trPr>
        <w:tc>
          <w:tcPr>
            <w:tcW w:w="1880" w:type="dxa"/>
            <w:vAlign w:val="bottom"/>
          </w:tcPr>
          <w:p>
            <w:pPr>
              <w:spacing w:after="0"/>
              <w:rPr>
                <w:sz w:val="20"/>
                <w:szCs w:val="20"/>
                <w:color w:val="auto"/>
              </w:rPr>
            </w:pPr>
            <w:r>
              <w:rPr>
                <w:rFonts w:ascii="Arial" w:cs="Arial" w:eastAsia="Arial" w:hAnsi="Arial"/>
                <w:sz w:val="18"/>
                <w:szCs w:val="18"/>
                <w:color w:val="auto"/>
              </w:rPr>
              <w:t>A1.03</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PYLON_SIGN DETAILS</w:t>
            </w:r>
          </w:p>
        </w:tc>
      </w:tr>
      <w:tr>
        <w:trPr>
          <w:trHeight w:val="284"/>
        </w:trPr>
        <w:tc>
          <w:tcPr>
            <w:tcW w:w="1880" w:type="dxa"/>
            <w:vAlign w:val="bottom"/>
          </w:tcPr>
          <w:p>
            <w:pPr>
              <w:spacing w:after="0"/>
              <w:rPr>
                <w:sz w:val="20"/>
                <w:szCs w:val="20"/>
                <w:color w:val="auto"/>
              </w:rPr>
            </w:pPr>
            <w:r>
              <w:rPr>
                <w:rFonts w:ascii="Arial" w:cs="Arial" w:eastAsia="Arial" w:hAnsi="Arial"/>
                <w:sz w:val="18"/>
                <w:szCs w:val="18"/>
                <w:color w:val="auto"/>
              </w:rPr>
              <w:t>S1.00</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M.O.A. LED DETAILS</w:t>
            </w:r>
          </w:p>
        </w:tc>
      </w:tr>
      <w:tr>
        <w:trPr>
          <w:trHeight w:val="284"/>
        </w:trPr>
        <w:tc>
          <w:tcPr>
            <w:tcW w:w="1880" w:type="dxa"/>
            <w:vAlign w:val="bottom"/>
          </w:tcPr>
          <w:p>
            <w:pPr>
              <w:spacing w:after="0"/>
              <w:rPr>
                <w:sz w:val="20"/>
                <w:szCs w:val="20"/>
                <w:color w:val="auto"/>
              </w:rPr>
            </w:pPr>
            <w:r>
              <w:rPr>
                <w:rFonts w:ascii="Arial" w:cs="Arial" w:eastAsia="Arial" w:hAnsi="Arial"/>
                <w:sz w:val="18"/>
                <w:szCs w:val="18"/>
                <w:color w:val="auto"/>
              </w:rPr>
              <w:t>S1.01</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M.O.A. LED DETAILS</w:t>
            </w:r>
          </w:p>
        </w:tc>
      </w:tr>
      <w:tr>
        <w:trPr>
          <w:trHeight w:val="284"/>
        </w:trPr>
        <w:tc>
          <w:tcPr>
            <w:tcW w:w="1880" w:type="dxa"/>
            <w:vAlign w:val="bottom"/>
          </w:tcPr>
          <w:p>
            <w:pPr>
              <w:spacing w:after="0"/>
              <w:rPr>
                <w:sz w:val="20"/>
                <w:szCs w:val="20"/>
                <w:color w:val="auto"/>
              </w:rPr>
            </w:pPr>
            <w:r>
              <w:rPr>
                <w:rFonts w:ascii="Arial" w:cs="Arial" w:eastAsia="Arial" w:hAnsi="Arial"/>
                <w:sz w:val="18"/>
                <w:szCs w:val="18"/>
                <w:color w:val="auto"/>
              </w:rPr>
              <w:t>S1.02</w:t>
            </w:r>
          </w:p>
        </w:tc>
        <w:tc>
          <w:tcPr>
            <w:tcW w:w="600" w:type="dxa"/>
            <w:vAlign w:val="bottom"/>
            <w:gridSpan w:val="2"/>
          </w:tcPr>
          <w:p>
            <w:pPr>
              <w:jc w:val="center"/>
              <w:ind w:left="255"/>
              <w:spacing w:after="0"/>
              <w:rPr>
                <w:sz w:val="20"/>
                <w:szCs w:val="20"/>
                <w:color w:val="auto"/>
              </w:rPr>
            </w:pPr>
            <w:r>
              <w:rPr>
                <w:rFonts w:ascii="Arial" w:cs="Arial" w:eastAsia="Arial" w:hAnsi="Arial"/>
                <w:sz w:val="18"/>
                <w:szCs w:val="18"/>
                <w:color w:val="auto"/>
                <w:w w:val="99"/>
              </w:rPr>
              <w:t>4</w:t>
            </w: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M.O.A. LED DETAILS</w:t>
            </w:r>
          </w:p>
        </w:tc>
      </w:tr>
    </w:tbl>
    <w:p>
      <w:pPr>
        <w:spacing w:after="0" w:line="7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scope of this change item excludes the provision of Electrical and Mechanical services, signage and any attendance on the Owner’s LCD panel contractor.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 HKD 42,500,000/ USD5,448,718</w:t>
      </w:r>
    </w:p>
    <w:p>
      <w:pPr>
        <w:spacing w:after="0" w:line="252" w:lineRule="exact"/>
        <w:rPr>
          <w:sz w:val="20"/>
          <w:szCs w:val="20"/>
          <w:color w:val="auto"/>
        </w:rPr>
      </w:pPr>
    </w:p>
    <w:p>
      <w:pPr>
        <w:ind w:right="7160" w:firstLine="4"/>
        <w:spacing w:after="0" w:line="344" w:lineRule="auto"/>
        <w:tabs>
          <w:tab w:leader="none" w:pos="2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Engagement of Audio-Visual specialist contractor Location: All areas</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As directed by Wynn Design and Development in their letter to the Contractor reference 200.001594 dated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December 2005 the Contractor shall engage PCCW (Macau) Ltd as a direct contractor to undertake Audio Visual installation works as described therein.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Increase to the Guaranteed Maximum Price: HKD 14,362,472/ USD 1,841,343</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88" w:name="page89"/>
    <w:bookmarkEnd w:id="88"/>
    <w:p>
      <w:pPr>
        <w:ind w:right="9040" w:firstLine="4"/>
        <w:spacing w:after="0" w:line="387" w:lineRule="auto"/>
        <w:tabs>
          <w:tab w:leader="none" w:pos="263"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Supply and fix signage Location: All Areas</w:t>
      </w:r>
    </w:p>
    <w:p>
      <w:pPr>
        <w:spacing w:after="0" w:line="1"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As directed by Wynn Design and Development the Contractor shall engage King Wah Engineering (Macau) Company) Ltd as a direct contractor to undertake the supply and installation of signage as described in tender documents issued by Wynn Design and Development to King Wah Engineering dated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October 2005.</w:t>
      </w:r>
    </w:p>
    <w:p>
      <w:pPr>
        <w:spacing w:after="0"/>
        <w:rPr>
          <w:sz w:val="20"/>
          <w:szCs w:val="20"/>
          <w:color w:val="auto"/>
        </w:rPr>
      </w:pPr>
      <w:r>
        <w:rPr>
          <w:rFonts w:ascii="Arial" w:cs="Arial" w:eastAsia="Arial" w:hAnsi="Arial"/>
          <w:sz w:val="18"/>
          <w:szCs w:val="18"/>
          <w:color w:val="auto"/>
        </w:rPr>
        <w:t>Increase to the Guaranteed Maximum Price: HKD 1,838,181/ USD 235,664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79. Acceleration Cost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Location: Chinese Restaurant G/F Grids A-H/1-4</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original design intent and interior finishes were based upon the Wynn Las Vegas Chinese Restaurant. Subsequently, the Owner gave direction that the Wynn Las Vegas design was not to be implemented and requested that an entirely fresh design approach be adopted for this restaurant.</w:t>
      </w:r>
    </w:p>
    <w:p>
      <w:pPr>
        <w:spacing w:after="0" w:line="4"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The revised design documentation was issued in September 2005 and the Contractor can now progress shop drawings, materials procurement and construction. These works are behind schedule and will jeopardize the Contractor’s ability and opportunity to achieve the Original Project Early Completion.</w:t>
      </w:r>
    </w:p>
    <w:p>
      <w:pPr>
        <w:spacing w:after="0" w:line="5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Therefore, the Owner directs the allocation of additional monies to compensate for overtime works so as to enable the Contractor to recover the Chinese Restaurant schedule and to further provide the Contractor the opportunity to achieve the Original Project Early Completion.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Location: Spa and Health Club, First Floor Grids P- V/ 6 -14</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original design intent and interior finishes were intended to reflect the Wynn Las Vegas Image. The initial Interior Designers were unable to satisfy the design brief and a new design to produce space and circulation plans was implemented in November 2004. The new design has progressed through several revisions and revised design documentation will be issued progressively during October 2005. The Contractor can now progress shop drawings, materials procurement and construction. These works are behind schedule and will jeopardize the Contractor’s ability and opportunity to achieve the Original Project Early Completion.</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80" w:right="279" w:bottom="1440" w:gutter="0" w:footer="0" w:header="0"/>
        </w:sectPr>
      </w:pPr>
    </w:p>
    <w:bookmarkStart w:id="89" w:name="page90"/>
    <w:bookmarkEnd w:id="89"/>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Therefore, the Owner directs the allocation of additional monies to compensate for overtime works so as to enable the Contractor to recover the Chinese Restaurant schedule and to further provide the Contractor the opportunity to achieve the Original Project Early Completion.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Location: Lobby Lounge: Ground Floor, N – R/ 9 -12</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original design intent and interior finishes were intended to reflect the Wynn Las Vegas lobby lounge finishes. The initial design did not reflect the desired public and back of house circulation requirements. Furthermore, the perimeter walls were reconfigured to accommodate a rear entry to the public bathrooms along the ground floor promenade.</w:t>
      </w:r>
    </w:p>
    <w:p>
      <w:pPr>
        <w:spacing w:after="0" w:line="5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circulation spaces, seating plan and cross over nodes were re-configured. CRF 206 (dated 7 November) introduced changes to the green room, beverage bar and stage areas.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above re-design requires demolition of existing walls, building of new walls and relocation of M&amp;E services.</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Therefore, the Owner directs the allocation of additional monies to compensate for overtime works so as to enable the Contractor to recover the Chinese Restaurant schedule and to further provide the Contractor the opportunity to achieve the Original Project Early Completion.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Location: Casino Lounge, Ground Floor Grids B.5 – D.5/ 4 – 5.3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original design intent and interior finishes were intended to reflect the Wynn Las Vegas casino lounge.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Subsequently, the design of the adjoining Chinese Restaurant was removed from Cleo’s scope and issued to HBA. The restaurant was given an exclusive entry from the exterior façade which affected circulation to the adjacent spaces including the casino lounge. It was during this period that the design of the casino lounge was further developed requiring concept approval from WDD to include a stand up bar and incorporation of a permanent stage. This final design was issued on 26 October 2005. The above change option was issued under CRF 117.</w:t>
      </w:r>
    </w:p>
    <w:p>
      <w:pPr>
        <w:spacing w:after="0" w:line="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Therefore, the Owner directs the allocation of additional monies to compensate for overtime works so as to enable the Contractor to recover the Chinese Restaurant schedule and to further provide the Contractor the opportunity to achieve the Original Project Early Completion.</w:t>
      </w:r>
    </w:p>
    <w:p>
      <w:pPr>
        <w:spacing w:after="0" w:line="4" w:lineRule="exact"/>
        <w:rPr>
          <w:sz w:val="20"/>
          <w:szCs w:val="20"/>
          <w:color w:val="auto"/>
        </w:rPr>
      </w:pPr>
    </w:p>
    <w:p>
      <w:pPr>
        <w:jc w:val="right"/>
        <w:ind w:right="5540"/>
        <w:spacing w:after="0"/>
        <w:rPr>
          <w:sz w:val="20"/>
          <w:szCs w:val="20"/>
          <w:color w:val="auto"/>
        </w:rPr>
      </w:pPr>
      <w:r>
        <w:rPr>
          <w:rFonts w:ascii="Arial" w:cs="Arial" w:eastAsia="Arial" w:hAnsi="Arial"/>
          <w:sz w:val="15"/>
          <w:szCs w:val="15"/>
          <w:color w:val="auto"/>
        </w:rPr>
        <w:t>Increase to the Guaranteed Maximum Price: HK$ 4,000,000/ USD 512,821</w:t>
      </w:r>
    </w:p>
    <w:p>
      <w:pPr>
        <w:spacing w:after="0" w:line="192" w:lineRule="exact"/>
        <w:rPr>
          <w:sz w:val="20"/>
          <w:szCs w:val="20"/>
          <w:color w:val="auto"/>
        </w:rPr>
      </w:pPr>
    </w:p>
    <w:p>
      <w:pPr>
        <w:jc w:val="right"/>
        <w:ind w:right="5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700" w:top="280"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680" w:type="dxa"/>
            <w:vAlign w:val="bottom"/>
            <w:gridSpan w:val="4"/>
          </w:tcPr>
          <w:p>
            <w:pPr>
              <w:spacing w:after="0"/>
              <w:rPr>
                <w:sz w:val="20"/>
                <w:szCs w:val="20"/>
                <w:color w:val="auto"/>
              </w:rPr>
            </w:pPr>
            <w:r>
              <w:rPr>
                <w:rFonts w:ascii="Arial" w:cs="Arial" w:eastAsia="Arial" w:hAnsi="Arial"/>
                <w:sz w:val="18"/>
                <w:szCs w:val="18"/>
                <w:color w:val="auto"/>
              </w:rPr>
              <w:t>80. Increase to the Original Project Guaranteed Maximum Price</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Project Guaranteed Maximum Price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6"/>
              </w:rPr>
              <w:t>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300,464,658</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of previous Change Orders</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Previous Original Project Guaranteed Maximum Price (Subtotal)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6"/>
              </w:rPr>
              <w:t>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300,464,658</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of this Change Order (items 1 through 79 inclusive)</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11,179,571</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Transfer from Original Project Owner Contingency</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1"/>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Revised Original Project Guaranteed Maximum Price thru Change Order No. 1</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US$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311,644,229</w:t>
            </w:r>
          </w:p>
        </w:tc>
        <w:tc>
          <w:tcPr>
            <w:tcW w:w="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line="303" w:lineRule="auto"/>
        <w:rPr>
          <w:sz w:val="20"/>
          <w:szCs w:val="20"/>
          <w:color w:val="auto"/>
        </w:rPr>
      </w:pPr>
      <w:r>
        <w:rPr>
          <w:rFonts w:ascii="Arial" w:cs="Arial" w:eastAsia="Arial" w:hAnsi="Arial"/>
          <w:sz w:val="15"/>
          <w:szCs w:val="15"/>
          <w:color w:val="auto"/>
        </w:rPr>
        <w:t xml:space="preserve">The Original Project Guaranteed Maximum Price set forth in </w:t>
      </w:r>
      <w:r>
        <w:rPr>
          <w:rFonts w:ascii="Arial" w:cs="Arial" w:eastAsia="Arial" w:hAnsi="Arial"/>
          <w:sz w:val="15"/>
          <w:szCs w:val="15"/>
          <w:u w:val="single" w:color="auto"/>
          <w:color w:val="auto"/>
        </w:rPr>
        <w:t>Section 3.1(a)</w:t>
      </w:r>
      <w:r>
        <w:rPr>
          <w:rFonts w:ascii="Arial" w:cs="Arial" w:eastAsia="Arial" w:hAnsi="Arial"/>
          <w:sz w:val="15"/>
          <w:szCs w:val="15"/>
          <w:color w:val="auto"/>
        </w:rPr>
        <w:t xml:space="preserve"> of the Contract is, pursuant to the terms of this Change Order, hereby increased from US$ 300,464,658 to US$ 311,644,229 based on the Changes described in paragraphs 1 through 79 above. The detailed breakdown of the foregoing increase is contained in the revised Original Project Guaranteed Maximum Price Breakdown labeled as </w:t>
      </w:r>
      <w:r>
        <w:rPr>
          <w:rFonts w:ascii="Arial" w:cs="Arial" w:eastAsia="Arial" w:hAnsi="Arial"/>
          <w:sz w:val="15"/>
          <w:szCs w:val="15"/>
          <w:u w:val="single" w:color="auto"/>
          <w:color w:val="auto"/>
        </w:rPr>
        <w:t>Revised Exhibit F</w:t>
      </w:r>
      <w:r>
        <w:rPr>
          <w:rFonts w:ascii="Arial" w:cs="Arial" w:eastAsia="Arial" w:hAnsi="Arial"/>
          <w:sz w:val="15"/>
          <w:szCs w:val="15"/>
          <w:color w:val="auto"/>
        </w:rPr>
        <w:t xml:space="preserve"> dated</w:t>
      </w:r>
    </w:p>
    <w:p>
      <w:pPr>
        <w:spacing w:after="0" w:line="1"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 xml:space="preserve">10 March 2006, and attached to this Change Order. Accordingly, the Original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in its entirety and replaced with the Revised Original Project Guaranteed Maximum Price Breakdown attached hereto. From and after the date of this Change Order, all references in the Contract Documents to the “Original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Original Project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“Original Project Guaranteed Maximum Price” shall mean the amount of US$ 311,644,229.</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700" w:top="257" w:right="299" w:bottom="1440" w:gutter="0" w:footer="0" w:header="0"/>
        </w:sectPr>
      </w:pPr>
    </w:p>
    <w:bookmarkStart w:id="91" w:name="page92"/>
    <w:bookmarkEnd w:id="91"/>
    <w:p>
      <w:pPr>
        <w:ind w:left="266" w:hanging="256"/>
        <w:spacing w:after="0"/>
        <w:tabs>
          <w:tab w:leader="none" w:pos="26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Schedule</w:t>
      </w:r>
    </w:p>
    <w:p>
      <w:pPr>
        <w:spacing w:after="0" w:line="90" w:lineRule="exact"/>
        <w:rPr>
          <w:sz w:val="20"/>
          <w:szCs w:val="20"/>
          <w:color w:val="auto"/>
        </w:rPr>
      </w:pPr>
    </w:p>
    <w:p>
      <w:pPr>
        <w:ind w:left="6" w:right="240"/>
        <w:spacing w:after="0" w:line="259" w:lineRule="auto"/>
        <w:rPr>
          <w:sz w:val="20"/>
          <w:szCs w:val="20"/>
          <w:color w:val="auto"/>
        </w:rPr>
      </w:pPr>
      <w:r>
        <w:rPr>
          <w:rFonts w:ascii="Arial" w:cs="Arial" w:eastAsia="Arial" w:hAnsi="Arial"/>
          <w:sz w:val="18"/>
          <w:szCs w:val="18"/>
          <w:color w:val="auto"/>
        </w:rPr>
        <w:t xml:space="preserve">The Original Project Schedule, included as Attachment 2 of Exhibit B to the Contract, shall remain unchanged. The Contract Time of 791 calendar days from Date of Commencement, and the Guaranteed Date of Original Project Substantial Completion, as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Contract, remains unchanged by this Change Order.</w:t>
      </w:r>
    </w:p>
    <w:p>
      <w:pPr>
        <w:spacing w:after="0" w:line="221" w:lineRule="exact"/>
        <w:rPr>
          <w:sz w:val="20"/>
          <w:szCs w:val="20"/>
          <w:color w:val="auto"/>
        </w:rPr>
      </w:pPr>
    </w:p>
    <w:p>
      <w:pPr>
        <w:ind w:left="266" w:hanging="256"/>
        <w:spacing w:after="0"/>
        <w:tabs>
          <w:tab w:leader="none" w:pos="266"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of the Contract and the terms of this Change Order, the terms of this Change Order will prevail.</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obligations of Contractor hereunder are joint and several.</w:t>
      </w:r>
    </w:p>
    <w:p>
      <w:pPr>
        <w:spacing w:after="0" w:line="9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otherwise expressly modified hereby, the Contract will remain in full force and effect, and all of the terms and provisions of the Contract, as herein modified, are hereby ratified and reaffirmed.</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acknowledge and agree that this Change Order will constitute both an amendment to the Contract and a “Change Order” as defined under the Contract.</w:t>
      </w:r>
    </w:p>
    <w:p>
      <w:pPr>
        <w:spacing w:after="0" w:line="50" w:lineRule="exact"/>
        <w:rPr>
          <w:rFonts w:ascii="Arial" w:cs="Arial" w:eastAsia="Arial" w:hAnsi="Arial"/>
          <w:sz w:val="18"/>
          <w:szCs w:val="18"/>
          <w:color w:val="auto"/>
        </w:rPr>
      </w:pPr>
    </w:p>
    <w:p>
      <w:pPr>
        <w:ind w:left="446" w:right="340" w:hanging="446"/>
        <w:spacing w:after="0" w:line="259"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Change Order may be executed in as many counterparts as may be deemed necessary and convenient, and by the different parties hereto on separate counterparts, each of which, when so executed, shall be deemed an original, but all such counterparts will constitute one and the same instrument.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initial capitalized terms used in this Change Order shall have the meaning ascribed to them in the Contract, unless otherwise defined herein.</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Change Order is effective as of 10 March 2006.</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Change Order shall be governed by, and construed in accordance with, the laws of England.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Change Order is subject to the approval and consent of the Lender’s.</w:t>
      </w:r>
    </w:p>
    <w:p>
      <w:pPr>
        <w:spacing w:after="0" w:line="171" w:lineRule="exact"/>
        <w:rPr>
          <w:sz w:val="20"/>
          <w:szCs w:val="20"/>
          <w:color w:val="auto"/>
        </w:rPr>
      </w:pPr>
    </w:p>
    <w:p>
      <w:pPr>
        <w:jc w:val="center"/>
        <w:ind w:right="394"/>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6"/>
          </w:cols>
          <w:pgMar w:left="694" w:top="280" w:right="279" w:bottom="1440" w:gutter="0" w:footer="0" w:header="0"/>
        </w:sectPr>
      </w:pPr>
    </w:p>
    <w:bookmarkStart w:id="92" w:name="page93"/>
    <w:bookmarkEnd w:id="92"/>
    <w:p>
      <w:pPr>
        <w:ind w:left="4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t>
      </w:r>
      <w:r>
        <w:rPr>
          <w:rFonts w:ascii="Arial" w:cs="Arial" w:eastAsia="Arial" w:hAnsi="Arial"/>
          <w:sz w:val="15"/>
          <w:szCs w:val="15"/>
          <w:color w:val="auto"/>
        </w:rPr>
        <w:t>whereof this Change Order has been duly executed and delivered as a deed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EXECUTED as a Deed on behalf of WYNN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RESORTS (MACAU) S.A., a company</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incorporated in the Macau Special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Region, by Grant Bowie, being a person who, in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accordance with the laws of that territory, is acting</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under the authority of the company in the presence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T. Nisbet</w:t>
            </w:r>
          </w:p>
        </w:tc>
        <w:tc>
          <w:tcPr>
            <w:tcW w:w="160" w:type="dxa"/>
            <w:vAlign w:val="bottom"/>
          </w:tcPr>
          <w:p>
            <w:pPr>
              <w:spacing w:after="0"/>
              <w:rPr>
                <w:sz w:val="24"/>
                <w:szCs w:val="24"/>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Signature and name of witness</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219"/>
          </w:cols>
          <w:pgMar w:left="240" w:top="274" w:right="1440" w:bottom="1440" w:gutter="0" w:footer="0" w:header="0"/>
        </w:sectPr>
      </w:pPr>
    </w:p>
    <w:p>
      <w:pPr>
        <w:spacing w:after="0" w:line="15" w:lineRule="exact"/>
        <w:rPr>
          <w:sz w:val="20"/>
          <w:szCs w:val="20"/>
          <w:color w:val="auto"/>
        </w:rPr>
      </w:pPr>
    </w:p>
    <w:p>
      <w:pPr>
        <w:ind w:right="1760"/>
        <w:spacing w:after="0" w:line="291" w:lineRule="auto"/>
        <w:rPr>
          <w:sz w:val="20"/>
          <w:szCs w:val="20"/>
          <w:color w:val="auto"/>
        </w:rPr>
      </w:pPr>
      <w:r>
        <w:rPr>
          <w:rFonts w:ascii="Arial" w:cs="Arial" w:eastAsia="Arial" w:hAnsi="Arial"/>
          <w:sz w:val="16"/>
          <w:szCs w:val="16"/>
          <w:color w:val="auto"/>
        </w:rPr>
        <w:t>SIGNED, SEALED and DELIVERED by Joe Dujmovic as attorney for LEIGHTON CONTRACTORS (ASIA) LIMITED under power of attorney dated August 18, 2005 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Monita Wong Yeuk 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642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ENGINEERING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was affixed to this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CNYIP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6420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16420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16420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Office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1642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person (block letters)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144145</wp:posOffset>
            </wp:positionV>
            <wp:extent cx="30359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By executing this deed the</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attorney states that the attorney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has received no notice of</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revocation of the power of attorney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O.P.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 of authorized person</w:t>
      </w: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Office held</w:t>
      </w: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O.P.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Name of authorized person (block letters)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380" w:space="720"/>
            <w:col w:w="5119"/>
          </w:cols>
          <w:pgMar w:left="240" w:top="274" w:right="1440"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EXECUTED by Xu Jian Ping</w:t>
            </w:r>
          </w:p>
        </w:tc>
        <w:tc>
          <w:tcPr>
            <w:tcW w:w="1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in his capacity as auxiliar of, and with</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authority to bind, CHINA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CONSTRUCTION ENGINEERING</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(MACAU) COMPANY LIMITED 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limited company incorporated in the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Macau Special Administrative Region,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pursuant to a resolution by the General</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Shareholders Meeting dated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880" w:type="dxa"/>
            <w:vAlign w:val="bottom"/>
            <w:tcBorders>
              <w:bottom w:val="single" w:sz="8" w:color="auto"/>
            </w:tcBorders>
          </w:tcPr>
          <w:p>
            <w:pPr>
              <w:spacing w:after="0"/>
              <w:rPr>
                <w:sz w:val="15"/>
                <w:szCs w:val="15"/>
                <w:color w:val="auto"/>
              </w:rPr>
            </w:pPr>
          </w:p>
        </w:tc>
        <w:tc>
          <w:tcPr>
            <w:tcW w:w="4120" w:type="dxa"/>
            <w:vAlign w:val="bottom"/>
          </w:tcPr>
          <w:p>
            <w:pPr>
              <w:ind w:left="40"/>
              <w:spacing w:after="0" w:line="184" w:lineRule="exact"/>
              <w:rPr>
                <w:sz w:val="20"/>
                <w:szCs w:val="20"/>
                <w:color w:val="auto"/>
              </w:rPr>
            </w:pPr>
            <w:r>
              <w:rPr>
                <w:rFonts w:ascii="Arial" w:cs="Arial" w:eastAsia="Arial" w:hAnsi="Arial"/>
                <w:sz w:val="18"/>
                <w:szCs w:val="18"/>
                <w:color w:val="auto"/>
              </w:rPr>
              <w:t>in the presence of:</w:t>
            </w:r>
          </w:p>
        </w:tc>
        <w:tc>
          <w:tcPr>
            <w:tcW w:w="16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r>
      <w:tr>
        <w:trPr>
          <w:trHeight w:val="681"/>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Chen Guo</w:t>
            </w:r>
          </w:p>
        </w:tc>
        <w:tc>
          <w:tcPr>
            <w:tcW w:w="160" w:type="dxa"/>
            <w:vAlign w:val="bottom"/>
          </w:tcPr>
          <w:p>
            <w:pPr>
              <w:spacing w:after="0"/>
              <w:rPr>
                <w:sz w:val="24"/>
                <w:szCs w:val="24"/>
                <w:color w:val="auto"/>
              </w:rPr>
            </w:pPr>
          </w:p>
        </w:tc>
      </w:tr>
      <w:tr>
        <w:trPr>
          <w:trHeight w:val="217"/>
        </w:trPr>
        <w:tc>
          <w:tcPr>
            <w:tcW w:w="5000" w:type="dxa"/>
            <w:vAlign w:val="bottom"/>
            <w:gridSpan w:val="2"/>
          </w:tcPr>
          <w:p>
            <w:pPr>
              <w:spacing w:after="0"/>
              <w:rPr>
                <w:sz w:val="20"/>
                <w:szCs w:val="20"/>
                <w:color w:val="auto"/>
              </w:rPr>
            </w:pPr>
            <w:r>
              <w:rPr>
                <w:rFonts w:ascii="Arial" w:cs="Arial" w:eastAsia="Arial" w:hAnsi="Arial"/>
                <w:sz w:val="18"/>
                <w:szCs w:val="18"/>
                <w:color w:val="auto"/>
              </w:rPr>
              <w:t>Signature and name of witness</w:t>
            </w:r>
          </w:p>
        </w:tc>
        <w:tc>
          <w:tcPr>
            <w:tcW w:w="160" w:type="dxa"/>
            <w:vAlign w:val="bottom"/>
          </w:tcPr>
          <w:p>
            <w:pPr>
              <w:spacing w:after="0"/>
              <w:rPr>
                <w:sz w:val="18"/>
                <w:szCs w:val="18"/>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 executing this deed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30359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signatory warrants that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signatory is duly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execute this deed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ENGINEERING (MACAU)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LIMITED</w:t>
      </w:r>
    </w:p>
    <w:p>
      <w:pPr>
        <w:sectPr>
          <w:pgSz w:w="11900" w:h="16838" w:orient="portrait"/>
          <w:cols w:equalWidth="0" w:num="2">
            <w:col w:w="5920" w:space="720"/>
            <w:col w:w="3579"/>
          </w:cols>
          <w:pgMar w:left="240" w:top="28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DESIGN-BUILD AGREEMENT FOR GUARANTEED MAXIMUM PRICE ARCHITECTURAL,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ENGINEERING AND CONSTRUCTION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SEPTEMBER 14, 2005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Wynn Resorts Macau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“Contractor”: </w:t>
      </w:r>
      <w:r>
        <w:rPr>
          <w:rFonts w:ascii="Arial" w:cs="Arial" w:eastAsia="Arial" w:hAnsi="Arial"/>
          <w:sz w:val="18"/>
          <w:szCs w:val="18"/>
          <w:color w:val="auto"/>
        </w:rPr>
        <w:t>jointly and severally</w:t>
      </w:r>
    </w:p>
    <w:p>
      <w:pPr>
        <w:spacing w:after="0" w:line="2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LEIGHTON CONTRACTORS (ASIA) LIMITED 39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Sun Hung Kai Centre 30 Harbour Road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North Wanchai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8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CHINA STATE CONSTRUCTION ENGINEERING (HONG KONG) LIMITED 29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China Overseas Building 139 Hennessy Road</w:t>
      </w:r>
    </w:p>
    <w:p>
      <w:pPr>
        <w:spacing w:after="0"/>
        <w:rPr>
          <w:sz w:val="20"/>
          <w:szCs w:val="20"/>
          <w:color w:val="auto"/>
        </w:rPr>
      </w:pPr>
      <w:r>
        <w:rPr>
          <w:rFonts w:ascii="Arial" w:cs="Arial" w:eastAsia="Arial" w:hAnsi="Arial"/>
          <w:sz w:val="18"/>
          <w:szCs w:val="18"/>
          <w:color w:val="auto"/>
        </w:rPr>
        <w:t>Hong Kong</w:t>
      </w:r>
    </w:p>
    <w:p>
      <w:pPr>
        <w:spacing w:after="0" w:line="8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CHINA CONSTRUCTION ENGINEERING (MACAU) COMPANY LIMITED Rua do Campo No. 78</w:t>
      </w:r>
    </w:p>
    <w:p>
      <w:pPr>
        <w:ind w:right="500"/>
        <w:spacing w:after="0" w:line="261" w:lineRule="auto"/>
        <w:rPr>
          <w:sz w:val="20"/>
          <w:szCs w:val="20"/>
          <w:color w:val="auto"/>
        </w:rPr>
      </w:pPr>
      <w:r>
        <w:rPr>
          <w:rFonts w:ascii="Arial" w:cs="Arial" w:eastAsia="Arial" w:hAnsi="Arial"/>
          <w:sz w:val="18"/>
          <w:szCs w:val="18"/>
          <w:color w:val="auto"/>
        </w:rPr>
        <w:t>Edificio Commercial Zhang Kian, 18 andar Macau</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4160"/>
        <w:spacing w:after="0"/>
        <w:rPr>
          <w:sz w:val="20"/>
          <w:szCs w:val="20"/>
          <w:color w:val="auto"/>
        </w:rPr>
      </w:pPr>
      <w:r>
        <w:rPr>
          <w:rFonts w:ascii="Arial" w:cs="Arial" w:eastAsia="Arial" w:hAnsi="Arial"/>
          <w:sz w:val="16"/>
          <w:szCs w:val="16"/>
          <w:b w:val="1"/>
          <w:bCs w:val="1"/>
          <w:color w:val="auto"/>
        </w:rPr>
        <w:t>CHANGE ORDER AND AMENDMENT</w:t>
      </w:r>
    </w:p>
    <w:p>
      <w:pPr>
        <w:spacing w:after="0" w:line="113" w:lineRule="exact"/>
        <w:rPr>
          <w:sz w:val="20"/>
          <w:szCs w:val="20"/>
          <w:color w:val="auto"/>
        </w:rPr>
      </w:pPr>
    </w:p>
    <w:p>
      <w:pPr>
        <w:jc w:val="center"/>
        <w:ind w:right="4160"/>
        <w:spacing w:after="0"/>
        <w:rPr>
          <w:sz w:val="20"/>
          <w:szCs w:val="20"/>
          <w:color w:val="auto"/>
        </w:rPr>
      </w:pPr>
      <w:r>
        <w:rPr>
          <w:rFonts w:ascii="Arial" w:cs="Arial" w:eastAsia="Arial" w:hAnsi="Arial"/>
          <w:sz w:val="18"/>
          <w:szCs w:val="18"/>
          <w:b w:val="1"/>
          <w:bCs w:val="1"/>
          <w:color w:val="auto"/>
        </w:rPr>
        <w:t>25 MAY 2006</w:t>
      </w:r>
    </w:p>
    <w:p>
      <w:pPr>
        <w:spacing w:after="0" w:line="21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Change Order No.: 2</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“Owner”:</w:t>
      </w:r>
    </w:p>
    <w:p>
      <w:pPr>
        <w:spacing w:after="0" w:line="8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335-341, Alameda Dr. Carlos d’Asumpcao</w:t>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Hotline Centre</w:t>
      </w:r>
    </w:p>
    <w:p>
      <w:pPr>
        <w:ind w:left="1900"/>
        <w:spacing w:after="0"/>
        <w:rPr>
          <w:sz w:val="20"/>
          <w:szCs w:val="20"/>
          <w:color w:val="auto"/>
        </w:rPr>
      </w:pPr>
      <w:r>
        <w:rPr>
          <w:rFonts w:ascii="Arial" w:cs="Arial" w:eastAsia="Arial" w:hAnsi="Arial"/>
          <w:sz w:val="18"/>
          <w:szCs w:val="18"/>
          <w:color w:val="auto"/>
        </w:rPr>
        <w:t>Macau</w:t>
      </w:r>
    </w:p>
    <w:p>
      <w:pPr>
        <w:spacing w:after="0" w:line="2912" w:lineRule="exact"/>
        <w:rPr>
          <w:sz w:val="20"/>
          <w:szCs w:val="20"/>
          <w:color w:val="auto"/>
        </w:rPr>
      </w:pPr>
    </w:p>
    <w:p>
      <w:pPr>
        <w:sectPr>
          <w:pgSz w:w="11900" w:h="16838" w:orient="portrait"/>
          <w:cols w:equalWidth="0" w:num="2">
            <w:col w:w="3560" w:space="600"/>
            <w:col w:w="7260"/>
          </w:cols>
          <w:pgMar w:left="240" w:top="125" w:right="239" w:bottom="1440" w:gutter="0" w:footer="0" w:header="0"/>
          <w:type w:val="continuous"/>
        </w:sectPr>
      </w:pPr>
    </w:p>
    <w:p>
      <w:pPr>
        <w:ind w:right="160" w:firstLine="456"/>
        <w:spacing w:after="0" w:line="294" w:lineRule="auto"/>
        <w:rPr>
          <w:sz w:val="20"/>
          <w:szCs w:val="20"/>
          <w:color w:val="auto"/>
        </w:rPr>
      </w:pPr>
      <w:r>
        <w:rPr>
          <w:rFonts w:ascii="Arial" w:cs="Arial" w:eastAsia="Arial" w:hAnsi="Arial"/>
          <w:sz w:val="16"/>
          <w:szCs w:val="16"/>
          <w:color w:val="auto"/>
        </w:rPr>
        <w:t>Pursuant to Article XVIII of that certain Amended and Restated Design-Build Agreement for Guaranteed Maximum Price Architectural, Engineering and Construction Services between Owner and Contractor for the design and construction of a luxury resort/hotel/casino complex in Macau known as Wynn Resorts Macau, executed and delivered as a deed on September 14, 2005 (the “</w:t>
      </w:r>
      <w:r>
        <w:rPr>
          <w:rFonts w:ascii="Arial" w:cs="Arial" w:eastAsia="Arial" w:hAnsi="Arial"/>
          <w:sz w:val="16"/>
          <w:szCs w:val="16"/>
          <w:u w:val="single" w:color="auto"/>
          <w:color w:val="auto"/>
        </w:rPr>
        <w:t>Contract</w:t>
      </w:r>
      <w:r>
        <w:rPr>
          <w:rFonts w:ascii="Arial" w:cs="Arial" w:eastAsia="Arial" w:hAnsi="Arial"/>
          <w:sz w:val="16"/>
          <w:szCs w:val="16"/>
          <w:color w:val="auto"/>
        </w:rPr>
        <w:t>”), and the desire of the Owner and Contractor to amend and supplement certain terms and provisions of the Contract, the Contract is hereby modified by this agreement and all related drawings, plans and specifications attached hereto (collectively, the “</w:t>
      </w:r>
      <w:r>
        <w:rPr>
          <w:rFonts w:ascii="Arial" w:cs="Arial" w:eastAsia="Arial" w:hAnsi="Arial"/>
          <w:sz w:val="16"/>
          <w:szCs w:val="16"/>
          <w:u w:val="single" w:color="auto"/>
          <w:color w:val="auto"/>
        </w:rPr>
        <w:t>Change Order</w:t>
      </w:r>
      <w:r>
        <w:rPr>
          <w:rFonts w:ascii="Arial" w:cs="Arial" w:eastAsia="Arial" w:hAnsi="Arial"/>
          <w:sz w:val="16"/>
          <w:szCs w:val="16"/>
          <w:color w:val="auto"/>
        </w:rPr>
        <w:t>”), made as a deed effective as of the date set forth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95" w:name="page96"/>
    <w:bookmarkEnd w:id="9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 </w:t>
      </w:r>
      <w:r>
        <w:rPr>
          <w:rFonts w:ascii="Arial" w:cs="Arial" w:eastAsia="Arial" w:hAnsi="Arial"/>
          <w:sz w:val="18"/>
          <w:szCs w:val="18"/>
          <w:u w:val="single" w:color="auto"/>
          <w:color w:val="auto"/>
        </w:rPr>
        <w:t>Scope of Work</w:t>
      </w:r>
      <w:r>
        <w:rPr>
          <w:rFonts w:ascii="Arial" w:cs="Arial" w:eastAsia="Arial" w:hAnsi="Arial"/>
          <w:sz w:val="18"/>
          <w:szCs w:val="18"/>
          <w:color w:val="auto"/>
        </w:rPr>
        <w:t>. The Scope of Work is changed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Masterplan Drawings for the following modifications and additions (collectively, the “Masterplan Modifications”);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WM/ASK/0325/18</w:t>
            </w:r>
          </w:p>
        </w:tc>
        <w:tc>
          <w:tcPr>
            <w:tcW w:w="2360" w:type="dxa"/>
            <w:vAlign w:val="bottom"/>
          </w:tcPr>
          <w:p>
            <w:pPr>
              <w:ind w:left="440"/>
              <w:spacing w:after="0"/>
              <w:rPr>
                <w:sz w:val="20"/>
                <w:szCs w:val="20"/>
                <w:color w:val="auto"/>
              </w:rPr>
            </w:pPr>
            <w:r>
              <w:rPr>
                <w:rFonts w:ascii="Arial" w:cs="Arial" w:eastAsia="Arial" w:hAnsi="Arial"/>
                <w:sz w:val="18"/>
                <w:szCs w:val="18"/>
                <w:color w:val="auto"/>
              </w:rPr>
              <w:t>Basement Floor Plan</w:t>
            </w:r>
          </w:p>
        </w:tc>
        <w:tc>
          <w:tcPr>
            <w:tcW w:w="1360" w:type="dxa"/>
            <w:vAlign w:val="bottom"/>
          </w:tcPr>
          <w:p>
            <w:pPr>
              <w:ind w:left="460"/>
              <w:spacing w:after="0"/>
              <w:rPr>
                <w:sz w:val="20"/>
                <w:szCs w:val="20"/>
                <w:color w:val="auto"/>
              </w:rPr>
            </w:pPr>
            <w:r>
              <w:rPr>
                <w:rFonts w:ascii="Arial" w:cs="Arial" w:eastAsia="Arial" w:hAnsi="Arial"/>
                <w:sz w:val="18"/>
                <w:szCs w:val="18"/>
                <w:color w:val="auto"/>
                <w:w w:val="85"/>
              </w:rPr>
              <w:t>17-Feb-2006</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WM/ASK/0326/26</w:t>
            </w:r>
          </w:p>
        </w:tc>
        <w:tc>
          <w:tcPr>
            <w:tcW w:w="2360" w:type="dxa"/>
            <w:vAlign w:val="bottom"/>
          </w:tcPr>
          <w:p>
            <w:pPr>
              <w:ind w:left="440"/>
              <w:spacing w:after="0"/>
              <w:rPr>
                <w:sz w:val="20"/>
                <w:szCs w:val="20"/>
                <w:color w:val="auto"/>
              </w:rPr>
            </w:pPr>
            <w:r>
              <w:rPr>
                <w:rFonts w:ascii="Arial" w:cs="Arial" w:eastAsia="Arial" w:hAnsi="Arial"/>
                <w:sz w:val="18"/>
                <w:szCs w:val="18"/>
                <w:color w:val="auto"/>
              </w:rPr>
              <w:t>Ground Floor Plan</w:t>
            </w:r>
          </w:p>
        </w:tc>
        <w:tc>
          <w:tcPr>
            <w:tcW w:w="1360" w:type="dxa"/>
            <w:vAlign w:val="bottom"/>
          </w:tcPr>
          <w:p>
            <w:pPr>
              <w:ind w:left="460"/>
              <w:spacing w:after="0"/>
              <w:rPr>
                <w:sz w:val="20"/>
                <w:szCs w:val="20"/>
                <w:color w:val="auto"/>
              </w:rPr>
            </w:pPr>
            <w:r>
              <w:rPr>
                <w:rFonts w:ascii="Arial" w:cs="Arial" w:eastAsia="Arial" w:hAnsi="Arial"/>
                <w:sz w:val="18"/>
                <w:szCs w:val="18"/>
                <w:color w:val="auto"/>
                <w:w w:val="85"/>
              </w:rPr>
              <w:t>17-Feb-2006</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WM/ASK/0327/26</w:t>
            </w:r>
          </w:p>
        </w:tc>
        <w:tc>
          <w:tcPr>
            <w:tcW w:w="2360" w:type="dxa"/>
            <w:vAlign w:val="bottom"/>
          </w:tcPr>
          <w:p>
            <w:pPr>
              <w:ind w:left="440"/>
              <w:spacing w:after="0"/>
              <w:rPr>
                <w:sz w:val="20"/>
                <w:szCs w:val="20"/>
                <w:color w:val="auto"/>
              </w:rPr>
            </w:pPr>
            <w:r>
              <w:rPr>
                <w:rFonts w:ascii="Arial" w:cs="Arial" w:eastAsia="Arial" w:hAnsi="Arial"/>
                <w:sz w:val="18"/>
                <w:szCs w:val="18"/>
                <w:color w:val="auto"/>
              </w:rPr>
              <w:t>First Floor Plan</w:t>
            </w:r>
          </w:p>
        </w:tc>
        <w:tc>
          <w:tcPr>
            <w:tcW w:w="1360" w:type="dxa"/>
            <w:vAlign w:val="bottom"/>
          </w:tcPr>
          <w:p>
            <w:pPr>
              <w:ind w:left="460"/>
              <w:spacing w:after="0"/>
              <w:rPr>
                <w:sz w:val="20"/>
                <w:szCs w:val="20"/>
                <w:color w:val="auto"/>
              </w:rPr>
            </w:pPr>
            <w:r>
              <w:rPr>
                <w:rFonts w:ascii="Arial" w:cs="Arial" w:eastAsia="Arial" w:hAnsi="Arial"/>
                <w:sz w:val="18"/>
                <w:szCs w:val="18"/>
                <w:color w:val="auto"/>
                <w:w w:val="85"/>
              </w:rPr>
              <w:t>17-Feb-2006</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WM/ASK/0328/20</w:t>
            </w:r>
          </w:p>
        </w:tc>
        <w:tc>
          <w:tcPr>
            <w:tcW w:w="2360" w:type="dxa"/>
            <w:vAlign w:val="bottom"/>
          </w:tcPr>
          <w:p>
            <w:pPr>
              <w:ind w:left="440"/>
              <w:spacing w:after="0"/>
              <w:rPr>
                <w:sz w:val="20"/>
                <w:szCs w:val="20"/>
                <w:color w:val="auto"/>
              </w:rPr>
            </w:pPr>
            <w:r>
              <w:rPr>
                <w:rFonts w:ascii="Arial" w:cs="Arial" w:eastAsia="Arial" w:hAnsi="Arial"/>
                <w:sz w:val="18"/>
                <w:szCs w:val="18"/>
                <w:color w:val="auto"/>
              </w:rPr>
              <w:t>Second Floor Plan</w:t>
            </w:r>
          </w:p>
        </w:tc>
        <w:tc>
          <w:tcPr>
            <w:tcW w:w="1360" w:type="dxa"/>
            <w:vAlign w:val="bottom"/>
          </w:tcPr>
          <w:p>
            <w:pPr>
              <w:ind w:left="460"/>
              <w:spacing w:after="0"/>
              <w:rPr>
                <w:sz w:val="20"/>
                <w:szCs w:val="20"/>
                <w:color w:val="auto"/>
              </w:rPr>
            </w:pPr>
            <w:r>
              <w:rPr>
                <w:rFonts w:ascii="Arial" w:cs="Arial" w:eastAsia="Arial" w:hAnsi="Arial"/>
                <w:sz w:val="18"/>
                <w:szCs w:val="18"/>
                <w:color w:val="auto"/>
                <w:w w:val="85"/>
              </w:rPr>
              <w:t>17-Feb-2006</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WM/ASK/0329/17</w:t>
            </w:r>
          </w:p>
        </w:tc>
        <w:tc>
          <w:tcPr>
            <w:tcW w:w="2360" w:type="dxa"/>
            <w:vAlign w:val="bottom"/>
          </w:tcPr>
          <w:p>
            <w:pPr>
              <w:ind w:left="440"/>
              <w:spacing w:after="0"/>
              <w:rPr>
                <w:sz w:val="20"/>
                <w:szCs w:val="20"/>
                <w:color w:val="auto"/>
              </w:rPr>
            </w:pPr>
            <w:r>
              <w:rPr>
                <w:rFonts w:ascii="Arial" w:cs="Arial" w:eastAsia="Arial" w:hAnsi="Arial"/>
                <w:sz w:val="18"/>
                <w:szCs w:val="18"/>
                <w:color w:val="auto"/>
              </w:rPr>
              <w:t>Third Floor Plan</w:t>
            </w:r>
          </w:p>
        </w:tc>
        <w:tc>
          <w:tcPr>
            <w:tcW w:w="1360" w:type="dxa"/>
            <w:vAlign w:val="bottom"/>
          </w:tcPr>
          <w:p>
            <w:pPr>
              <w:ind w:left="460"/>
              <w:spacing w:after="0"/>
              <w:rPr>
                <w:sz w:val="20"/>
                <w:szCs w:val="20"/>
                <w:color w:val="auto"/>
              </w:rPr>
            </w:pPr>
            <w:r>
              <w:rPr>
                <w:rFonts w:ascii="Arial" w:cs="Arial" w:eastAsia="Arial" w:hAnsi="Arial"/>
                <w:sz w:val="18"/>
                <w:szCs w:val="18"/>
                <w:color w:val="auto"/>
                <w:w w:val="85"/>
              </w:rPr>
              <w:t>17-Feb-2006</w:t>
            </w:r>
          </w:p>
        </w:tc>
      </w:tr>
    </w:tbl>
    <w:p>
      <w:pPr>
        <w:spacing w:after="0" w:line="277"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Original Project Changes</w:t>
      </w:r>
    </w:p>
    <w:p>
      <w:pPr>
        <w:spacing w:after="0" w:line="90" w:lineRule="exact"/>
        <w:rPr>
          <w:sz w:val="20"/>
          <w:szCs w:val="20"/>
          <w:color w:val="auto"/>
        </w:rPr>
      </w:pPr>
    </w:p>
    <w:p>
      <w:pPr>
        <w:ind w:left="460" w:right="380" w:hanging="459"/>
        <w:spacing w:after="0" w:line="306" w:lineRule="auto"/>
        <w:tabs>
          <w:tab w:leader="none" w:pos="440" w:val="left"/>
        </w:tabs>
        <w:rPr>
          <w:sz w:val="20"/>
          <w:szCs w:val="20"/>
          <w:color w:val="auto"/>
        </w:rPr>
      </w:pPr>
      <w:r>
        <w:rPr>
          <w:rFonts w:ascii="Arial" w:cs="Arial" w:eastAsia="Arial" w:hAnsi="Arial"/>
          <w:sz w:val="16"/>
          <w:szCs w:val="16"/>
          <w:color w:val="auto"/>
        </w:rPr>
        <w:t>A.1</w:t>
        <w:tab/>
        <w:t>As depicted and on, and in accordance with, the above referenced drawings, plans and specifications, the additional gaming areas to be added in the Expansion require that provisions for staff, security, IT and ancillary back of house facilities, currently located within the Original Project area, will be expanded to support increased gaming operations in the Expansion. The following functional changes are required:</w:t>
      </w:r>
    </w:p>
    <w:p>
      <w:pPr>
        <w:spacing w:after="0" w:line="26" w:lineRule="exact"/>
        <w:rPr>
          <w:sz w:val="20"/>
          <w:szCs w:val="20"/>
          <w:color w:val="auto"/>
        </w:rPr>
      </w:pPr>
    </w:p>
    <w:p>
      <w:pPr>
        <w:ind w:left="9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areas of Finance and Accounting offices at the First Floor between gridlines 23-26/ N-V are deleted from the scope of the Original Project and replaced with areas comprising high level slot gaming, staff lounge, staff kitchen and dealers’ lounge and public toilets for the First Floor casino. The fit-out of these areas is defined as part of the Expansion Project under this Change Order.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Security, Surveillance and IT area layout will be revised and expanded into the area previously assigned as Reservation and Call Centre.</w:t>
      </w:r>
    </w:p>
    <w:p>
      <w:pPr>
        <w:spacing w:after="0" w:line="113"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Reservation and Call Centre will be relocated to the area between gridlines 24 – 25/ C – D to the area previously assigned as a computer room, which is deleted.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area previously assigned as Carpentry Workshop is revised to Card Room. The Carpentry Workshop will be relocated to a new location within the Loading and Unloading area with a corresponding reduction in the Loading and Unloading area.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area previously assigned as Card Room is revised to Non-Gaming Count Room.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layout of the Hard/ Soft Count Room is revised and becomes the Gaming Count Room.</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mezzanine floor is added above the Warehouse between gridlines 22 – 25/ G – L. The additional floor area will accommodate the relocated Uniform Store and ancillary offices. Direct access to the Laundry is also provided.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area previously assigned as Uniform Store is revised to Male Changing Room and Staff Locker Area.</w:t>
      </w:r>
    </w:p>
    <w:p>
      <w:pPr>
        <w:spacing w:after="0" w:line="9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layout of the Staff Changing areas is revised with the Female Changing Room expanded to occupy the area previously assigned as Male Changing Room. Supply and Installation of Staff clothing and valuables lockers (electronic lock supply specifically included) will be provided as part of this scope.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6" w:name="page97"/>
    <w:bookmarkEnd w:id="96"/>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floor area is created at high level within the chiller plant room to accommodate additional power generators.</w:t>
      </w:r>
    </w:p>
    <w:p>
      <w:pPr>
        <w:spacing w:after="0" w:line="90" w:lineRule="exact"/>
        <w:rPr>
          <w:sz w:val="20"/>
          <w:szCs w:val="20"/>
          <w:color w:val="auto"/>
        </w:rPr>
      </w:pPr>
    </w:p>
    <w:p>
      <w:pPr>
        <w:ind w:left="440"/>
        <w:spacing w:after="0"/>
        <w:tabs>
          <w:tab w:leader="none" w:pos="904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HKD22,800,742 / USD2,923,173</w:t>
      </w:r>
    </w:p>
    <w:p>
      <w:pPr>
        <w:spacing w:after="0" w:line="90" w:lineRule="exact"/>
        <w:rPr>
          <w:sz w:val="20"/>
          <w:szCs w:val="20"/>
          <w:color w:val="auto"/>
        </w:rPr>
      </w:pPr>
    </w:p>
    <w:p>
      <w:pPr>
        <w:ind w:left="460" w:right="400" w:hanging="459"/>
        <w:spacing w:after="0" w:line="259" w:lineRule="auto"/>
        <w:tabs>
          <w:tab w:leader="none" w:pos="440" w:val="left"/>
        </w:tabs>
        <w:rPr>
          <w:sz w:val="20"/>
          <w:szCs w:val="20"/>
          <w:color w:val="auto"/>
        </w:rPr>
      </w:pPr>
      <w:r>
        <w:rPr>
          <w:rFonts w:ascii="Arial" w:cs="Arial" w:eastAsia="Arial" w:hAnsi="Arial"/>
          <w:sz w:val="18"/>
          <w:szCs w:val="18"/>
          <w:color w:val="auto"/>
        </w:rPr>
        <w:t>A.2</w:t>
        <w:tab/>
        <w:t>As depicted and on, and in accordance with, the above referenced drawings, plans and specifications, the flooring layout of Casino No.1 is revised at pavilions 1,2,14,15 &amp; 16 in order to accommodate 7 additional gaming tables. The change requires replacement of already procured carpets additional conduits and alterations to ceilings to suit modified lighting and security camera positions.</w:t>
      </w:r>
    </w:p>
    <w:p>
      <w:pPr>
        <w:spacing w:after="0" w:line="59" w:lineRule="exact"/>
        <w:rPr>
          <w:sz w:val="20"/>
          <w:szCs w:val="20"/>
          <w:color w:val="auto"/>
        </w:rPr>
      </w:pPr>
    </w:p>
    <w:p>
      <w:pPr>
        <w:ind w:left="440"/>
        <w:spacing w:after="0"/>
        <w:tabs>
          <w:tab w:leader="none" w:pos="940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HKD803,513 / USD103,014</w:t>
      </w:r>
    </w:p>
    <w:p>
      <w:pPr>
        <w:spacing w:after="0" w:line="90" w:lineRule="exact"/>
        <w:rPr>
          <w:sz w:val="20"/>
          <w:szCs w:val="20"/>
          <w:color w:val="auto"/>
        </w:rPr>
      </w:pPr>
    </w:p>
    <w:p>
      <w:pPr>
        <w:ind w:left="460" w:right="140" w:hanging="459"/>
        <w:spacing w:after="0" w:line="332" w:lineRule="auto"/>
        <w:tabs>
          <w:tab w:leader="none" w:pos="440" w:val="left"/>
        </w:tabs>
        <w:rPr>
          <w:sz w:val="20"/>
          <w:szCs w:val="20"/>
          <w:color w:val="auto"/>
        </w:rPr>
      </w:pPr>
      <w:r>
        <w:rPr>
          <w:rFonts w:ascii="Arial" w:cs="Arial" w:eastAsia="Arial" w:hAnsi="Arial"/>
          <w:sz w:val="16"/>
          <w:szCs w:val="16"/>
          <w:color w:val="auto"/>
        </w:rPr>
        <w:t>A.3</w:t>
        <w:tab/>
        <w:t>The provision of Awnings to the Original Project Podium façade is revised (as depicted and on, and in accordance with, the above referenced and relevant detailed drawings, plans and specifications) to include enhanced brass detailing and feature lighting. Internal illumination is eliminated.</w:t>
      </w:r>
    </w:p>
    <w:p>
      <w:pPr>
        <w:spacing w:after="0" w:line="4" w:lineRule="exact"/>
        <w:rPr>
          <w:sz w:val="20"/>
          <w:szCs w:val="20"/>
          <w:color w:val="auto"/>
        </w:rPr>
      </w:pPr>
    </w:p>
    <w:p>
      <w:pPr>
        <w:ind w:left="440"/>
        <w:spacing w:after="0"/>
        <w:tabs>
          <w:tab w:leader="none" w:pos="904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HKD13,478,324 / USD1,727,990</w:t>
      </w:r>
    </w:p>
    <w:p>
      <w:pPr>
        <w:spacing w:after="0" w:line="90" w:lineRule="exact"/>
        <w:rPr>
          <w:sz w:val="20"/>
          <w:szCs w:val="20"/>
          <w:color w:val="auto"/>
        </w:rPr>
      </w:pPr>
    </w:p>
    <w:p>
      <w:pPr>
        <w:ind w:left="460" w:right="140" w:hanging="459"/>
        <w:spacing w:after="0" w:line="357" w:lineRule="auto"/>
        <w:tabs>
          <w:tab w:leader="none" w:pos="440" w:val="left"/>
        </w:tabs>
        <w:rPr>
          <w:sz w:val="20"/>
          <w:szCs w:val="20"/>
          <w:color w:val="auto"/>
        </w:rPr>
      </w:pPr>
      <w:r>
        <w:rPr>
          <w:rFonts w:ascii="Arial" w:cs="Arial" w:eastAsia="Arial" w:hAnsi="Arial"/>
          <w:sz w:val="15"/>
          <w:szCs w:val="15"/>
          <w:color w:val="auto"/>
        </w:rPr>
        <w:t>A.4</w:t>
        <w:tab/>
        <w:t>Logo signage (Western and Chinese characters) and Building Services (Mechanical, Electrical, Plumbing, Fire and ELV services) installation shall be provided (as depicted and on, and in accordance with, the above referenced and relevant detailed drawings, plans and specifications) to the Marquee Sign.</w:t>
      </w:r>
    </w:p>
    <w:p>
      <w:pPr>
        <w:ind w:left="440"/>
        <w:spacing w:after="0"/>
        <w:tabs>
          <w:tab w:leader="none" w:pos="904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HKD15,810,375 / USD2,026,971</w:t>
      </w:r>
    </w:p>
    <w:p>
      <w:pPr>
        <w:spacing w:after="0" w:line="90" w:lineRule="exact"/>
        <w:rPr>
          <w:sz w:val="20"/>
          <w:szCs w:val="20"/>
          <w:color w:val="auto"/>
        </w:rPr>
      </w:pPr>
    </w:p>
    <w:p>
      <w:pPr>
        <w:ind w:left="460" w:right="320" w:hanging="459"/>
        <w:spacing w:after="0" w:line="332" w:lineRule="auto"/>
        <w:tabs>
          <w:tab w:leader="none" w:pos="440" w:val="left"/>
        </w:tabs>
        <w:rPr>
          <w:sz w:val="20"/>
          <w:szCs w:val="20"/>
          <w:color w:val="auto"/>
        </w:rPr>
      </w:pPr>
      <w:r>
        <w:rPr>
          <w:rFonts w:ascii="Arial" w:cs="Arial" w:eastAsia="Arial" w:hAnsi="Arial"/>
          <w:sz w:val="16"/>
          <w:szCs w:val="16"/>
          <w:color w:val="auto"/>
        </w:rPr>
        <w:t>A.5</w:t>
        <w:tab/>
        <w:t>Electronic Access Control system shall be expanded to incorporate additional locations identified on Malia Drawings CR.0G/1; CR0G.A/1; CR0G.B/1; CR0G.C/1; CR0G.D/1; CR01/2; CR01.A/1; CR01.B/2; CR01.C/1; CR01.D/2; CR03/0; CR03.B/1; CRCP.MF/0; CR.DET/1; dated 24-Feb-06.</w:t>
      </w:r>
    </w:p>
    <w:p>
      <w:pPr>
        <w:spacing w:after="0" w:line="4" w:lineRule="exact"/>
        <w:rPr>
          <w:sz w:val="20"/>
          <w:szCs w:val="20"/>
          <w:color w:val="auto"/>
        </w:rPr>
      </w:pPr>
    </w:p>
    <w:p>
      <w:pPr>
        <w:ind w:left="440"/>
        <w:spacing w:after="0"/>
        <w:tabs>
          <w:tab w:leader="none" w:pos="926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HKD1,500,000 / USD192,308</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A.6</w:t>
        <w:tab/>
        <w:t>Time &amp; Attendance system will be expanded to incorporate additional locations identified on Malia Drawings CR01/2; CR01.D/2; dated 24-Feb-06.</w:t>
      </w:r>
    </w:p>
    <w:p>
      <w:pPr>
        <w:spacing w:after="0" w:line="113" w:lineRule="exact"/>
        <w:rPr>
          <w:sz w:val="20"/>
          <w:szCs w:val="20"/>
          <w:color w:val="auto"/>
        </w:rPr>
      </w:pPr>
    </w:p>
    <w:p>
      <w:pPr>
        <w:ind w:left="440"/>
        <w:spacing w:after="0"/>
        <w:tabs>
          <w:tab w:leader="none" w:pos="948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HKD151,200 / USD19,385</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A.7</w:t>
        <w:tab/>
        <w:t>Front of House Signage</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Contractor will engage King Wah Engineering (Macau) Company Ltd as a direct contractor to undertake the supply and installation of signage as described in the subcontract documents issued by Wynn Design and Development to King Wah.</w:t>
      </w:r>
    </w:p>
    <w:p>
      <w:pPr>
        <w:sectPr>
          <w:pgSz w:w="11900" w:h="16838" w:orient="portrait"/>
          <w:cols w:equalWidth="0" w:num="1">
            <w:col w:w="11420"/>
          </w:cols>
          <w:pgMar w:left="240" w:top="280" w:right="239" w:bottom="1440" w:gutter="0" w:footer="0" w:header="0"/>
        </w:sectPr>
      </w:pPr>
    </w:p>
    <w:p>
      <w:pPr>
        <w:spacing w:after="0" w:line="5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Increase to the Guaranteed Maximum Price: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HKD1,741,446 / USD223,262</w:t>
      </w:r>
    </w:p>
    <w:p>
      <w:pPr>
        <w:spacing w:after="0" w:line="140" w:lineRule="exact"/>
        <w:rPr>
          <w:sz w:val="20"/>
          <w:szCs w:val="20"/>
          <w:color w:val="auto"/>
        </w:rPr>
      </w:pPr>
    </w:p>
    <w:p>
      <w:pPr>
        <w:sectPr>
          <w:pgSz w:w="11900" w:h="16838" w:orient="portrait"/>
          <w:cols w:equalWidth="0" w:num="2">
            <w:col w:w="8560" w:space="720"/>
            <w:col w:w="2140"/>
          </w:cols>
          <w:pgMar w:left="240" w:top="280"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Total Part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HKD56,285,600 / USD7,216,103</w:t>
      </w:r>
    </w:p>
    <w:p>
      <w:pPr>
        <w:spacing w:after="0" w:line="181" w:lineRule="exact"/>
        <w:rPr>
          <w:sz w:val="20"/>
          <w:szCs w:val="20"/>
          <w:color w:val="auto"/>
        </w:rPr>
      </w:pPr>
    </w:p>
    <w:p>
      <w:pPr>
        <w:sectPr>
          <w:pgSz w:w="11900" w:h="16838" w:orient="portrait"/>
          <w:cols w:equalWidth="0" w:num="2">
            <w:col w:w="8340" w:space="720"/>
            <w:col w:w="236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type w:val="continuous"/>
        </w:sectPr>
      </w:pPr>
    </w:p>
    <w:bookmarkStart w:id="97" w:name="page98"/>
    <w:bookmarkEnd w:id="97"/>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Expansion Area Changes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B.1</w:t>
        <w:tab/>
        <w:t>As depicted and on, and in accordance with, the above referenced drawings, plans and specifications, the First Floor area of the Expansion becomes 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Casino with a total floor area of approximately 4,000 m2. The following functional changes are required:</w:t>
      </w:r>
    </w:p>
    <w:p>
      <w:pPr>
        <w:spacing w:after="0" w:line="84" w:lineRule="exact"/>
        <w:rPr>
          <w:sz w:val="20"/>
          <w:szCs w:val="20"/>
          <w:color w:val="auto"/>
        </w:rPr>
      </w:pPr>
    </w:p>
    <w:p>
      <w:pPr>
        <w:ind w:left="900" w:right="220" w:hanging="446"/>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areas previously identified as Meeting/ Convention, offices and public circulation at the first floor are deleted and replaced with gaming areas. The Casino will incorporate table gaming, slot gaming, two cash cages, a noodles restaurant and public restrooms.</w:t>
      </w:r>
    </w:p>
    <w:p>
      <w:pPr>
        <w:spacing w:after="0" w:line="4"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Air conditioning, smoke extract, power and data provisions on the First Floor are upgraded to meet the requirements for public gaming areas. There will be a corresponding increase in plant capacity required including air handling units, transformers and switchgear. Additional space to accommodate these provisions will be added above the Theatre and Casino at the Second Floor with a corresponding increase in the building functional area.</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pneumatic cash transfer system serving the ground floor casino will be extended to include the additional cash cages at the first floor.</w:t>
      </w:r>
    </w:p>
    <w:p>
      <w:pPr>
        <w:spacing w:after="0" w:line="113"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Two single flight escalators (E3 and E4), and two elevators (L15 and L16) will be added to provide public transportation from the ground floor to the first floor, as well as an additional service elevator (S20). A further 2nr pile caps and 6nr piles are added for structural support to the new escalators.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Staircases will be added at gridline 25/2C to allow emergency exiting from the First Floor Casino.</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Provision for direct connection of a public footbridge adjacent the main entrance will be included within the structure and façade. A public lobby area will be created at the First Floor at the entry point of the proposed footbridge and also serving elevator L16.</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functional area assigned as “Fine Dining” at the Ground Floor will be changed to Owned Retail. The area is to be assigned with a drop slab arrangement to enable future conversion to a restaurant/ kitchen area if required.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Inset window displays will be added along the East elevation at Ground Floor level between gridline U and P.</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Inset window displays will be added at the frontage of retails units 14, 15, and 19. The adjacent structural columns will be repositioned through use of strap beams to allow the window displays to be aligned centrally between the columns.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former plantroom area within the Theatre at the First Floor level (gridlines 26-27/S-Q) will become a Data Centre and public toilets serving the Casino.</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area comprising back of house offices, data centre and plantrooms will be added at the Third Floor level, together with associated access and escape routes with a corresponding increase in the building functional area.</w:t>
      </w:r>
    </w:p>
    <w:p>
      <w:pPr>
        <w:spacing w:after="0" w:line="51" w:lineRule="exact"/>
        <w:rPr>
          <w:sz w:val="20"/>
          <w:szCs w:val="20"/>
          <w:color w:val="auto"/>
        </w:rPr>
      </w:pPr>
    </w:p>
    <w:p>
      <w:pPr>
        <w:ind w:left="440"/>
        <w:spacing w:after="0"/>
        <w:tabs>
          <w:tab w:leader="none" w:pos="8860" w:val="left"/>
        </w:tabs>
        <w:rPr>
          <w:sz w:val="20"/>
          <w:szCs w:val="20"/>
          <w:color w:val="auto"/>
        </w:rPr>
      </w:pPr>
      <w:r>
        <w:rPr>
          <w:rFonts w:ascii="Arial" w:cs="Arial" w:eastAsia="Arial" w:hAnsi="Arial"/>
          <w:sz w:val="18"/>
          <w:szCs w:val="18"/>
          <w:color w:val="auto"/>
        </w:rPr>
        <w:t>Increase to the Guaranteed Maximum Price:</w:t>
      </w:r>
      <w:r>
        <w:rPr>
          <w:sz w:val="20"/>
          <w:szCs w:val="20"/>
          <w:color w:val="auto"/>
        </w:rPr>
        <w:tab/>
      </w:r>
      <w:r>
        <w:rPr>
          <w:rFonts w:ascii="Arial" w:cs="Arial" w:eastAsia="Arial" w:hAnsi="Arial"/>
          <w:sz w:val="16"/>
          <w:szCs w:val="16"/>
          <w:color w:val="auto"/>
        </w:rPr>
        <w:t>HKD137,109,145 / USD17,578,096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8" w:name="page99"/>
    <w:bookmarkEnd w:id="98"/>
    <w:p>
      <w:pPr>
        <w:spacing w:after="0"/>
        <w:tabs>
          <w:tab w:leader="none" w:pos="4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B.2</w:t>
        <w:tab/>
        <w:t>The provision of Awnings to the Expansion Project Podium façade is revised (as depicted and on, and in accordance with, the above referenced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auto"/>
                <w:w w:val="96"/>
              </w:rPr>
              <w:t>relevant detailed drawings, plans and specifications) to include enhanced brass detailing and feature lighting. Internal illumination is eliminated.</w:t>
            </w: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7720" w:type="dxa"/>
            <w:vAlign w:val="bottom"/>
            <w:gridSpan w:val="5"/>
          </w:tcPr>
          <w:p>
            <w:pPr>
              <w:ind w:left="140"/>
              <w:spacing w:after="0"/>
              <w:rPr>
                <w:sz w:val="20"/>
                <w:szCs w:val="20"/>
                <w:color w:val="auto"/>
              </w:rPr>
            </w:pPr>
            <w:r>
              <w:rPr>
                <w:rFonts w:ascii="Arial" w:cs="Arial" w:eastAsia="Arial" w:hAnsi="Arial"/>
                <w:sz w:val="18"/>
                <w:szCs w:val="18"/>
                <w:color w:val="auto"/>
              </w:rPr>
              <w:t>Increase to the Guaranteed Maximum Price:</w:t>
            </w:r>
          </w:p>
        </w:tc>
        <w:tc>
          <w:tcPr>
            <w:tcW w:w="100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HKD1,101,968 / USD141,278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7720" w:type="dxa"/>
            <w:vAlign w:val="bottom"/>
            <w:gridSpan w:val="5"/>
          </w:tcPr>
          <w:p>
            <w:pPr>
              <w:ind w:left="140"/>
              <w:spacing w:after="0"/>
              <w:rPr>
                <w:sz w:val="20"/>
                <w:szCs w:val="20"/>
                <w:color w:val="auto"/>
              </w:rPr>
            </w:pPr>
            <w:r>
              <w:rPr>
                <w:rFonts w:ascii="Arial" w:cs="Arial" w:eastAsia="Arial" w:hAnsi="Arial"/>
                <w:sz w:val="18"/>
                <w:szCs w:val="18"/>
                <w:color w:val="auto"/>
              </w:rPr>
              <w:t>Total Part B:</w:t>
            </w:r>
          </w:p>
        </w:tc>
        <w:tc>
          <w:tcPr>
            <w:tcW w:w="3400" w:type="dxa"/>
            <w:vAlign w:val="bottom"/>
            <w:gridSpan w:val="4"/>
          </w:tcPr>
          <w:p>
            <w:pPr>
              <w:jc w:val="right"/>
              <w:spacing w:after="0"/>
              <w:rPr>
                <w:sz w:val="20"/>
                <w:szCs w:val="20"/>
                <w:color w:val="auto"/>
              </w:rPr>
            </w:pPr>
            <w:r>
              <w:rPr>
                <w:rFonts w:ascii="Arial" w:cs="Arial" w:eastAsia="Arial" w:hAnsi="Arial"/>
                <w:sz w:val="18"/>
                <w:szCs w:val="18"/>
                <w:color w:val="auto"/>
              </w:rPr>
              <w:t>HKD138,211,113 / USD17,719,374</w:t>
            </w:r>
          </w:p>
        </w:tc>
        <w:tc>
          <w:tcPr>
            <w:tcW w:w="0" w:type="dxa"/>
            <w:vAlign w:val="bottom"/>
          </w:tcPr>
          <w:p>
            <w:pPr>
              <w:spacing w:after="0"/>
              <w:rPr>
                <w:sz w:val="1"/>
                <w:szCs w:val="1"/>
                <w:color w:val="auto"/>
              </w:rPr>
            </w:pPr>
          </w:p>
        </w:tc>
      </w:tr>
      <w:tr>
        <w:trPr>
          <w:trHeight w:val="461"/>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Increase to the Original Project and Expansion Project Guaranteed Maximum Price</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Original Project</w:t>
            </w: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vMerge w:val="restart"/>
          </w:tcPr>
          <w:p>
            <w:pPr>
              <w:spacing w:after="0"/>
              <w:rPr>
                <w:sz w:val="19"/>
                <w:szCs w:val="19"/>
                <w:color w:val="auto"/>
              </w:rPr>
            </w:pPr>
          </w:p>
        </w:tc>
        <w:tc>
          <w:tcPr>
            <w:tcW w:w="700" w:type="dxa"/>
            <w:vAlign w:val="bottom"/>
            <w:tcBorders>
              <w:top w:val="single" w:sz="8" w:color="auto"/>
            </w:tcBorders>
            <w:vMerge w:val="restart"/>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Original Project Guaranteed Maximum Price</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5"/>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300,464,658</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Total of previous Change Orders</w:t>
            </w:r>
          </w:p>
        </w:tc>
        <w:tc>
          <w:tcPr>
            <w:tcW w:w="1300" w:type="dxa"/>
            <w:vAlign w:val="bottom"/>
            <w:gridSpan w:val="2"/>
          </w:tcPr>
          <w:p>
            <w:pPr>
              <w:ind w:left="98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11,179,571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Previous Original Project Guaranteed Maximum Price (Subtotal)</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5"/>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311,644,229</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Total of this Change Order</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w w:val="85"/>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7,216,103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 Transfer from Original Project Owner Contingency</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(3,012,821)</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56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Revised Original Project Guaranteed Maximum Price thru Change Order No. 2</w:t>
            </w: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560" w:type="dxa"/>
            <w:vAlign w:val="bottom"/>
            <w:gridSpan w:val="4"/>
            <w:vMerge w:val="continue"/>
          </w:tcPr>
          <w:p>
            <w:pPr>
              <w:spacing w:after="0"/>
              <w:rPr>
                <w:sz w:val="19"/>
                <w:szCs w:val="19"/>
                <w:color w:val="auto"/>
              </w:rPr>
            </w:pP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w w:val="85"/>
              </w:rPr>
              <w:t>US$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315,847,511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Original Project Guaranteed Maximum Price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Contract is, pursuant to the terms of this Change Order, hereby increased from US$ 311,644,229 to US$ 315,847,511 based on the Changes described above. The detailed breakdown of the foregoing increase is contained in the revised Original Project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dated 25 May 2006 and attached to this Change Order. Accordingly, the Original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in its entirety and replaced with the Revised Original Project Guaranteed Maximum Price Breakdown attached hereto. From and after the date of this Change Order, all references in the Contract Documents to the “Original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Original Project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“Original Project Guaranteed Maximum Price” shall mean the amount of US$ 315,847,511.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9" w:name="page100"/>
    <w:bookmarkEnd w:id="99"/>
    <w:tbl>
      <w:tblPr>
        <w:tblLayout w:type="fixed"/>
        <w:tblInd w:w="46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Arial" w:cs="Arial" w:eastAsia="Arial" w:hAnsi="Arial"/>
                <w:sz w:val="18"/>
                <w:szCs w:val="18"/>
                <w:color w:val="auto"/>
              </w:rPr>
              <w:t>Expansion Project</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vMerge w:val="restart"/>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Expansion Project Guaranteed Maximum Price</w:t>
            </w: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156,759,326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of previous Change Orders</w:t>
            </w:r>
          </w:p>
        </w:tc>
        <w:tc>
          <w:tcPr>
            <w:tcW w:w="1160" w:type="dxa"/>
            <w:vAlign w:val="bottom"/>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Previous Expansion Project Guaranteed Maximum Price (Subtotal)</w:t>
            </w: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156,759,326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of this Change Order</w:t>
            </w:r>
          </w:p>
        </w:tc>
        <w:tc>
          <w:tcPr>
            <w:tcW w:w="1160" w:type="dxa"/>
            <w:vAlign w:val="bottom"/>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17,719,374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Transfer from Original Project Owner Contingency</w:t>
            </w: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Revised Expansion Project Guaranteed Maximum Price thru Change Order No. 2</w:t>
            </w:r>
          </w:p>
        </w:tc>
        <w:tc>
          <w:tcPr>
            <w:tcW w:w="1160" w:type="dxa"/>
            <w:vAlign w:val="bottom"/>
          </w:tcPr>
          <w:p>
            <w:pPr>
              <w:ind w:left="84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174,478,700</w:t>
            </w:r>
          </w:p>
        </w:tc>
        <w:tc>
          <w:tcPr>
            <w:tcW w:w="0" w:type="dxa"/>
            <w:vAlign w:val="bottom"/>
          </w:tcPr>
          <w:p>
            <w:pPr>
              <w:spacing w:after="0"/>
              <w:rPr>
                <w:sz w:val="1"/>
                <w:szCs w:val="1"/>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289" w:lineRule="auto"/>
        <w:rPr>
          <w:sz w:val="20"/>
          <w:szCs w:val="20"/>
          <w:color w:val="auto"/>
        </w:rPr>
      </w:pPr>
      <w:r>
        <w:rPr>
          <w:rFonts w:ascii="Arial" w:cs="Arial" w:eastAsia="Arial" w:hAnsi="Arial"/>
          <w:sz w:val="16"/>
          <w:szCs w:val="16"/>
          <w:color w:val="auto"/>
        </w:rPr>
        <w:t xml:space="preserve">The Expansion Project Guaranteed Maximum Price set forth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of the Contract is, pursuant to the terms of this Change Order, hereby increased from US$ 156,759,326 to US$ 174,478,700 based on the Changes described above. The detailed breakdown of the foregoing increase is contained in the revised Expansion Project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dated 25 May 2006 and attached to this Change Order. Accordingly, the Expansion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in its entirety and replaced with the Revised Expansion Project Guaranteed Maximum Price Breakdown attached hereto. From and after the date of this Change Order, all references in the Contract Documents to the “Expansion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Expansion Project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“Expansion Project Guaranteed Maximum Price” shall mean the amount of US$ 174,478,700.</w:t>
      </w:r>
    </w:p>
    <w:p>
      <w:pPr>
        <w:spacing w:after="0" w:line="24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Project Schedule</w:t>
      </w:r>
    </w:p>
    <w:p>
      <w:pPr>
        <w:spacing w:after="0" w:line="90" w:lineRule="exact"/>
        <w:rPr>
          <w:rFonts w:ascii="Arial" w:cs="Arial" w:eastAsia="Arial" w:hAnsi="Arial"/>
          <w:sz w:val="18"/>
          <w:szCs w:val="18"/>
          <w:color w:val="auto"/>
        </w:rPr>
      </w:pPr>
    </w:p>
    <w:p>
      <w:pPr>
        <w:ind w:left="460" w:right="80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Contract Time of 791 calendar days from Original Project Date of Commencement and the Guaranteed Date of Original Project Substantial Completion, as defined in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of the Contract, each remain unchanged by this Change Order.</w:t>
      </w:r>
    </w:p>
    <w:p>
      <w:pPr>
        <w:spacing w:after="0" w:line="50" w:lineRule="exact"/>
        <w:rPr>
          <w:rFonts w:ascii="Arial" w:cs="Arial" w:eastAsia="Arial" w:hAnsi="Arial"/>
          <w:sz w:val="18"/>
          <w:szCs w:val="18"/>
          <w:color w:val="auto"/>
        </w:rPr>
      </w:pPr>
    </w:p>
    <w:p>
      <w:pPr>
        <w:ind w:left="460" w:right="48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Contract Time of 726 calendar days from Expansion Project Date of Commencement and the Guaranteed Date of Expansion Project Substantial Completion, as defined in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of the Contract each remain unchanged by this Change Order.</w:t>
      </w:r>
    </w:p>
    <w:p>
      <w:pPr>
        <w:spacing w:after="0" w:line="50" w:lineRule="exact"/>
        <w:rPr>
          <w:rFonts w:ascii="Arial" w:cs="Arial" w:eastAsia="Arial" w:hAnsi="Arial"/>
          <w:sz w:val="18"/>
          <w:szCs w:val="18"/>
          <w:color w:val="auto"/>
        </w:rPr>
      </w:pPr>
    </w:p>
    <w:p>
      <w:pPr>
        <w:ind w:left="460" w:right="440"/>
        <w:spacing w:after="0" w:line="268" w:lineRule="auto"/>
        <w:rPr>
          <w:rFonts w:ascii="Arial" w:cs="Arial" w:eastAsia="Arial" w:hAnsi="Arial"/>
          <w:sz w:val="18"/>
          <w:szCs w:val="18"/>
          <w:color w:val="auto"/>
        </w:rPr>
      </w:pPr>
      <w:r>
        <w:rPr>
          <w:rFonts w:ascii="Arial" w:cs="Arial" w:eastAsia="Arial" w:hAnsi="Arial"/>
          <w:sz w:val="18"/>
          <w:szCs w:val="18"/>
          <w:color w:val="auto"/>
        </w:rPr>
        <w:t>The Original Project Schedule, included as Attachment 2 of Exhibit B to the Contract, is hereby deleted in its entirety and replaced with the amended Attachment 2 of Exhibit B attached to this Change Order.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Owner and Contractor have agreed specific handover dates for the following areas;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Sky Room</w:t>
            </w:r>
          </w:p>
        </w:tc>
        <w:tc>
          <w:tcPr>
            <w:tcW w:w="2060" w:type="dxa"/>
            <w:vAlign w:val="bottom"/>
            <w:gridSpan w:val="2"/>
          </w:tcPr>
          <w:p>
            <w:pPr>
              <w:ind w:left="940"/>
              <w:spacing w:after="0"/>
              <w:rPr>
                <w:sz w:val="20"/>
                <w:szCs w:val="20"/>
                <w:color w:val="auto"/>
              </w:rPr>
            </w:pPr>
            <w:r>
              <w:rPr>
                <w:rFonts w:ascii="Arial" w:cs="Arial" w:eastAsia="Arial" w:hAnsi="Arial"/>
                <w:sz w:val="18"/>
                <w:szCs w:val="18"/>
                <w:color w:val="auto"/>
              </w:rPr>
              <w:t>27 July 2006</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Chinese Restaurant</w:t>
            </w:r>
          </w:p>
        </w:tc>
        <w:tc>
          <w:tcPr>
            <w:tcW w:w="1120" w:type="dxa"/>
            <w:vAlign w:val="bottom"/>
          </w:tcPr>
          <w:p>
            <w:pPr>
              <w:ind w:left="940"/>
              <w:spacing w:after="0"/>
              <w:rPr>
                <w:sz w:val="20"/>
                <w:szCs w:val="20"/>
                <w:color w:val="auto"/>
              </w:rPr>
            </w:pPr>
            <w:r>
              <w:rPr>
                <w:rFonts w:ascii="Arial" w:cs="Arial" w:eastAsia="Arial" w:hAnsi="Arial"/>
                <w:sz w:val="18"/>
                <w:szCs w:val="18"/>
                <w:color w:val="auto"/>
                <w:w w:val="79"/>
              </w:rPr>
              <w:t>31</w:t>
            </w:r>
          </w:p>
        </w:tc>
        <w:tc>
          <w:tcPr>
            <w:tcW w:w="940" w:type="dxa"/>
            <w:vAlign w:val="bottom"/>
          </w:tcPr>
          <w:p>
            <w:pPr>
              <w:ind w:left="20"/>
              <w:spacing w:after="0"/>
              <w:rPr>
                <w:sz w:val="20"/>
                <w:szCs w:val="20"/>
                <w:color w:val="auto"/>
              </w:rPr>
            </w:pPr>
            <w:r>
              <w:rPr>
                <w:rFonts w:ascii="Arial" w:cs="Arial" w:eastAsia="Arial" w:hAnsi="Arial"/>
                <w:sz w:val="18"/>
                <w:szCs w:val="18"/>
                <w:color w:val="auto"/>
              </w:rPr>
              <w:t>July 2006</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VIP Casino</w:t>
            </w:r>
          </w:p>
        </w:tc>
        <w:tc>
          <w:tcPr>
            <w:tcW w:w="1120" w:type="dxa"/>
            <w:vAlign w:val="bottom"/>
          </w:tcPr>
          <w:p>
            <w:pPr>
              <w:ind w:left="940"/>
              <w:spacing w:after="0"/>
              <w:rPr>
                <w:sz w:val="20"/>
                <w:szCs w:val="20"/>
                <w:color w:val="auto"/>
              </w:rPr>
            </w:pPr>
            <w:r>
              <w:rPr>
                <w:rFonts w:ascii="Arial" w:cs="Arial" w:eastAsia="Arial" w:hAnsi="Arial"/>
                <w:sz w:val="18"/>
                <w:szCs w:val="18"/>
                <w:color w:val="auto"/>
                <w:w w:val="79"/>
              </w:rPr>
              <w:t>13</w:t>
            </w:r>
          </w:p>
        </w:tc>
        <w:tc>
          <w:tcPr>
            <w:tcW w:w="940" w:type="dxa"/>
            <w:vAlign w:val="bottom"/>
          </w:tcPr>
          <w:p>
            <w:pPr>
              <w:ind w:left="20"/>
              <w:spacing w:after="0"/>
              <w:rPr>
                <w:sz w:val="20"/>
                <w:szCs w:val="20"/>
                <w:color w:val="auto"/>
              </w:rPr>
            </w:pPr>
            <w:r>
              <w:rPr>
                <w:rFonts w:ascii="Arial" w:cs="Arial" w:eastAsia="Arial" w:hAnsi="Arial"/>
                <w:sz w:val="18"/>
                <w:szCs w:val="18"/>
                <w:color w:val="auto"/>
                <w:w w:val="88"/>
              </w:rPr>
              <w:t>August 2006</w:t>
            </w:r>
          </w:p>
        </w:tc>
      </w:tr>
    </w:tbl>
    <w:p>
      <w:pPr>
        <w:spacing w:after="0" w:line="75"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These areas and dates shall be independent of any assessment of Substantial Completion of the balance of the Project. In the event that the Contractor is able to deliver the entire Project with the exception of one or more of these areas, prior to the Guaranteed Date for Substantial Completion, subject to the assessment provisions of the Contract, then the Contractor shall be assessed as having achieved Substantial Completion at that date, noting the exception of the specific area(s) listed above. In any event the modified handover areas shall be delivered no later than the Guaranteed Date for Substantial Completion, and shall not be exempted from the Liquidated Damages provisions of this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57" w:right="279" w:bottom="1440" w:gutter="0" w:footer="0" w:header="0"/>
        </w:sectPr>
      </w:pPr>
    </w:p>
    <w:bookmarkStart w:id="100" w:name="page101"/>
    <w:bookmarkEnd w:id="100"/>
    <w:p>
      <w:pPr>
        <w:ind w:left="452"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Expansion Project Schedule, included as Attachment 5 of Exhibit B to the Contract, is hereby deleted in its entirety and replaced with the amended Attachment 5 of Exhibit B attached to this Change Order.</w:t>
      </w:r>
    </w:p>
    <w:p>
      <w:pPr>
        <w:spacing w:after="0" w:line="254" w:lineRule="exact"/>
        <w:rPr>
          <w:sz w:val="20"/>
          <w:szCs w:val="20"/>
          <w:color w:val="auto"/>
        </w:rPr>
      </w:pPr>
    </w:p>
    <w:p>
      <w:pPr>
        <w:ind w:left="452" w:hanging="452"/>
        <w:spacing w:after="0"/>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of the Contract and the terms of this Change Order, the terms of this Change Order will prevail.</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obligations of Contractor hereunder are joint and several.</w:t>
      </w:r>
    </w:p>
    <w:p>
      <w:pPr>
        <w:spacing w:after="0" w:line="90"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otherwise expressly modified hereby, the Contract will remain in full force and effect, and all of the terms and provisions of the Contract, as herein modified, are hereby ratified and reaffirmed.</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parties acknowledge and agree that this Change Order will constitute both an amendment to the Contract and a “Change Order” as defined under the Contract.</w:t>
      </w:r>
    </w:p>
    <w:p>
      <w:pPr>
        <w:spacing w:after="0" w:line="50" w:lineRule="exact"/>
        <w:rPr>
          <w:rFonts w:ascii="Arial" w:cs="Arial" w:eastAsia="Arial" w:hAnsi="Arial"/>
          <w:sz w:val="18"/>
          <w:szCs w:val="18"/>
          <w:color w:val="auto"/>
        </w:rPr>
      </w:pPr>
    </w:p>
    <w:p>
      <w:pPr>
        <w:ind w:left="892" w:right="340" w:hanging="446"/>
        <w:spacing w:after="0" w:line="259" w:lineRule="auto"/>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Change Order may be executed in as many counterparts as may be deemed necessary and convenient, and by the different parties hereto on separate counterparts, each of which, when so executed, will be deemed an original, but all such counterparts shall constitute one and the same instrument.</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initial capitalized terms used in this Change Order shall have the meaning ascribed to them in the Contract, unless otherwise defined herein.</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Change Order is effective as of 25 May 2006.</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Change Order shall be governed by, and construed in accordance with, the laws of England.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Change Order is subject to the approval and consent of the Lender’s.</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80" w:right="279" w:bottom="1440" w:gutter="0" w:footer="0" w:header="0"/>
        </w:sectPr>
      </w:pPr>
    </w:p>
    <w:bookmarkStart w:id="101" w:name="page102"/>
    <w:bookmarkEnd w:id="101"/>
    <w:p>
      <w:pPr>
        <w:ind w:left="4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t>
      </w:r>
      <w:r>
        <w:rPr>
          <w:rFonts w:ascii="Arial" w:cs="Arial" w:eastAsia="Arial" w:hAnsi="Arial"/>
          <w:sz w:val="15"/>
          <w:szCs w:val="15"/>
          <w:color w:val="auto"/>
        </w:rPr>
        <w:t>whereof this Change Order has been duly executed and delivered as a deed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EXECUTED as a Deed on behalf of WYNN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RESORTS (MACAU) S.A., a company</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incorporated in the Macau Special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Region, by Grant Bowie, being a person who, in</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accordance with the laws of that territory, is acting</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under the authority of the company in the presence of:</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T. Nisbet</w:t>
            </w:r>
          </w:p>
        </w:tc>
        <w:tc>
          <w:tcPr>
            <w:tcW w:w="160" w:type="dxa"/>
            <w:vAlign w:val="bottom"/>
          </w:tcPr>
          <w:p>
            <w:pPr>
              <w:spacing w:after="0"/>
              <w:rPr>
                <w:sz w:val="24"/>
                <w:szCs w:val="24"/>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Signature and name of witness</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15" w:lineRule="exact"/>
        <w:rPr>
          <w:sz w:val="20"/>
          <w:szCs w:val="20"/>
          <w:color w:val="auto"/>
        </w:rPr>
      </w:pPr>
    </w:p>
    <w:p>
      <w:pPr>
        <w:ind w:right="1400"/>
        <w:spacing w:after="0" w:line="294" w:lineRule="auto"/>
        <w:rPr>
          <w:sz w:val="20"/>
          <w:szCs w:val="20"/>
          <w:color w:val="auto"/>
        </w:rPr>
      </w:pPr>
      <w:r>
        <w:rPr>
          <w:rFonts w:ascii="Arial" w:cs="Arial" w:eastAsia="Arial" w:hAnsi="Arial"/>
          <w:sz w:val="16"/>
          <w:szCs w:val="16"/>
          <w:color w:val="auto"/>
        </w:rPr>
        <w:t>SIGNED, SEALED and DELIVERED by Joe Dujmovic as attorney for LEIGHTON CONTRACTORS (ASIA) LIMITED under power of attorney dated August 18, 2005 in the presence 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Monita Wong Yuek 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642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ENGINEERING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was affixed to this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CN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642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1642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1642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Office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1642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person (block letters)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40" w:type="dxa"/>
            <w:vAlign w:val="bottom"/>
            <w:vMerge w:val="restart"/>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540" w:type="dxa"/>
            <w:vAlign w:val="bottom"/>
            <w:vMerge w:val="continue"/>
          </w:tcPr>
          <w:p>
            <w:pPr>
              <w:spacing w:after="0"/>
              <w:rPr>
                <w:sz w:val="15"/>
                <w:szCs w:val="15"/>
                <w:color w:val="auto"/>
              </w:rPr>
            </w:pPr>
          </w:p>
        </w:tc>
        <w:tc>
          <w:tcPr>
            <w:tcW w:w="4780" w:type="dxa"/>
            <w:vAlign w:val="bottom"/>
          </w:tcPr>
          <w:p>
            <w:pPr>
              <w:spacing w:after="0" w:line="174" w:lineRule="exact"/>
              <w:rPr>
                <w:sz w:val="20"/>
                <w:szCs w:val="20"/>
                <w:color w:val="auto"/>
              </w:rPr>
            </w:pPr>
            <w:r>
              <w:rPr>
                <w:rFonts w:ascii="Arial" w:cs="Arial" w:eastAsia="Arial" w:hAnsi="Arial"/>
                <w:sz w:val="18"/>
                <w:szCs w:val="18"/>
                <w:color w:val="auto"/>
              </w:rPr>
              <w:t>By executing this deed the</w:t>
            </w:r>
          </w:p>
        </w:tc>
        <w:tc>
          <w:tcPr>
            <w:tcW w:w="0" w:type="dxa"/>
            <w:vAlign w:val="bottom"/>
          </w:tcPr>
          <w:p>
            <w:pPr>
              <w:spacing w:after="0"/>
              <w:rPr>
                <w:sz w:val="1"/>
                <w:szCs w:val="1"/>
                <w:color w:val="auto"/>
              </w:rPr>
            </w:pPr>
          </w:p>
        </w:tc>
      </w:tr>
      <w:tr>
        <w:trPr>
          <w:trHeight w:val="243"/>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20"/>
                <w:szCs w:val="20"/>
                <w:color w:val="auto"/>
              </w:rPr>
            </w:pPr>
            <w:r>
              <w:rPr>
                <w:rFonts w:ascii="Arial" w:cs="Arial" w:eastAsia="Arial" w:hAnsi="Arial"/>
                <w:sz w:val="18"/>
                <w:szCs w:val="18"/>
                <w:color w:val="auto"/>
              </w:rPr>
              <w:t>attorney states that the attorney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has received no notice of</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revocation of the power of attorney</w:t>
            </w:r>
          </w:p>
        </w:tc>
        <w:tc>
          <w:tcPr>
            <w:tcW w:w="0" w:type="dxa"/>
            <w:vAlign w:val="bottom"/>
          </w:tcPr>
          <w:p>
            <w:pPr>
              <w:spacing w:after="0"/>
              <w:rPr>
                <w:sz w:val="1"/>
                <w:szCs w:val="1"/>
                <w:color w:val="auto"/>
              </w:rPr>
            </w:pPr>
          </w:p>
        </w:tc>
      </w:tr>
      <w:tr>
        <w:trPr>
          <w:trHeight w:val="439"/>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jc w:val="right"/>
              <w:ind w:right="1398"/>
              <w:spacing w:after="0"/>
              <w:rPr>
                <w:sz w:val="20"/>
                <w:szCs w:val="20"/>
                <w:color w:val="auto"/>
              </w:rPr>
            </w:pPr>
            <w:r>
              <w:rPr>
                <w:rFonts w:ascii="Arial" w:cs="Arial" w:eastAsia="Arial" w:hAnsi="Arial"/>
                <w:sz w:val="16"/>
                <w:szCs w:val="16"/>
                <w:color w:val="auto"/>
                <w:w w:val="74"/>
              </w:rPr>
              <w:t>)</w:t>
            </w: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O.P.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 of authorized person</w:t>
      </w: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Office held</w:t>
      </w: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O.P.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10795</wp:posOffset>
            </wp:positionV>
            <wp:extent cx="30359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Name of authorized person (block letters)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380" w:space="720"/>
            <w:col w:w="6320"/>
          </w:cols>
          <w:pgMar w:left="240" w:top="274" w:right="239" w:bottom="1440" w:gutter="0" w:footer="0" w:header="0"/>
          <w:type w:val="continuous"/>
        </w:sectPr>
      </w:pPr>
    </w:p>
    <w:bookmarkStart w:id="102" w:name="page103"/>
    <w:bookmarkEnd w:id="102"/>
    <w:p>
      <w:pPr>
        <w:ind w:right="1640"/>
        <w:spacing w:after="0" w:line="282" w:lineRule="auto"/>
        <w:rPr>
          <w:sz w:val="20"/>
          <w:szCs w:val="20"/>
          <w:color w:val="auto"/>
        </w:rPr>
      </w:pPr>
      <w:r>
        <w:rPr>
          <w:rFonts w:ascii="Arial" w:cs="Arial" w:eastAsia="Arial" w:hAnsi="Arial"/>
          <w:sz w:val="16"/>
          <w:szCs w:val="16"/>
          <w:color w:val="auto"/>
        </w:rPr>
        <w:t>EXECUTED by Xu Jian Ping in his capacity as auxiliar of, and with authority to bind, CHINA CONSTRUCTION ENGINEERING (MACAU) COMPANY LIMITED a limited company incorporated in the Macau Special Administrative Region, pursuant to a resolution by the General Shareholders Meeting dated</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Chen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6420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-219710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519"/>
        <w:spacing w:after="0" w:line="252" w:lineRule="auto"/>
        <w:rPr>
          <w:sz w:val="20"/>
          <w:szCs w:val="20"/>
          <w:color w:val="auto"/>
        </w:rPr>
      </w:pPr>
      <w:r>
        <w:rPr>
          <w:rFonts w:ascii="Arial" w:cs="Arial" w:eastAsia="Arial" w:hAnsi="Arial"/>
          <w:sz w:val="18"/>
          <w:szCs w:val="18"/>
          <w:color w:val="auto"/>
        </w:rPr>
        <w:t>By executing this deed the signatory warrants that the signatory is duly authorized to execute this deed on behalf of CHINA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-554355</wp:posOffset>
            </wp:positionV>
            <wp:extent cx="30359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ENGINEERING (MACAU)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LIMITED</w:t>
      </w:r>
    </w:p>
    <w:p>
      <w:pPr>
        <w:spacing w:after="0" w:line="165" w:lineRule="exact"/>
        <w:rPr>
          <w:sz w:val="20"/>
          <w:szCs w:val="20"/>
          <w:color w:val="auto"/>
        </w:rPr>
      </w:pPr>
    </w:p>
    <w:p>
      <w:pPr>
        <w:sectPr>
          <w:pgSz w:w="11900" w:h="16838" w:orient="portrait"/>
          <w:cols w:equalWidth="0" w:num="3">
            <w:col w:w="4380" w:space="720"/>
            <w:col w:w="820" w:space="720"/>
            <w:col w:w="3579"/>
          </w:cols>
          <w:pgMar w:left="240" w:top="280" w:right="1440" w:bottom="1440" w:gutter="0" w:footer="0" w:header="0"/>
        </w:sectPr>
      </w:pPr>
    </w:p>
    <w:p>
      <w:pPr>
        <w:ind w:left="56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219"/>
          </w:cols>
          <w:pgMar w:left="240" w:top="280" w:right="1440"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DESIGN-BUILD AGREEMENT FOR GUARANTEED MAXIMUM PRICE ARCHITECTURAL,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ENGINEERING AND CONSTRUCTION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SEPTEMBER 14, 2005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 AND 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MAY 2006</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Wynn Resorts Macau</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Order No.: 3</w:t>
      </w:r>
    </w:p>
    <w:p>
      <w:pPr>
        <w:spacing w:after="0" w:line="140" w:lineRule="exact"/>
        <w:rPr>
          <w:sz w:val="20"/>
          <w:szCs w:val="20"/>
          <w:color w:val="auto"/>
        </w:rPr>
      </w:pPr>
    </w:p>
    <w:p>
      <w:pPr>
        <w:sectPr>
          <w:pgSz w:w="11900" w:h="16838" w:orient="portrait"/>
          <w:cols w:equalWidth="0" w:num="2">
            <w:col w:w="5780" w:space="720"/>
            <w:col w:w="492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“Contractor”: </w:t>
      </w:r>
      <w:r>
        <w:rPr>
          <w:rFonts w:ascii="Arial" w:cs="Arial" w:eastAsia="Arial" w:hAnsi="Arial"/>
          <w:sz w:val="16"/>
          <w:szCs w:val="16"/>
          <w:color w:val="auto"/>
        </w:rPr>
        <w:t>jointly and severally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w:t>
      </w:r>
    </w:p>
    <w:p>
      <w:pPr>
        <w:spacing w:after="0" w:line="146"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LEIGHTON CONTRACTORS (ASIA)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39</w:t>
      </w:r>
      <w:r>
        <w:rPr>
          <w:rFonts w:ascii="Arial" w:cs="Arial" w:eastAsia="Arial" w:hAnsi="Arial"/>
          <w:sz w:val="11"/>
          <w:szCs w:val="11"/>
          <w:color w:val="auto"/>
        </w:rPr>
        <w:t>th</w:t>
      </w:r>
      <w:r>
        <w:rPr>
          <w:rFonts w:ascii="Arial" w:cs="Arial" w:eastAsia="Arial" w:hAnsi="Arial"/>
          <w:sz w:val="18"/>
          <w:szCs w:val="18"/>
          <w:color w:val="auto"/>
        </w:rPr>
        <w:t xml:space="preserve"> Floor, Sun Hung Kai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Harbour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Wanchai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335-341, Alameda Dr. Carlos d’Asumpcao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w:t>
      </w:r>
      <w:r>
        <w:rPr>
          <w:rFonts w:ascii="Arial" w:cs="Arial" w:eastAsia="Arial" w:hAnsi="Arial"/>
          <w:sz w:val="11"/>
          <w:szCs w:val="11"/>
          <w:color w:val="auto"/>
        </w:rPr>
        <w:t>th</w:t>
      </w:r>
      <w:r>
        <w:rPr>
          <w:rFonts w:ascii="Arial" w:cs="Arial" w:eastAsia="Arial" w:hAnsi="Arial"/>
          <w:sz w:val="18"/>
          <w:szCs w:val="18"/>
          <w:color w:val="auto"/>
        </w:rPr>
        <w:t xml:space="preserve"> Floor, Hotline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34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CHINA STATE CONSTRUCTION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ENGINEERING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w:t>
      </w:r>
      <w:r>
        <w:rPr>
          <w:rFonts w:ascii="Arial" w:cs="Arial" w:eastAsia="Arial" w:hAnsi="Arial"/>
          <w:sz w:val="11"/>
          <w:szCs w:val="11"/>
          <w:color w:val="auto"/>
        </w:rPr>
        <w:t>th</w:t>
      </w:r>
      <w:r>
        <w:rPr>
          <w:rFonts w:ascii="Arial" w:cs="Arial" w:eastAsia="Arial" w:hAnsi="Arial"/>
          <w:sz w:val="18"/>
          <w:szCs w:val="18"/>
          <w:color w:val="auto"/>
        </w:rPr>
        <w:t xml:space="preserve"> Floor, China Overseas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139 Hennessy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CHINA CONSTRUCTION ENGINEERING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Rua do Campo No. 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Edificio Commercial Zhang Kian, 18 andar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1420"/>
          </w:cols>
          <w:pgMar w:left="240" w:top="125" w:right="239" w:bottom="1440" w:gutter="0" w:footer="0" w:header="0"/>
          <w:type w:val="continuous"/>
        </w:sectPr>
      </w:pPr>
    </w:p>
    <w:p>
      <w:pPr>
        <w:spacing w:after="0" w:line="17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Pursuant to Article XVIII of that certain Amended and Restated Design-Build Agreement for Guaranteed Maximum Price Architectural, Engineering and Construction Services between Owner and Contractor for the design and construction of a luxury resort/hotel/casino complex in Macau known as Wynn Resorts Macau, executed and delivered as a deed on September 14, 2005 (the “</w:t>
      </w:r>
      <w:r>
        <w:rPr>
          <w:rFonts w:ascii="Arial" w:cs="Arial" w:eastAsia="Arial" w:hAnsi="Arial"/>
          <w:sz w:val="16"/>
          <w:szCs w:val="16"/>
          <w:u w:val="single" w:color="auto"/>
          <w:color w:val="auto"/>
        </w:rPr>
        <w:t>Contract</w:t>
      </w:r>
      <w:r>
        <w:rPr>
          <w:rFonts w:ascii="Arial" w:cs="Arial" w:eastAsia="Arial" w:hAnsi="Arial"/>
          <w:sz w:val="16"/>
          <w:szCs w:val="16"/>
          <w:color w:val="auto"/>
        </w:rPr>
        <w:t>”), and the desire of the Owner and Contractor to amend and supplement certain terms and provisions of the Contract, the Contract is hereby modified by this agreement and all related drawings, plans and specifications attached hereto (collectively, the “</w:t>
      </w:r>
      <w:r>
        <w:rPr>
          <w:rFonts w:ascii="Arial" w:cs="Arial" w:eastAsia="Arial" w:hAnsi="Arial"/>
          <w:sz w:val="16"/>
          <w:szCs w:val="16"/>
          <w:u w:val="single" w:color="auto"/>
          <w:color w:val="auto"/>
        </w:rPr>
        <w:t>Change Order</w:t>
      </w:r>
      <w:r>
        <w:rPr>
          <w:rFonts w:ascii="Arial" w:cs="Arial" w:eastAsia="Arial" w:hAnsi="Arial"/>
          <w:sz w:val="16"/>
          <w:szCs w:val="16"/>
          <w:color w:val="auto"/>
        </w:rPr>
        <w:t>”), made as a deed effective as of the date set forth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 </w:t>
      </w:r>
      <w:r>
        <w:rPr>
          <w:rFonts w:ascii="Arial" w:cs="Arial" w:eastAsia="Arial" w:hAnsi="Arial"/>
          <w:sz w:val="18"/>
          <w:szCs w:val="18"/>
          <w:u w:val="single" w:color="auto"/>
          <w:color w:val="auto"/>
        </w:rPr>
        <w:t>Scope of Work</w:t>
      </w:r>
      <w:r>
        <w:rPr>
          <w:rFonts w:ascii="Arial" w:cs="Arial" w:eastAsia="Arial" w:hAnsi="Arial"/>
          <w:sz w:val="18"/>
          <w:szCs w:val="18"/>
          <w:color w:val="auto"/>
        </w:rPr>
        <w:t>. The Scope of Work is changed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Masterplan Drawings for the following modifications and additions/deletions (collectively the “Masterplan Modifications):</w:t>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WM/ASK/0325/22 WM/ASK/0326/31 WM/ASK/0327/31 WM/ASK/0328/24 WM/ASK/0329/22</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Basement Floor Plan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Ground Floor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Floor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Second Floor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Third Floor Plan</w:t>
      </w:r>
    </w:p>
    <w:p>
      <w:pPr>
        <w:spacing w:after="0" w:line="165" w:lineRule="exact"/>
        <w:rPr>
          <w:sz w:val="20"/>
          <w:szCs w:val="20"/>
          <w:color w:val="auto"/>
        </w:rPr>
      </w:pPr>
    </w:p>
    <w:p>
      <w:pPr>
        <w:sectPr>
          <w:pgSz w:w="11900" w:h="16838" w:orient="portrait"/>
          <w:cols w:equalWidth="0" w:num="2">
            <w:col w:w="1580" w:space="720"/>
            <w:col w:w="9100"/>
          </w:cols>
          <w:pgMar w:left="240" w:top="280" w:right="259" w:bottom="1440" w:gutter="0" w:footer="0" w:header="0"/>
          <w:type w:val="continuous"/>
        </w:sectPr>
      </w:pPr>
    </w:p>
    <w:p>
      <w:pPr>
        <w:ind w:left="20"/>
        <w:spacing w:after="0"/>
        <w:rPr>
          <w:sz w:val="20"/>
          <w:szCs w:val="20"/>
          <w:color w:val="auto"/>
        </w:rPr>
      </w:pPr>
      <w:r>
        <w:rPr>
          <w:rFonts w:ascii="Arial" w:cs="Arial" w:eastAsia="Arial" w:hAnsi="Arial"/>
          <w:sz w:val="18"/>
          <w:szCs w:val="18"/>
          <w:u w:val="single" w:color="auto"/>
          <w:color w:val="auto"/>
        </w:rPr>
        <w:t>Expansion Area Modifications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 No. SK NO.8.2.1.0237/06 dated 17 May 06 defines Area 7 for the purposes of this Change Order.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interior fit-out works and building services installations, as further defined below, are deleted from the scope of works. Area 7 on the referenced plan is to be treated as a “shell” space with no floor, wall or ceiling finishes installed. Building Services central plant installation and primary distribution and trunking shall be provided, as well as all life safety systems installation as required to achieve code compliance.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extent of works to be installed by the Contractor:</w:t>
      </w:r>
    </w:p>
    <w:p>
      <w:pPr>
        <w:spacing w:after="0" w:line="9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Architecture: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external architectural elements and finishes as documented on the above referenced Masterplans are to be constructed.</w:t>
      </w:r>
    </w:p>
    <w:p>
      <w:pPr>
        <w:spacing w:after="0" w:line="90"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Temporary Walls shall be provided to separate operational and unfitted areas. These walls shall provide sound and dust separation, and shall be finished to a FOH standard on one side.</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Interior Design:</w:t>
      </w:r>
    </w:p>
    <w:p>
      <w:pPr>
        <w:spacing w:after="0" w:line="90"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No Interior Design shall be provided for Area 7. Interior Design documents shall be issued for all of the temporary wall locations, and the Contractor shall be responsible for installation of these temporary walls and finishes.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Contractor shall provide any walls, doors, or other fixtures required to achieve fire and smoke separation/compartmentation in Area 7.</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Structure: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structural works as documented on the above referenced Masterplans are to be constructed.</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Central Plant as documented on the above referenced Masterplans are to be installed.</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Mechanical services (HVAC) primary distribution ductwork and equipment shall be installed. Flexible branch ducts and grilles are deleted.</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Electrical Services: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Central Plant as documented on the above referenced Masterplans are to be installed.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type w:val="continuous"/>
        </w:sectPr>
      </w:pPr>
    </w:p>
    <w:bookmarkStart w:id="105" w:name="page106"/>
    <w:bookmarkEnd w:id="105"/>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Electrical services primary distribution shall be installed up to and including meter room locations. Emergency lighting and life safety system and signage shall also be provided. Final circuits and trunking is deleted.</w:t>
      </w:r>
    </w:p>
    <w:p>
      <w:pPr>
        <w:spacing w:after="0" w:line="132"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A comprehensive sub-floor trunking system (Walker Duct) shall be provided for the entire area for laying of power and data cabling. This shall include topping screed.</w:t>
      </w:r>
    </w:p>
    <w:p>
      <w:pPr>
        <w:spacing w:after="0" w:line="25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Fire Services:</w:t>
      </w:r>
    </w:p>
    <w:p>
      <w:pPr>
        <w:spacing w:after="0" w:line="90" w:lineRule="exact"/>
        <w:rPr>
          <w:rFonts w:ascii="Arial" w:cs="Arial" w:eastAsia="Arial" w:hAnsi="Arial"/>
          <w:sz w:val="18"/>
          <w:szCs w:val="18"/>
          <w:color w:val="auto"/>
        </w:rPr>
      </w:pPr>
    </w:p>
    <w:p>
      <w:pPr>
        <w:ind w:left="460" w:right="300"/>
        <w:spacing w:after="0" w:line="268" w:lineRule="auto"/>
        <w:rPr>
          <w:rFonts w:ascii="Arial" w:cs="Arial" w:eastAsia="Arial" w:hAnsi="Arial"/>
          <w:sz w:val="18"/>
          <w:szCs w:val="18"/>
          <w:color w:val="auto"/>
        </w:rPr>
      </w:pPr>
      <w:r>
        <w:rPr>
          <w:rFonts w:ascii="Arial" w:cs="Arial" w:eastAsia="Arial" w:hAnsi="Arial"/>
          <w:sz w:val="18"/>
          <w:szCs w:val="18"/>
          <w:color w:val="auto"/>
        </w:rPr>
        <w:t>Fire Services shall be installed through out in compliance with code and with adequate capacity to meet future requirements. Upper layer sprinklers and provision for extending lower layer sprinklers are to be provided throughout.</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Plumbing and Drainage Services:</w:t>
      </w:r>
    </w:p>
    <w:p>
      <w:pPr>
        <w:spacing w:after="0" w:line="90" w:lineRule="exact"/>
        <w:rPr>
          <w:rFonts w:ascii="Arial" w:cs="Arial" w:eastAsia="Arial" w:hAnsi="Arial"/>
          <w:sz w:val="18"/>
          <w:szCs w:val="18"/>
          <w:color w:val="auto"/>
        </w:rPr>
      </w:pPr>
    </w:p>
    <w:p>
      <w:pPr>
        <w:ind w:left="460" w:right="20"/>
        <w:spacing w:after="0" w:line="332" w:lineRule="auto"/>
        <w:rPr>
          <w:rFonts w:ascii="Arial" w:cs="Arial" w:eastAsia="Arial" w:hAnsi="Arial"/>
          <w:sz w:val="18"/>
          <w:szCs w:val="18"/>
          <w:color w:val="auto"/>
        </w:rPr>
      </w:pPr>
      <w:r>
        <w:rPr>
          <w:rFonts w:ascii="Arial" w:cs="Arial" w:eastAsia="Arial" w:hAnsi="Arial"/>
          <w:sz w:val="16"/>
          <w:szCs w:val="16"/>
          <w:color w:val="auto"/>
        </w:rPr>
        <w:t>Plumbing and Drainage installation shall be provided including cold &amp; hot water system, soil &amp; waste disposal, storm water, and LPG distribution. Primary distribution to local areas shown on the above referenced Masterplans (toilet, kitchen, service bar, etc. locations) are to be installed.</w:t>
      </w:r>
    </w:p>
    <w:p>
      <w:pPr>
        <w:spacing w:after="0" w:line="206"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Elevators and Escalators: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Elevators and Escalators are to be installed and commissioned as documented on the referenced Masterplans.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Building Maintenance Services:</w:t>
      </w:r>
    </w:p>
    <w:p>
      <w:pPr>
        <w:spacing w:after="0" w:line="90"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Building Management System shall be installed and integrated with existing system. The system shall be sized to accommodate reasonable no. of points in fully fitted out space.</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Extra Low Voltage Systems:</w:t>
      </w:r>
    </w:p>
    <w:p>
      <w:pPr>
        <w:spacing w:after="0" w:line="90" w:lineRule="exact"/>
        <w:rPr>
          <w:rFonts w:ascii="Arial" w:cs="Arial" w:eastAsia="Arial" w:hAnsi="Arial"/>
          <w:sz w:val="18"/>
          <w:szCs w:val="18"/>
          <w:color w:val="auto"/>
        </w:rPr>
      </w:pP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Extra Low Voltage systems shall be installed including comprehensive IT, BGM/PA and security cabling up to the TR rooms. Wireless data infrastructure shall be provided throughout. Distributed final cabling from TR rooms to final points are deleted.</w:t>
      </w:r>
    </w:p>
    <w:p>
      <w:pPr>
        <w:spacing w:after="0" w:line="253" w:lineRule="exact"/>
        <w:rPr>
          <w:rFonts w:ascii="Arial" w:cs="Arial" w:eastAsia="Arial" w:hAnsi="Arial"/>
          <w:sz w:val="18"/>
          <w:szCs w:val="18"/>
          <w:color w:val="auto"/>
        </w:rPr>
      </w:pPr>
    </w:p>
    <w:p>
      <w:pPr>
        <w:ind w:left="460" w:right="7260" w:hanging="452"/>
        <w:spacing w:after="0" w:line="413" w:lineRule="auto"/>
        <w:tabs>
          <w:tab w:leader="none" w:pos="449" w:val="left"/>
        </w:tabs>
        <w:numPr>
          <w:ilvl w:val="0"/>
          <w:numId w:val="96"/>
        </w:numPr>
        <w:rPr>
          <w:rFonts w:ascii="Arial" w:cs="Arial" w:eastAsia="Arial" w:hAnsi="Arial"/>
          <w:sz w:val="15"/>
          <w:szCs w:val="15"/>
          <w:color w:val="auto"/>
        </w:rPr>
      </w:pPr>
      <w:r>
        <w:rPr>
          <w:rFonts w:ascii="Arial" w:cs="Arial" w:eastAsia="Arial" w:hAnsi="Arial"/>
          <w:sz w:val="15"/>
          <w:szCs w:val="15"/>
          <w:color w:val="auto"/>
        </w:rPr>
        <w:t>Builder’s Work in connection with Services: Maintenance and access catwalks are to be installed.</w:t>
      </w:r>
    </w:p>
    <w:p>
      <w:pPr>
        <w:ind w:left="460"/>
        <w:spacing w:after="0"/>
        <w:rPr>
          <w:rFonts w:ascii="Arial" w:cs="Arial" w:eastAsia="Arial" w:hAnsi="Arial"/>
          <w:sz w:val="15"/>
          <w:szCs w:val="15"/>
          <w:color w:val="auto"/>
        </w:rPr>
      </w:pPr>
      <w:r>
        <w:rPr>
          <w:rFonts w:ascii="Arial" w:cs="Arial" w:eastAsia="Arial" w:hAnsi="Arial"/>
          <w:sz w:val="16"/>
          <w:szCs w:val="16"/>
          <w:color w:val="auto"/>
        </w:rPr>
        <w:t>All Building Services shall be zoned appropriately to allow uninterrupted operation of the remainder of the property whilst future fit-out occurs.</w:t>
      </w:r>
    </w:p>
    <w:p>
      <w:pPr>
        <w:spacing w:after="0" w:line="113" w:lineRule="exact"/>
        <w:rPr>
          <w:sz w:val="20"/>
          <w:szCs w:val="20"/>
          <w:color w:val="auto"/>
        </w:rPr>
      </w:pPr>
    </w:p>
    <w:p>
      <w:pPr>
        <w:ind w:left="440"/>
        <w:spacing w:after="0"/>
        <w:tabs>
          <w:tab w:leader="none" w:pos="9040" w:val="left"/>
        </w:tabs>
        <w:rPr>
          <w:sz w:val="20"/>
          <w:szCs w:val="20"/>
          <w:color w:val="auto"/>
        </w:rPr>
      </w:pPr>
      <w:r>
        <w:rPr>
          <w:rFonts w:ascii="Arial" w:cs="Arial" w:eastAsia="Arial" w:hAnsi="Arial"/>
          <w:sz w:val="18"/>
          <w:szCs w:val="18"/>
          <w:color w:val="auto"/>
        </w:rPr>
        <w:t>Decrease to the Guaranteed Maximum Price:</w:t>
      </w:r>
      <w:r>
        <w:rPr>
          <w:sz w:val="20"/>
          <w:szCs w:val="20"/>
          <w:color w:val="auto"/>
        </w:rPr>
        <w:tab/>
      </w:r>
      <w:r>
        <w:rPr>
          <w:rFonts w:ascii="Arial" w:cs="Arial" w:eastAsia="Arial" w:hAnsi="Arial"/>
          <w:sz w:val="16"/>
          <w:szCs w:val="16"/>
          <w:color w:val="auto"/>
        </w:rPr>
        <w:t>HKD54,025,109 / USD6,926,296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2"/>
              <w:spacing w:after="0"/>
              <w:rPr>
                <w:sz w:val="20"/>
                <w:szCs w:val="20"/>
                <w:color w:val="auto"/>
              </w:rPr>
            </w:pPr>
            <w:r>
              <w:rPr>
                <w:rFonts w:ascii="Arial" w:cs="Arial" w:eastAsia="Arial" w:hAnsi="Arial"/>
                <w:sz w:val="18"/>
                <w:szCs w:val="18"/>
                <w:color w:val="auto"/>
                <w:w w:val="79"/>
              </w:rPr>
              <w:t>2.</w:t>
            </w:r>
          </w:p>
        </w:tc>
        <w:tc>
          <w:tcPr>
            <w:tcW w:w="7700" w:type="dxa"/>
            <w:vAlign w:val="bottom"/>
            <w:gridSpan w:val="4"/>
          </w:tcPr>
          <w:p>
            <w:pPr>
              <w:spacing w:after="0"/>
              <w:rPr>
                <w:sz w:val="20"/>
                <w:szCs w:val="20"/>
                <w:color w:val="auto"/>
              </w:rPr>
            </w:pPr>
            <w:r>
              <w:rPr>
                <w:rFonts w:ascii="Arial" w:cs="Arial" w:eastAsia="Arial" w:hAnsi="Arial"/>
                <w:sz w:val="18"/>
                <w:szCs w:val="18"/>
                <w:color w:val="auto"/>
              </w:rPr>
              <w:t>Change to the Expansion Project Guaranteed Maximum Price</w:t>
            </w:r>
          </w:p>
        </w:tc>
        <w:tc>
          <w:tcPr>
            <w:tcW w:w="1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4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Expansion Project</w:t>
            </w:r>
          </w:p>
        </w:tc>
        <w:tc>
          <w:tcPr>
            <w:tcW w:w="3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Borders>
              <w:top w:val="single" w:sz="8" w:color="auto"/>
            </w:tcBorders>
            <w:vMerge w:val="restart"/>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Expansion Project Guaranteed Maximum Price</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156,759,326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Total of previous Change Orders</w:t>
            </w:r>
          </w:p>
        </w:tc>
        <w:tc>
          <w:tcPr>
            <w:tcW w:w="1740" w:type="dxa"/>
            <w:vAlign w:val="bottom"/>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17,719,374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Previous Expansion Project Guaranteed Maximum Price (Subtotal)</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174,478,700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Total of this Change Order</w:t>
            </w:r>
          </w:p>
        </w:tc>
        <w:tc>
          <w:tcPr>
            <w:tcW w:w="1740" w:type="dxa"/>
            <w:vAlign w:val="bottom"/>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(6,926,296)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 Transfer from Original Project Owner Contingency</w:t>
            </w:r>
          </w:p>
        </w:tc>
        <w:tc>
          <w:tcPr>
            <w:tcW w:w="174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Revised Expansion Project Guaranteed Maximum Price thru Change Order No. 3</w:t>
            </w:r>
          </w:p>
        </w:tc>
        <w:tc>
          <w:tcPr>
            <w:tcW w:w="1740" w:type="dxa"/>
            <w:vAlign w:val="bottom"/>
          </w:tcPr>
          <w:p>
            <w:pPr>
              <w:ind w:left="1420"/>
              <w:spacing w:after="0"/>
              <w:rPr>
                <w:sz w:val="20"/>
                <w:szCs w:val="20"/>
                <w:color w:val="auto"/>
              </w:rPr>
            </w:pPr>
            <w:r>
              <w:rPr>
                <w:rFonts w:ascii="Arial" w:cs="Arial" w:eastAsia="Arial" w:hAnsi="Arial"/>
                <w:sz w:val="18"/>
                <w:szCs w:val="18"/>
                <w:color w:val="auto"/>
                <w:w w:val="85"/>
              </w:rPr>
              <w:t>US$</w:t>
            </w:r>
          </w:p>
        </w:tc>
        <w:tc>
          <w:tcPr>
            <w:tcW w:w="960" w:type="dxa"/>
            <w:vAlign w:val="bottom"/>
          </w:tcPr>
          <w:p>
            <w:pPr>
              <w:jc w:val="right"/>
              <w:spacing w:after="0"/>
              <w:rPr>
                <w:sz w:val="20"/>
                <w:szCs w:val="20"/>
                <w:color w:val="auto"/>
              </w:rPr>
            </w:pPr>
            <w:r>
              <w:rPr>
                <w:rFonts w:ascii="Arial" w:cs="Arial" w:eastAsia="Arial" w:hAnsi="Arial"/>
                <w:sz w:val="18"/>
                <w:szCs w:val="18"/>
                <w:color w:val="auto"/>
                <w:w w:val="85"/>
              </w:rPr>
              <w:t>167,552,404</w:t>
            </w:r>
          </w:p>
        </w:tc>
        <w:tc>
          <w:tcPr>
            <w:tcW w:w="0" w:type="dxa"/>
            <w:vAlign w:val="bottom"/>
          </w:tcPr>
          <w:p>
            <w:pPr>
              <w:spacing w:after="0"/>
              <w:rPr>
                <w:sz w:val="1"/>
                <w:szCs w:val="1"/>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line="288" w:lineRule="auto"/>
        <w:rPr>
          <w:sz w:val="20"/>
          <w:szCs w:val="20"/>
          <w:color w:val="auto"/>
        </w:rPr>
      </w:pPr>
      <w:r>
        <w:rPr>
          <w:rFonts w:ascii="Arial" w:cs="Arial" w:eastAsia="Arial" w:hAnsi="Arial"/>
          <w:sz w:val="16"/>
          <w:szCs w:val="16"/>
          <w:color w:val="auto"/>
        </w:rPr>
        <w:t xml:space="preserve">The Expansion Project Guaranteed Maximum Price set forth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of the Contract is, pursuant to the terms of this Change Order, hereby decreased from US$ 174,478,700 to US$ 167,552,404 based on the Changes described above. The detailed breakdown of the foregoing increase is contained in the revised Expansion Project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dated 25 May 2006 and attached to this Change Order. Accordingly, the Expansion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in its entirety and replaced with the Revised Expansion Project Guaranteed Maximum Price Breakdown attached hereto. From and after the date of this Change Order, all references in the Contract Documents to the “Expansion Project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Expansion Project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“Expansion Project Guaranteed Maximum Price” shall mean the amount of US$ 167,552,404.</w:t>
      </w:r>
    </w:p>
    <w:p>
      <w:pPr>
        <w:spacing w:after="0" w:line="241"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Project Schedule</w:t>
      </w:r>
    </w:p>
    <w:p>
      <w:pPr>
        <w:spacing w:after="0" w:line="9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Contract Time of 726 calendar days from Expansion Project Date of Commencement and the Guaranteed Date of Expansion Project Substantial Completion, as defined in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of the Contract each remain unchanged by this Change Order.</w:t>
      </w:r>
    </w:p>
    <w:p>
      <w:pPr>
        <w:spacing w:after="0" w:line="50" w:lineRule="exact"/>
        <w:rPr>
          <w:rFonts w:ascii="Arial" w:cs="Arial" w:eastAsia="Arial" w:hAnsi="Arial"/>
          <w:sz w:val="18"/>
          <w:szCs w:val="18"/>
          <w:color w:val="auto"/>
        </w:rPr>
      </w:pPr>
    </w:p>
    <w:p>
      <w:pPr>
        <w:ind w:left="460" w:right="300"/>
        <w:spacing w:after="0" w:line="268" w:lineRule="auto"/>
        <w:rPr>
          <w:rFonts w:ascii="Arial" w:cs="Arial" w:eastAsia="Arial" w:hAnsi="Arial"/>
          <w:sz w:val="18"/>
          <w:szCs w:val="18"/>
          <w:color w:val="auto"/>
        </w:rPr>
      </w:pPr>
      <w:r>
        <w:rPr>
          <w:rFonts w:ascii="Arial" w:cs="Arial" w:eastAsia="Arial" w:hAnsi="Arial"/>
          <w:sz w:val="18"/>
          <w:szCs w:val="18"/>
          <w:color w:val="auto"/>
        </w:rPr>
        <w:t>The Expansion Project Schedule, included as Attachment 5 of Exhibit B to the Contract, is hereby deleted in its entirety and replaced with the amended Attachment 5 of Exhibit B attached to this Change Order.</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of the Contract and the terms of this Change Order, the terms of this Change Order will prevail.</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obligations of Contractor hereunder are joint and several.</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Except as otherwise expressly modified hereby, the Contract will remain in full force and effect, and all of the terms and provisions of the Contract, as herein modified, are hereby ratified and reaffirmed.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57" w:right="259" w:bottom="1440" w:gutter="0" w:footer="0" w:header="0"/>
        </w:sectPr>
      </w:pPr>
    </w:p>
    <w:bookmarkStart w:id="107" w:name="page108"/>
    <w:bookmarkEnd w:id="107"/>
    <w:p>
      <w:pPr>
        <w:ind w:left="446" w:hanging="446"/>
        <w:spacing w:after="0" w:line="268"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acknowledge and agree that this Change Order will constitute both an amendment to the Contract and a “Change Order” as defined under the Contract.</w:t>
      </w:r>
    </w:p>
    <w:p>
      <w:pPr>
        <w:spacing w:after="0" w:line="50" w:lineRule="exact"/>
        <w:rPr>
          <w:rFonts w:ascii="Arial" w:cs="Arial" w:eastAsia="Arial" w:hAnsi="Arial"/>
          <w:sz w:val="18"/>
          <w:szCs w:val="18"/>
          <w:color w:val="auto"/>
        </w:rPr>
      </w:pPr>
    </w:p>
    <w:p>
      <w:pPr>
        <w:ind w:left="446" w:right="340" w:hanging="446"/>
        <w:spacing w:after="0" w:line="259"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Change Order may be executed in as many counterparts as may be deemed necessary and convenient, and by the different parties hereto on separate counterparts, each of which, when so executed, will be deemed an original, but all such counterparts shall constitute one and the same instrument.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initial capitalized terms used in this Change Order shall have the meaning ascribed to them in the Contract, unless otherwise defined herein.</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Change Order is effective as of 25 May 2006.</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Change Order shall be governed by, and construed in accordance with, the laws of England.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Change Order is subject to the approval and consent of the Lender’s.</w:t>
      </w:r>
    </w:p>
    <w:p>
      <w:pPr>
        <w:spacing w:after="0" w:line="171" w:lineRule="exact"/>
        <w:rPr>
          <w:sz w:val="20"/>
          <w:szCs w:val="20"/>
          <w:color w:val="auto"/>
        </w:rPr>
      </w:pPr>
    </w:p>
    <w:p>
      <w:pPr>
        <w:jc w:val="center"/>
        <w:ind w:right="394"/>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6"/>
          </w:cols>
          <w:pgMar w:left="694" w:top="280" w:right="27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t>
      </w:r>
      <w:r>
        <w:rPr>
          <w:rFonts w:ascii="Arial" w:cs="Arial" w:eastAsia="Arial" w:hAnsi="Arial"/>
          <w:sz w:val="18"/>
          <w:szCs w:val="18"/>
          <w:color w:val="auto"/>
        </w:rPr>
        <w:t>whereof this Change Order has been duly executed and delivered as a deed the day and year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EXECUTED as a Deed on behalf of</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WYNN RESORTS (MACAU) S.A., a</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company incorporated in the Macau</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Special Administrative Region, by Grant</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Bowie, being a person who, in</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accordance with the laws of that territory,</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is acting under the authority of the</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company in the presence of:</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Nisbet</w:t>
            </w:r>
          </w:p>
        </w:tc>
        <w:tc>
          <w:tcPr>
            <w:tcW w:w="1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Signature and name of witness</w:t>
            </w:r>
          </w:p>
        </w:tc>
        <w:tc>
          <w:tcPr>
            <w:tcW w:w="14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120" w:type="dxa"/>
            <w:vAlign w:val="bottom"/>
            <w:gridSpan w:val="2"/>
          </w:tcPr>
          <w:p>
            <w:pPr>
              <w:spacing w:after="0"/>
              <w:rPr>
                <w:sz w:val="20"/>
                <w:szCs w:val="20"/>
                <w:color w:val="auto"/>
              </w:rPr>
            </w:pPr>
            <w:r>
              <w:rPr>
                <w:rFonts w:ascii="Arial" w:cs="Arial" w:eastAsia="Arial" w:hAnsi="Arial"/>
                <w:sz w:val="18"/>
                <w:szCs w:val="18"/>
                <w:color w:val="auto"/>
              </w:rPr>
              <w:t>SIGNED, SEALED and</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DELIVERED by Joe Dujmovic as</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attorney for LEIGHTON</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CONTRACTORS (ASIA) LIMITED</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under power of attorney dated</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gridSpan w:val="2"/>
          </w:tcPr>
          <w:p>
            <w:pPr>
              <w:spacing w:after="0"/>
              <w:rPr>
                <w:sz w:val="20"/>
                <w:szCs w:val="20"/>
                <w:color w:val="auto"/>
              </w:rPr>
            </w:pPr>
            <w:r>
              <w:rPr>
                <w:rFonts w:ascii="Arial" w:cs="Arial" w:eastAsia="Arial" w:hAnsi="Arial"/>
                <w:sz w:val="18"/>
                <w:szCs w:val="18"/>
                <w:color w:val="auto"/>
              </w:rPr>
              <w:t>August 18, 2005 in the presence of:</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By executing this deed the</w:t>
            </w:r>
          </w:p>
        </w:tc>
        <w:tc>
          <w:tcPr>
            <w:tcW w:w="0" w:type="dxa"/>
            <w:vAlign w:val="bottom"/>
          </w:tcPr>
          <w:p>
            <w:pPr>
              <w:spacing w:after="0"/>
              <w:rPr>
                <w:sz w:val="1"/>
                <w:szCs w:val="1"/>
                <w:color w:val="auto"/>
              </w:rPr>
            </w:pPr>
          </w:p>
        </w:tc>
      </w:tr>
      <w:tr>
        <w:trPr>
          <w:trHeight w:val="216"/>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/s/ Monita Wong Kwok</w:t>
            </w: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attorney states that the attorney</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gridSpan w:val="2"/>
            <w:vMerge w:val="continue"/>
          </w:tcPr>
          <w:p>
            <w:pPr>
              <w:spacing w:after="0"/>
              <w:rPr>
                <w:sz w:val="18"/>
                <w:szCs w:val="18"/>
                <w:color w:val="auto"/>
              </w:rPr>
            </w:pP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has received no notice of</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Signature and name of witness</w:t>
            </w: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revocation of the power of attorney</w:t>
            </w:r>
          </w:p>
        </w:tc>
        <w:tc>
          <w:tcPr>
            <w:tcW w:w="0" w:type="dxa"/>
            <w:vAlign w:val="bottom"/>
          </w:tcPr>
          <w:p>
            <w:pPr>
              <w:spacing w:after="0"/>
              <w:rPr>
                <w:sz w:val="1"/>
                <w:szCs w:val="1"/>
                <w:color w:val="auto"/>
              </w:rPr>
            </w:pPr>
          </w:p>
        </w:tc>
      </w:tr>
      <w:tr>
        <w:trPr>
          <w:trHeight w:val="431"/>
        </w:trPr>
        <w:tc>
          <w:tcPr>
            <w:tcW w:w="5120" w:type="dxa"/>
            <w:vAlign w:val="bottom"/>
            <w:gridSpan w:val="2"/>
          </w:tcPr>
          <w:p>
            <w:pPr>
              <w:spacing w:after="0"/>
              <w:rPr>
                <w:sz w:val="20"/>
                <w:szCs w:val="20"/>
                <w:color w:val="auto"/>
              </w:rPr>
            </w:pPr>
            <w:r>
              <w:rPr>
                <w:rFonts w:ascii="Arial" w:cs="Arial" w:eastAsia="Arial" w:hAnsi="Arial"/>
                <w:sz w:val="18"/>
                <w:szCs w:val="18"/>
                <w:color w:val="auto"/>
              </w:rPr>
              <w:t>THE COMMON SEAL of CHINA</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STATE CONSTRUCTION</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ENGINEERING (HONG KONG)</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LIMITED was affixed to this Deed</w:t>
            </w:r>
          </w:p>
        </w:tc>
        <w:tc>
          <w:tcPr>
            <w:tcW w:w="1420" w:type="dxa"/>
            <w:vAlign w:val="bottom"/>
          </w:tcPr>
          <w:p>
            <w:pPr>
              <w:jc w:val="right"/>
              <w:ind w:right="1172"/>
              <w:spacing w:after="0"/>
              <w:rPr>
                <w:sz w:val="20"/>
                <w:szCs w:val="20"/>
                <w:color w:val="auto"/>
              </w:rPr>
            </w:pPr>
            <w:r>
              <w:rPr>
                <w:rFonts w:ascii="Arial" w:cs="Arial" w:eastAsia="Arial" w:hAnsi="Arial"/>
                <w:sz w:val="18"/>
                <w:szCs w:val="18"/>
                <w:color w:val="auto"/>
              </w:rPr>
              <w:t>)</w:t>
            </w: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4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CN YIP</w:t>
            </w:r>
          </w:p>
        </w:tc>
        <w:tc>
          <w:tcPr>
            <w:tcW w:w="14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Signature and name of witness</w:t>
            </w:r>
          </w:p>
        </w:tc>
        <w:tc>
          <w:tcPr>
            <w:tcW w:w="14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/s/ O.P. Kong</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authorized person</w:t>
            </w:r>
          </w:p>
        </w:tc>
        <w:tc>
          <w:tcPr>
            <w:tcW w:w="1420" w:type="dxa"/>
            <w:vAlign w:val="bottom"/>
          </w:tcPr>
          <w:p>
            <w:pPr>
              <w:spacing w:after="0"/>
              <w:rPr>
                <w:sz w:val="18"/>
                <w:szCs w:val="18"/>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authorized person</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Office held</w:t>
            </w:r>
          </w:p>
        </w:tc>
        <w:tc>
          <w:tcPr>
            <w:tcW w:w="1420" w:type="dxa"/>
            <w:vAlign w:val="bottom"/>
          </w:tcPr>
          <w:p>
            <w:pPr>
              <w:spacing w:after="0"/>
              <w:rPr>
                <w:sz w:val="18"/>
                <w:szCs w:val="18"/>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Office held</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300" w:type="dxa"/>
            <w:vAlign w:val="bottom"/>
            <w:gridSpan w:val="2"/>
          </w:tcPr>
          <w:p>
            <w:pPr>
              <w:ind w:left="1420"/>
              <w:spacing w:after="0"/>
              <w:rPr>
                <w:sz w:val="20"/>
                <w:szCs w:val="20"/>
                <w:color w:val="auto"/>
              </w:rPr>
            </w:pPr>
            <w:r>
              <w:rPr>
                <w:rFonts w:ascii="Arial" w:cs="Arial" w:eastAsia="Arial" w:hAnsi="Arial"/>
                <w:sz w:val="18"/>
                <w:szCs w:val="18"/>
                <w:color w:val="auto"/>
              </w:rPr>
              <w:t>O.P. Kong</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authorized person (block letters)</w:t>
            </w:r>
          </w:p>
        </w:tc>
        <w:tc>
          <w:tcPr>
            <w:tcW w:w="1420" w:type="dxa"/>
            <w:vAlign w:val="bottom"/>
          </w:tcPr>
          <w:p>
            <w:pPr>
              <w:spacing w:after="0"/>
              <w:rPr>
                <w:sz w:val="18"/>
                <w:szCs w:val="18"/>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authorized person (block letters)</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6</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9" w:name="page110"/>
    <w:bookmarkEnd w:id="109"/>
    <w:p>
      <w:pPr>
        <w:ind w:right="1760"/>
        <w:spacing w:after="0" w:line="282" w:lineRule="auto"/>
        <w:rPr>
          <w:sz w:val="20"/>
          <w:szCs w:val="20"/>
          <w:color w:val="auto"/>
        </w:rPr>
      </w:pPr>
      <w:r>
        <w:rPr>
          <w:rFonts w:ascii="Arial" w:cs="Arial" w:eastAsia="Arial" w:hAnsi="Arial"/>
          <w:sz w:val="16"/>
          <w:szCs w:val="16"/>
          <w:color w:val="auto"/>
        </w:rPr>
        <w:t>EXECUTED by Xu Jian Ping in his capacity as auxiliar of, and with authority to bind, CHINA CONSTRUCTION ENGINEERING (MACAU) COMPANY LIMITED a limited company incorporated in the Macau Special Administrative Region, pursuant to a resolution by the General Shareholders Meeting dated</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Chen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416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and name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-219710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59"/>
        <w:spacing w:after="0" w:line="291" w:lineRule="auto"/>
        <w:rPr>
          <w:sz w:val="20"/>
          <w:szCs w:val="20"/>
          <w:color w:val="auto"/>
        </w:rPr>
      </w:pPr>
      <w:r>
        <w:rPr>
          <w:rFonts w:ascii="Arial" w:cs="Arial" w:eastAsia="Arial" w:hAnsi="Arial"/>
          <w:sz w:val="16"/>
          <w:szCs w:val="16"/>
          <w:color w:val="auto"/>
        </w:rPr>
        <w:t>By executing this deed the signatory warrants that the signatory is duly authorized to execute this deed on behalf of CHINA CONSTRUCTION ENGINEERING (MACAU)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31045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3">
            <w:col w:w="4500" w:space="720"/>
            <w:col w:w="600" w:space="720"/>
            <w:col w:w="3679"/>
          </w:cols>
          <w:pgMar w:left="240" w:top="280" w:right="1440" w:bottom="1440" w:gutter="0" w:footer="0" w:header="0"/>
        </w:sectPr>
      </w:pPr>
    </w:p>
    <w:p>
      <w:pPr>
        <w:ind w:left="56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19"/>
          </w:cols>
          <w:pgMar w:left="240" w:top="280" w:right="1440"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2006</w:t>
      </w:r>
    </w:p>
    <w:p>
      <w:pPr>
        <w:spacing w:after="0" w:line="374"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2006</w:t>
      </w:r>
    </w:p>
    <w:p>
      <w:pPr>
        <w:spacing w:after="0" w:line="374"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2006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Stephen A. Wynn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89"/>
              </w:rPr>
              <w:t>Chairman and Chief Executive Officer</w:t>
            </w:r>
          </w:p>
        </w:tc>
      </w:tr>
      <w:tr>
        <w:trPr>
          <w:trHeight w:val="222"/>
        </w:trPr>
        <w:tc>
          <w:tcPr>
            <w:tcW w:w="70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August 7, 2006</w:t>
            </w:r>
          </w:p>
        </w:tc>
      </w:tr>
      <w:tr>
        <w:trPr>
          <w:trHeight w:val="326"/>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 John Strzemp</w:t>
            </w:r>
          </w:p>
        </w:tc>
        <w:tc>
          <w:tcPr>
            <w:tcW w:w="2460" w:type="dxa"/>
            <w:vAlign w:val="bottom"/>
          </w:tcPr>
          <w:p>
            <w:pPr>
              <w:spacing w:after="0"/>
              <w:rPr>
                <w:sz w:val="24"/>
                <w:szCs w:val="24"/>
                <w:color w:val="auto"/>
              </w:rPr>
            </w:pPr>
          </w:p>
        </w:tc>
      </w:tr>
      <w:tr>
        <w:trPr>
          <w:trHeight w:val="228"/>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John Strzemp</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70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22"/>
        </w:trPr>
        <w:tc>
          <w:tcPr>
            <w:tcW w:w="70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August 7, 2006</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2"/>
    </w:lvl>
  </w:abstractNum>
  <w:abstractNum w:abstractNumId="3">
    <w:nsid w:val="12E685FB"/>
    <w:multiLevelType w:val="hybridMultilevel"/>
    <w:lvl w:ilvl="0">
      <w:lvlJc w:val="left"/>
      <w:lvlText w:val="%1."/>
      <w:numFmt w:val="decimal"/>
      <w:start w:val="6"/>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1)"/>
      <w:numFmt w:val="lowerLetter"/>
      <w:start w:val="2"/>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lowerLetter"/>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decimal"/>
      <w:start w:val="1"/>
    </w:lvl>
    <w:lvl w:ilvl="1">
      <w:lvlJc w:val="left"/>
      <w:lvlText w:val="%2"/>
      <w:numFmt w:val="lowerLetter"/>
      <w:start w:val="1"/>
    </w:lvl>
  </w:abstractNum>
  <w:abstractNum w:abstractNumId="18">
    <w:nsid w:val="741226BB"/>
    <w:multiLevelType w:val="hybridMultilevel"/>
    <w:lvl w:ilvl="0">
      <w:lvlJc w:val="left"/>
      <w:lvlText w:val="%1."/>
      <w:numFmt w:val="lowerLetter"/>
      <w:start w:val="2"/>
    </w:lvl>
  </w:abstractNum>
  <w:abstractNum w:abstractNumId="19">
    <w:nsid w:val="D34B6A8"/>
    <w:multiLevelType w:val="hybridMultilevel"/>
    <w:lvl w:ilvl="0">
      <w:lvlJc w:val="left"/>
      <w:lvlText w:val="%1)"/>
      <w:numFmt w:val="lowerRoman"/>
      <w:start w:val="1"/>
    </w:lvl>
  </w:abstractNum>
  <w:abstractNum w:abstractNumId="20">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
    <w:nsid w:val="3F6AB60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2">
    <w:nsid w:val="6157409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decimal"/>
      <w:start w:val="4"/>
    </w:lvl>
  </w:abstractNum>
  <w:abstractNum w:abstractNumId="25">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3"/>
    </w:lvl>
    <w:lvl w:ilvl="1">
      <w:lvlJc w:val="left"/>
      <w:lvlText w:val="-"/>
      <w:numFmt w:val="bullet"/>
      <w:start w:val="1"/>
    </w:lvl>
  </w:abstractNum>
  <w:abstractNum w:abstractNumId="28">
    <w:nsid w:val="2F305DEF"/>
    <w:multiLevelType w:val="hybridMultilevel"/>
    <w:lvl w:ilvl="0">
      <w:lvlJc w:val="left"/>
      <w:lvlText w:val="%1."/>
      <w:numFmt w:val="decimal"/>
      <w:start w:val="7"/>
    </w:lvl>
    <w:lvl w:ilvl="1">
      <w:lvlJc w:val="left"/>
      <w:lvlText w:val="-"/>
      <w:numFmt w:val="bullet"/>
      <w:start w:val="1"/>
    </w:lvl>
  </w:abstractNum>
  <w:abstractNum w:abstractNumId="29">
    <w:nsid w:val="25A70BF7"/>
    <w:multiLevelType w:val="hybridMultilevel"/>
    <w:lvl w:ilvl="0">
      <w:lvlJc w:val="left"/>
      <w:lvlText w:val="%1."/>
      <w:numFmt w:val="decimal"/>
      <w:start w:val="2"/>
    </w:lvl>
  </w:abstractNum>
  <w:abstractNum w:abstractNumId="30">
    <w:nsid w:val="1DBABF00"/>
    <w:multiLevelType w:val="hybridMultilevel"/>
    <w:lvl w:ilvl="0">
      <w:lvlJc w:val="left"/>
      <w:lvlText w:val="%1."/>
      <w:numFmt w:val="decimal"/>
      <w:start w:val="6"/>
    </w:lvl>
  </w:abstractNum>
  <w:abstractNum w:abstractNumId="31">
    <w:nsid w:val="4AD084E9"/>
    <w:multiLevelType w:val="hybridMultilevel"/>
    <w:lvl w:ilvl="0">
      <w:lvlJc w:val="left"/>
      <w:lvlText w:val="%1."/>
      <w:numFmt w:val="decimal"/>
      <w:start w:val="9"/>
    </w:lvl>
  </w:abstractNum>
  <w:abstractNum w:abstractNumId="32">
    <w:nsid w:val="1F48EAA1"/>
    <w:multiLevelType w:val="hybridMultilevel"/>
    <w:lvl w:ilvl="0">
      <w:lvlJc w:val="left"/>
      <w:lvlText w:val="%1."/>
      <w:numFmt w:val="decimal"/>
      <w:start w:val="10"/>
    </w:lvl>
  </w:abstractNum>
  <w:abstractNum w:abstractNumId="33">
    <w:nsid w:val="1381823A"/>
    <w:multiLevelType w:val="hybridMultilevel"/>
    <w:lvl w:ilvl="0">
      <w:lvlJc w:val="left"/>
      <w:lvlText w:val="%1."/>
      <w:numFmt w:val="decimal"/>
      <w:start w:val="11"/>
    </w:lvl>
  </w:abstractNum>
  <w:abstractNum w:abstractNumId="34">
    <w:nsid w:val="5DB70AE5"/>
    <w:multiLevelType w:val="hybridMultilevel"/>
    <w:lvl w:ilvl="0">
      <w:lvlJc w:val="left"/>
      <w:lvlText w:val="%1."/>
      <w:numFmt w:val="decimal"/>
      <w:start w:val="12"/>
    </w:lvl>
  </w:abstractNum>
  <w:abstractNum w:abstractNumId="35">
    <w:nsid w:val="100F8FCA"/>
    <w:multiLevelType w:val="hybridMultilevel"/>
    <w:lvl w:ilvl="0">
      <w:lvlJc w:val="left"/>
      <w:lvlText w:val="%1."/>
      <w:numFmt w:val="decimal"/>
      <w:start w:val="14"/>
    </w:lvl>
  </w:abstractNum>
  <w:abstractNum w:abstractNumId="36">
    <w:nsid w:val="6590700B"/>
    <w:multiLevelType w:val="hybridMultilevel"/>
    <w:lvl w:ilvl="0">
      <w:lvlJc w:val="left"/>
      <w:lvlText w:val="%1."/>
      <w:numFmt w:val="decimal"/>
      <w:start w:val="17"/>
    </w:lvl>
  </w:abstractNum>
  <w:abstractNum w:abstractNumId="37">
    <w:nsid w:val="15014ACB"/>
    <w:multiLevelType w:val="hybridMultilevel"/>
    <w:lvl w:ilvl="0">
      <w:lvlJc w:val="left"/>
      <w:lvlText w:val="%1."/>
      <w:numFmt w:val="decimal"/>
      <w:start w:val="18"/>
    </w:lvl>
  </w:abstractNum>
  <w:abstractNum w:abstractNumId="38">
    <w:nsid w:val="5F5E7FD0"/>
    <w:multiLevelType w:val="hybridMultilevel"/>
    <w:lvl w:ilvl="0">
      <w:lvlJc w:val="left"/>
      <w:lvlText w:val="%1."/>
      <w:numFmt w:val="decimal"/>
      <w:start w:val="21"/>
    </w:lvl>
  </w:abstractNum>
  <w:abstractNum w:abstractNumId="39">
    <w:nsid w:val="98A3148"/>
    <w:multiLevelType w:val="hybridMultilevel"/>
    <w:lvl w:ilvl="0">
      <w:lvlJc w:val="left"/>
      <w:lvlText w:val="%1."/>
      <w:numFmt w:val="decimal"/>
      <w:start w:val="22"/>
    </w:lvl>
  </w:abstractNum>
  <w:abstractNum w:abstractNumId="40">
    <w:nsid w:val="799D0247"/>
    <w:multiLevelType w:val="hybridMultilevel"/>
    <w:lvl w:ilvl="0">
      <w:lvlJc w:val="left"/>
      <w:lvlText w:val="%1."/>
      <w:numFmt w:val="decimal"/>
      <w:start w:val="23"/>
    </w:lvl>
  </w:abstractNum>
  <w:abstractNum w:abstractNumId="41">
    <w:nsid w:val="6B94764"/>
    <w:multiLevelType w:val="hybridMultilevel"/>
    <w:lvl w:ilvl="0">
      <w:lvlJc w:val="left"/>
      <w:lvlText w:val="%1."/>
      <w:numFmt w:val="decimal"/>
      <w:start w:val="26"/>
    </w:lvl>
  </w:abstractNum>
  <w:abstractNum w:abstractNumId="42">
    <w:nsid w:val="42C296BD"/>
    <w:multiLevelType w:val="hybridMultilevel"/>
    <w:lvl w:ilvl="0">
      <w:lvlJc w:val="left"/>
      <w:lvlText w:val="%1."/>
      <w:numFmt w:val="decimal"/>
      <w:start w:val="27"/>
    </w:lvl>
  </w:abstractNum>
  <w:abstractNum w:abstractNumId="43">
    <w:nsid w:val="168E121F"/>
    <w:multiLevelType w:val="hybridMultilevel"/>
    <w:lvl w:ilvl="0">
      <w:lvlJc w:val="left"/>
      <w:lvlText w:val="%1."/>
      <w:numFmt w:val="decimal"/>
      <w:start w:val="28"/>
    </w:lvl>
  </w:abstractNum>
  <w:abstractNum w:abstractNumId="44">
    <w:nsid w:val="1EBA5D23"/>
    <w:multiLevelType w:val="hybridMultilevel"/>
    <w:lvl w:ilvl="0">
      <w:lvlJc w:val="left"/>
      <w:lvlText w:val="%1."/>
      <w:numFmt w:val="decimal"/>
      <w:start w:val="30"/>
    </w:lvl>
  </w:abstractNum>
  <w:abstractNum w:abstractNumId="45">
    <w:nsid w:val="661E3F1E"/>
    <w:multiLevelType w:val="hybridMultilevel"/>
    <w:lvl w:ilvl="0">
      <w:lvlJc w:val="left"/>
      <w:lvlText w:val="%1."/>
      <w:numFmt w:val="decimal"/>
      <w:start w:val="31"/>
    </w:lvl>
  </w:abstractNum>
  <w:abstractNum w:abstractNumId="46">
    <w:nsid w:val="5DC79EA8"/>
    <w:multiLevelType w:val="hybridMultilevel"/>
    <w:lvl w:ilvl="0">
      <w:lvlJc w:val="left"/>
      <w:lvlText w:val="%1."/>
      <w:numFmt w:val="decimal"/>
      <w:start w:val="33"/>
    </w:lvl>
  </w:abstractNum>
  <w:abstractNum w:abstractNumId="47">
    <w:nsid w:val="540A471C"/>
    <w:multiLevelType w:val="hybridMultilevel"/>
    <w:lvl w:ilvl="0">
      <w:lvlJc w:val="left"/>
      <w:lvlText w:val="%1."/>
      <w:numFmt w:val="decimal"/>
      <w:start w:val="34"/>
    </w:lvl>
  </w:abstractNum>
  <w:abstractNum w:abstractNumId="48">
    <w:nsid w:val="7BD3EE7B"/>
    <w:multiLevelType w:val="hybridMultilevel"/>
    <w:lvl w:ilvl="0">
      <w:lvlJc w:val="left"/>
      <w:lvlText w:val="%1."/>
      <w:numFmt w:val="decimal"/>
      <w:start w:val="36"/>
    </w:lvl>
  </w:abstractNum>
  <w:abstractNum w:abstractNumId="49">
    <w:nsid w:val="51D9C564"/>
    <w:multiLevelType w:val="hybridMultilevel"/>
    <w:lvl w:ilvl="0">
      <w:lvlJc w:val="left"/>
      <w:lvlText w:val="%1."/>
      <w:numFmt w:val="decimal"/>
      <w:start w:val="37"/>
    </w:lvl>
  </w:abstractNum>
  <w:abstractNum w:abstractNumId="50">
    <w:nsid w:val="613EFDC5"/>
    <w:multiLevelType w:val="hybridMultilevel"/>
    <w:lvl w:ilvl="0">
      <w:lvlJc w:val="left"/>
      <w:lvlText w:val="%1."/>
      <w:numFmt w:val="decimal"/>
      <w:start w:val="38"/>
    </w:lvl>
  </w:abstractNum>
  <w:abstractNum w:abstractNumId="51">
    <w:nsid w:val="BF72B14"/>
    <w:multiLevelType w:val="hybridMultilevel"/>
    <w:lvl w:ilvl="0">
      <w:lvlJc w:val="left"/>
      <w:lvlText w:val="%1."/>
      <w:numFmt w:val="decimal"/>
      <w:start w:val="39"/>
    </w:lvl>
  </w:abstractNum>
  <w:abstractNum w:abstractNumId="52">
    <w:nsid w:val="11447B73"/>
    <w:multiLevelType w:val="hybridMultilevel"/>
    <w:lvl w:ilvl="0">
      <w:lvlJc w:val="left"/>
      <w:lvlText w:val="%1."/>
      <w:numFmt w:val="decimal"/>
      <w:start w:val="40"/>
    </w:lvl>
  </w:abstractNum>
  <w:abstractNum w:abstractNumId="53">
    <w:nsid w:val="42963E5A"/>
    <w:multiLevelType w:val="hybridMultilevel"/>
    <w:lvl w:ilvl="0">
      <w:lvlJc w:val="left"/>
      <w:lvlText w:val="%1."/>
      <w:numFmt w:val="decimal"/>
      <w:start w:val="41"/>
    </w:lvl>
  </w:abstractNum>
  <w:abstractNum w:abstractNumId="54">
    <w:nsid w:val="A0382C5"/>
    <w:multiLevelType w:val="hybridMultilevel"/>
    <w:lvl w:ilvl="0">
      <w:lvlJc w:val="left"/>
      <w:lvlText w:val="%1."/>
      <w:numFmt w:val="decimal"/>
      <w:start w:val="42"/>
    </w:lvl>
  </w:abstractNum>
  <w:abstractNum w:abstractNumId="55">
    <w:nsid w:val="8F2B15E"/>
    <w:multiLevelType w:val="hybridMultilevel"/>
    <w:lvl w:ilvl="0">
      <w:lvlJc w:val="left"/>
      <w:lvlText w:val="%1."/>
      <w:numFmt w:val="decimal"/>
      <w:start w:val="44"/>
    </w:lvl>
  </w:abstractNum>
  <w:abstractNum w:abstractNumId="56">
    <w:nsid w:val="1A32234B"/>
    <w:multiLevelType w:val="hybridMultilevel"/>
    <w:lvl w:ilvl="0">
      <w:lvlJc w:val="left"/>
      <w:lvlText w:val="%1."/>
      <w:numFmt w:val="decimal"/>
      <w:start w:val="46"/>
    </w:lvl>
  </w:abstractNum>
  <w:abstractNum w:abstractNumId="57">
    <w:nsid w:val="3B0FD379"/>
    <w:multiLevelType w:val="hybridMultilevel"/>
    <w:lvl w:ilvl="0">
      <w:lvlJc w:val="left"/>
      <w:lvlText w:val="%1."/>
      <w:numFmt w:val="decimal"/>
      <w:start w:val="47"/>
    </w:lvl>
  </w:abstractNum>
  <w:abstractNum w:abstractNumId="58">
    <w:nsid w:val="68EB2F63"/>
    <w:multiLevelType w:val="hybridMultilevel"/>
    <w:lvl w:ilvl="0">
      <w:lvlJc w:val="left"/>
      <w:lvlText w:val="%1."/>
      <w:numFmt w:val="decimal"/>
      <w:start w:val="48"/>
    </w:lvl>
  </w:abstractNum>
  <w:abstractNum w:abstractNumId="59">
    <w:nsid w:val="4962813B"/>
    <w:multiLevelType w:val="hybridMultilevel"/>
    <w:lvl w:ilvl="0">
      <w:lvlJc w:val="left"/>
      <w:lvlText w:val="%1."/>
      <w:numFmt w:val="decimal"/>
      <w:start w:val="49"/>
    </w:lvl>
  </w:abstractNum>
  <w:abstractNum w:abstractNumId="60">
    <w:nsid w:val="60B6DF70"/>
    <w:multiLevelType w:val="hybridMultilevel"/>
    <w:lvl w:ilvl="0">
      <w:lvlJc w:val="left"/>
      <w:lvlText w:val="%1."/>
      <w:numFmt w:val="decimal"/>
      <w:start w:val="50"/>
    </w:lvl>
  </w:abstractNum>
  <w:abstractNum w:abstractNumId="61">
    <w:nsid w:val="6A5EE64"/>
    <w:multiLevelType w:val="hybridMultilevel"/>
    <w:lvl w:ilvl="0">
      <w:lvlJc w:val="left"/>
      <w:lvlText w:val="%1."/>
      <w:numFmt w:val="decimal"/>
      <w:start w:val="51"/>
    </w:lvl>
  </w:abstractNum>
  <w:abstractNum w:abstractNumId="62">
    <w:nsid w:val="14330624"/>
    <w:multiLevelType w:val="hybridMultilevel"/>
    <w:lvl w:ilvl="0">
      <w:lvlJc w:val="left"/>
      <w:lvlText w:val="%1."/>
      <w:numFmt w:val="decimal"/>
      <w:start w:val="54"/>
    </w:lvl>
  </w:abstractNum>
  <w:abstractNum w:abstractNumId="63">
    <w:nsid w:val="7FFFCA11"/>
    <w:multiLevelType w:val="hybridMultilevel"/>
    <w:lvl w:ilvl="0">
      <w:lvlJc w:val="left"/>
      <w:lvlText w:val="%1."/>
      <w:numFmt w:val="decimal"/>
      <w:start w:val="55"/>
    </w:lvl>
  </w:abstractNum>
  <w:abstractNum w:abstractNumId="64">
    <w:nsid w:val="1A27709E"/>
    <w:multiLevelType w:val="hybridMultilevel"/>
    <w:lvl w:ilvl="0">
      <w:lvlJc w:val="left"/>
      <w:lvlText w:val="%1."/>
      <w:numFmt w:val="decimal"/>
      <w:start w:val="56"/>
    </w:lvl>
  </w:abstractNum>
  <w:abstractNum w:abstractNumId="65">
    <w:nsid w:val="71EA1109"/>
    <w:multiLevelType w:val="hybridMultilevel"/>
    <w:lvl w:ilvl="0">
      <w:lvlJc w:val="left"/>
      <w:lvlText w:val="%1."/>
      <w:numFmt w:val="decimal"/>
      <w:start w:val="57"/>
    </w:lvl>
  </w:abstractNum>
  <w:abstractNum w:abstractNumId="66">
    <w:nsid w:val="100F59DC"/>
    <w:multiLevelType w:val="hybridMultilevel"/>
    <w:lvl w:ilvl="0">
      <w:lvlJc w:val="left"/>
      <w:lvlText w:val="%1."/>
      <w:numFmt w:val="decimal"/>
      <w:start w:val="59"/>
    </w:lvl>
  </w:abstractNum>
  <w:abstractNum w:abstractNumId="67">
    <w:nsid w:val="7FB7E0AA"/>
    <w:multiLevelType w:val="hybridMultilevel"/>
    <w:lvl w:ilvl="0">
      <w:lvlJc w:val="left"/>
      <w:lvlText w:val="%1."/>
      <w:numFmt w:val="decimal"/>
      <w:start w:val="60"/>
    </w:lvl>
  </w:abstractNum>
  <w:abstractNum w:abstractNumId="68">
    <w:nsid w:val="6EB5BD4"/>
    <w:multiLevelType w:val="hybridMultilevel"/>
    <w:lvl w:ilvl="0">
      <w:lvlJc w:val="left"/>
      <w:lvlText w:val="%1."/>
      <w:numFmt w:val="decimal"/>
      <w:start w:val="61"/>
    </w:lvl>
  </w:abstractNum>
  <w:abstractNum w:abstractNumId="69">
    <w:nsid w:val="6F6DD9AC"/>
    <w:multiLevelType w:val="hybridMultilevel"/>
    <w:lvl w:ilvl="0">
      <w:lvlJc w:val="left"/>
      <w:lvlText w:val="%1."/>
      <w:numFmt w:val="decimal"/>
      <w:start w:val="62"/>
    </w:lvl>
  </w:abstractNum>
  <w:abstractNum w:abstractNumId="70">
    <w:nsid w:val="94211F2"/>
    <w:multiLevelType w:val="hybridMultilevel"/>
    <w:lvl w:ilvl="0">
      <w:lvlJc w:val="left"/>
      <w:lvlText w:val="%1."/>
      <w:numFmt w:val="decimal"/>
      <w:start w:val="63"/>
    </w:lvl>
  </w:abstractNum>
  <w:abstractNum w:abstractNumId="71">
    <w:nsid w:val="885E1B"/>
    <w:multiLevelType w:val="hybridMultilevel"/>
    <w:lvl w:ilvl="0">
      <w:lvlJc w:val="left"/>
      <w:lvlText w:val="%1."/>
      <w:numFmt w:val="decimal"/>
      <w:start w:val="64"/>
    </w:lvl>
  </w:abstractNum>
  <w:abstractNum w:abstractNumId="72">
    <w:nsid w:val="76272110"/>
    <w:multiLevelType w:val="hybridMultilevel"/>
    <w:lvl w:ilvl="0">
      <w:lvlJc w:val="left"/>
      <w:lvlText w:val="%1."/>
      <w:numFmt w:val="decimal"/>
      <w:start w:val="65"/>
    </w:lvl>
  </w:abstractNum>
  <w:abstractNum w:abstractNumId="73">
    <w:nsid w:val="4C04A8AF"/>
    <w:multiLevelType w:val="hybridMultilevel"/>
    <w:lvl w:ilvl="0">
      <w:lvlJc w:val="left"/>
      <w:lvlText w:val="%1."/>
      <w:numFmt w:val="decimal"/>
      <w:start w:val="66"/>
    </w:lvl>
  </w:abstractNum>
  <w:abstractNum w:abstractNumId="74">
    <w:nsid w:val="1716703B"/>
    <w:multiLevelType w:val="hybridMultilevel"/>
    <w:lvl w:ilvl="0">
      <w:lvlJc w:val="left"/>
      <w:lvlText w:val="%1."/>
      <w:numFmt w:val="decimal"/>
      <w:start w:val="67"/>
    </w:lvl>
  </w:abstractNum>
  <w:abstractNum w:abstractNumId="75">
    <w:nsid w:val="14E17E33"/>
    <w:multiLevelType w:val="hybridMultilevel"/>
    <w:lvl w:ilvl="0">
      <w:lvlJc w:val="left"/>
      <w:lvlText w:val="%1."/>
      <w:numFmt w:val="decimal"/>
      <w:start w:val="69"/>
    </w:lvl>
  </w:abstractNum>
  <w:abstractNum w:abstractNumId="76">
    <w:nsid w:val="3222E7CD"/>
    <w:multiLevelType w:val="hybridMultilevel"/>
    <w:lvl w:ilvl="0">
      <w:lvlJc w:val="left"/>
      <w:lvlText w:val="%1."/>
      <w:numFmt w:val="decimal"/>
      <w:start w:val="70"/>
    </w:lvl>
  </w:abstractNum>
  <w:abstractNum w:abstractNumId="77">
    <w:nsid w:val="74DE0EE3"/>
    <w:multiLevelType w:val="hybridMultilevel"/>
    <w:lvl w:ilvl="0">
      <w:lvlJc w:val="left"/>
      <w:lvlText w:val="%1."/>
      <w:numFmt w:val="decimal"/>
      <w:start w:val="71"/>
    </w:lvl>
  </w:abstractNum>
  <w:abstractNum w:abstractNumId="78">
    <w:nsid w:val="68EBC550"/>
    <w:multiLevelType w:val="hybridMultilevel"/>
    <w:lvl w:ilvl="0">
      <w:lvlJc w:val="left"/>
      <w:lvlText w:val="%1."/>
      <w:numFmt w:val="decimal"/>
      <w:start w:val="72"/>
    </w:lvl>
  </w:abstractNum>
  <w:abstractNum w:abstractNumId="79">
    <w:nsid w:val="2DF6D648"/>
    <w:multiLevelType w:val="hybridMultilevel"/>
    <w:lvl w:ilvl="0">
      <w:lvlJc w:val="left"/>
      <w:lvlText w:val="%1."/>
      <w:numFmt w:val="decimal"/>
      <w:start w:val="73"/>
    </w:lvl>
  </w:abstractNum>
  <w:abstractNum w:abstractNumId="80">
    <w:nsid w:val="46B7D447"/>
    <w:multiLevelType w:val="hybridMultilevel"/>
    <w:lvl w:ilvl="0">
      <w:lvlJc w:val="left"/>
      <w:lvlText w:val="%1."/>
      <w:numFmt w:val="decimal"/>
      <w:start w:val="74"/>
    </w:lvl>
  </w:abstractNum>
  <w:abstractNum w:abstractNumId="81">
    <w:nsid w:val="4A2AC315"/>
    <w:multiLevelType w:val="hybridMultilevel"/>
    <w:lvl w:ilvl="0">
      <w:lvlJc w:val="left"/>
      <w:lvlText w:val="%1."/>
      <w:numFmt w:val="decimal"/>
      <w:start w:val="76"/>
    </w:lvl>
  </w:abstractNum>
  <w:abstractNum w:abstractNumId="82">
    <w:nsid w:val="39EE015C"/>
    <w:multiLevelType w:val="hybridMultilevel"/>
    <w:lvl w:ilvl="0">
      <w:lvlJc w:val="left"/>
      <w:lvlText w:val="%1."/>
      <w:numFmt w:val="decimal"/>
      <w:start w:val="77"/>
    </w:lvl>
  </w:abstractNum>
  <w:abstractNum w:abstractNumId="83">
    <w:nsid w:val="57FC4FBB"/>
    <w:multiLevelType w:val="hybridMultilevel"/>
    <w:lvl w:ilvl="0">
      <w:lvlJc w:val="left"/>
      <w:lvlText w:val="%1."/>
      <w:numFmt w:val="decimal"/>
      <w:start w:val="78"/>
    </w:lvl>
  </w:abstractNum>
  <w:abstractNum w:abstractNumId="84">
    <w:nsid w:val="CC1016F"/>
    <w:multiLevelType w:val="hybridMultilevel"/>
    <w:lvl w:ilvl="0">
      <w:lvlJc w:val="left"/>
      <w:lvlText w:val="%1."/>
      <w:numFmt w:val="decimal"/>
      <w:start w:val="81"/>
    </w:lvl>
  </w:abstractNum>
  <w:abstractNum w:abstractNumId="85">
    <w:nsid w:val="43F18422"/>
    <w:multiLevelType w:val="hybridMultilevel"/>
    <w:lvl w:ilvl="0">
      <w:lvlJc w:val="left"/>
      <w:lvlText w:val="%1"/>
      <w:numFmt w:val="lowerLetter"/>
      <w:start w:val="1"/>
    </w:lvl>
    <w:lvl w:ilvl="1">
      <w:lvlJc w:val="left"/>
      <w:lvlText w:val="%2."/>
      <w:numFmt w:val="decimal"/>
      <w:start w:val="82"/>
    </w:lvl>
  </w:abstractNum>
  <w:abstractNum w:abstractNumId="86">
    <w:nsid w:val="60EF0119"/>
    <w:multiLevelType w:val="hybridMultilevel"/>
    <w:lvl w:ilvl="0">
      <w:lvlJc w:val="left"/>
      <w:lvlText w:val="(%1)"/>
      <w:numFmt w:val="lowerLetter"/>
      <w:start w:val="1"/>
    </w:lvl>
    <w:lvl w:ilvl="1">
      <w:lvlJc w:val="left"/>
      <w:lvlText w:val="%2"/>
      <w:numFmt w:val="decimal"/>
      <w:start w:val="1"/>
    </w:lvl>
  </w:abstractNum>
  <w:abstractNum w:abstractNumId="87">
    <w:nsid w:val="26F324BA"/>
    <w:multiLevelType w:val="hybridMultilevel"/>
    <w:lvl w:ilvl="0">
      <w:lvlJc w:val="left"/>
      <w:lvlText w:val="%1."/>
      <w:numFmt w:val="upperLetter"/>
      <w:start w:val="1"/>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10"/>
    </w:lvl>
  </w:abstractNum>
  <w:abstractNum w:abstractNumId="90">
    <w:nsid w:val="7055A5F5"/>
    <w:multiLevelType w:val="hybridMultilevel"/>
    <w:lvl w:ilvl="0">
      <w:lvlJc w:val="left"/>
      <w:lvlText w:val="%1."/>
      <w:numFmt w:val="upperLetter"/>
      <w:start w:val="2"/>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decimal"/>
      <w:start w:val="4"/>
    </w:lvl>
    <w:lvl w:ilvl="1">
      <w:lvlJc w:val="left"/>
      <w:lvlText w:val="(%2)"/>
      <w:numFmt w:val="lowerLetter"/>
      <w:start w:val="1"/>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lowerLetter"/>
      <w:start w:val="6"/>
    </w:lvl>
  </w:abstractNum>
  <w:abstractNum w:abstractNumId="96">
    <w:nsid w:val="7672BD23"/>
    <w:multiLevelType w:val="hybridMultilevel"/>
    <w:lvl w:ilvl="0">
      <w:lvlJc w:val="left"/>
      <w:lvlText w:val="%1."/>
      <w:numFmt w:val="decimal"/>
      <w:start w:val="3"/>
    </w:lvl>
    <w:lvl w:ilvl="1">
      <w:lvlJc w:val="left"/>
      <w:lvlText w:val="(%2)"/>
      <w:numFmt w:val="lowerLetter"/>
      <w:start w:val="1"/>
    </w:lvl>
  </w:abstractNum>
  <w:abstractNum w:abstractNumId="97">
    <w:nsid w:val="6FC75AF8"/>
    <w:multiLevelType w:val="hybridMultilevel"/>
    <w:lvl w:ilvl="0">
      <w:lvlJc w:val="left"/>
      <w:lvlText w:val="(%1)"/>
      <w:numFmt w:val="lowerLetter"/>
      <w:start w:val="4"/>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2019-12-12T04:45:29Z</dcterms:created>
  <dcterms:modified xsi:type="dcterms:W3CDTF">2019-12-12T04:45:29Z</dcterms:modified>
</cp:coreProperties>
</file>