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15</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CERTIFICATION AND NOTICE OF TERMINATION OF REGISTRATION UNDER SECTION 12(g)</w:t>
      </w:r>
    </w:p>
    <w:p>
      <w:pPr>
        <w:spacing w:after="0" w:line="4" w:lineRule="exact"/>
        <w:rPr>
          <w:sz w:val="24"/>
          <w:szCs w:val="24"/>
          <w:color w:val="auto"/>
        </w:rPr>
      </w:pPr>
    </w:p>
    <w:p>
      <w:pPr>
        <w:ind w:left="540" w:right="2099" w:hanging="420"/>
        <w:spacing w:after="0" w:line="290" w:lineRule="auto"/>
        <w:rPr>
          <w:sz w:val="20"/>
          <w:szCs w:val="20"/>
          <w:color w:val="auto"/>
        </w:rPr>
      </w:pPr>
      <w:r>
        <w:rPr>
          <w:rFonts w:ascii="Courier New" w:cs="Courier New" w:eastAsia="Courier New" w:hAnsi="Courier New"/>
          <w:sz w:val="16"/>
          <w:szCs w:val="16"/>
          <w:color w:val="auto"/>
        </w:rPr>
        <w:t>OF THE SECURITIES EXCHANGE ACT OF 1934 OR SUSPENSION OF DUTY TO FILE REPORTS UNDER SECTIONS 13 AND 15(d) OF THE SECURITIES EXCHANGE ACT OF 1934.</w:t>
      </w:r>
    </w:p>
    <w:p>
      <w:pPr>
        <w:spacing w:after="0" w:line="367"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Commission File Number: 333-98369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3131 Las Vegas Boulevard South</w:t>
      </w:r>
    </w:p>
    <w:p>
      <w:pPr>
        <w:ind w:left="2960"/>
        <w:spacing w:after="0" w:line="238" w:lineRule="auto"/>
        <w:rPr>
          <w:sz w:val="20"/>
          <w:szCs w:val="20"/>
          <w:color w:val="auto"/>
        </w:rPr>
      </w:pPr>
      <w:r>
        <w:rPr>
          <w:rFonts w:ascii="Courier New" w:cs="Courier New" w:eastAsia="Courier New" w:hAnsi="Courier New"/>
          <w:sz w:val="18"/>
          <w:szCs w:val="18"/>
          <w:color w:val="auto"/>
        </w:rPr>
        <w:t>Las Vegas, Nevada 89109</w:t>
      </w:r>
    </w:p>
    <w:p>
      <w:pPr>
        <w:ind w:left="4020" w:hanging="641"/>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770-1100</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839" w:hanging="211"/>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36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12% Second Mortgage Notes Due 2010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each class of securities covered by this Form)</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(Titles of all other classes of securities for which a duty to</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file reports under section 13(a) or 15(d) remains)</w:t>
      </w:r>
    </w:p>
    <w:p>
      <w:pPr>
        <w:spacing w:after="0" w:line="200" w:lineRule="exact"/>
        <w:rPr>
          <w:sz w:val="24"/>
          <w:szCs w:val="24"/>
          <w:color w:val="auto"/>
        </w:rPr>
      </w:pPr>
    </w:p>
    <w:p>
      <w:pPr>
        <w:spacing w:after="0" w:line="210" w:lineRule="exact"/>
        <w:rPr>
          <w:sz w:val="24"/>
          <w:szCs w:val="24"/>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Please place an X in the box(es) to designate the appropriate rule provision(s) relied upon to terminate or suspend the duty to file reports:</w:t>
      </w:r>
    </w:p>
    <w:p>
      <w:pPr>
        <w:spacing w:after="0" w:line="170" w:lineRule="exact"/>
        <w:rPr>
          <w:sz w:val="24"/>
          <w:szCs w:val="24"/>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Please place an X in the box(es) to designate the appropriate rule provision(s) relied upon to terminate or suspend the duty to file reports:</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Rule 12g-4(a)(1)(i)</w:t>
            </w:r>
          </w:p>
        </w:tc>
        <w:tc>
          <w:tcPr>
            <w:tcW w:w="13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|_|</w:t>
            </w:r>
          </w:p>
        </w:tc>
        <w:tc>
          <w:tcPr>
            <w:tcW w:w="3160" w:type="dxa"/>
            <w:vAlign w:val="bottom"/>
            <w:gridSpan w:val="2"/>
          </w:tcPr>
          <w:p>
            <w:pPr>
              <w:ind w:left="700"/>
              <w:spacing w:after="0"/>
              <w:rPr>
                <w:sz w:val="20"/>
                <w:szCs w:val="20"/>
                <w:color w:val="auto"/>
              </w:rPr>
            </w:pPr>
            <w:r>
              <w:rPr>
                <w:rFonts w:ascii="Courier New" w:cs="Courier New" w:eastAsia="Courier New" w:hAnsi="Courier New"/>
                <w:sz w:val="18"/>
                <w:szCs w:val="18"/>
                <w:color w:val="auto"/>
              </w:rPr>
              <w:t>Rule 12h-3(b)(1)(i)</w:t>
            </w:r>
          </w:p>
        </w:tc>
        <w:tc>
          <w:tcPr>
            <w:tcW w:w="700" w:type="dxa"/>
            <w:vAlign w:val="bottom"/>
          </w:tcPr>
          <w:p>
            <w:pPr>
              <w:ind w:left="38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Rule 12g-4(a)(1)(ii)</w:t>
            </w: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|_|</w:t>
            </w:r>
          </w:p>
        </w:tc>
        <w:tc>
          <w:tcPr>
            <w:tcW w:w="31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Rule 12h-3(b)(1)(ii)</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w:t>
            </w: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|_|</w:t>
            </w:r>
          </w:p>
        </w:tc>
        <w:tc>
          <w:tcPr>
            <w:tcW w:w="31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Rule 12h-3(b)(2)(i)</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12g-4(a)(2)(ii)</w:t>
            </w: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|_|</w:t>
            </w: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Rule</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12h-3(b)(2)(ii)</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Rule</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15d-6</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0" w:lineRule="exact"/>
        <w:rPr>
          <w:sz w:val="24"/>
          <w:szCs w:val="24"/>
          <w:color w:val="auto"/>
        </w:rPr>
      </w:pPr>
    </w:p>
    <w:p>
      <w:pPr>
        <w:spacing w:after="0" w:line="209" w:lineRule="exact"/>
        <w:rPr>
          <w:sz w:val="24"/>
          <w:szCs w:val="24"/>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Approximate number of holders of record as of the certification or notice date: 61.</w:t>
      </w:r>
    </w:p>
    <w:p>
      <w:pPr>
        <w:spacing w:after="0" w:line="208"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Palo, LLC has caused this certification/notice to be signed on its behalf by the undersigned duly authorized person.</w:t>
      </w:r>
    </w:p>
    <w:p>
      <w:pPr>
        <w:sectPr>
          <w:pgSz w:w="11900" w:h="16838" w:orient="portrait"/>
          <w:cols w:equalWidth="0" w:num="1">
            <w:col w:w="10219"/>
          </w:cols>
          <w:pgMar w:left="240" w:top="244" w:right="1440" w:bottom="28"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December 23, 2004</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John Strzemp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Strzemp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Executive Vice President</w:t>
      </w:r>
    </w:p>
    <w:p>
      <w:pPr>
        <w:spacing w:after="0" w:line="21" w:lineRule="exact"/>
        <w:rPr>
          <w:sz w:val="24"/>
          <w:szCs w:val="24"/>
          <w:color w:val="auto"/>
        </w:rPr>
      </w:pPr>
    </w:p>
    <w:p>
      <w:pPr>
        <w:sectPr>
          <w:pgSz w:w="11900" w:h="16838" w:orient="portrait"/>
          <w:cols w:equalWidth="0" w:num="3">
            <w:col w:w="3300" w:space="720"/>
            <w:col w:w="300" w:space="220"/>
            <w:col w:w="5679"/>
          </w:cols>
          <w:pgMar w:left="240" w:top="244" w:right="1440" w:bottom="28" w:gutter="0" w:footer="0" w:header="0"/>
          <w:type w:val="continuous"/>
        </w:sectPr>
      </w:pPr>
    </w:p>
    <w:p>
      <w:pPr>
        <w:ind w:left="528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Wynn Resorts, Limited,</w:t>
      </w:r>
    </w:p>
    <w:p>
      <w:pPr>
        <w:ind w:left="5280"/>
        <w:spacing w:after="0" w:line="238" w:lineRule="auto"/>
        <w:rPr>
          <w:sz w:val="20"/>
          <w:szCs w:val="20"/>
          <w:color w:val="auto"/>
        </w:rPr>
      </w:pPr>
      <w:r>
        <w:rPr>
          <w:rFonts w:ascii="Courier New" w:cs="Courier New" w:eastAsia="Courier New" w:hAnsi="Courier New"/>
          <w:sz w:val="18"/>
          <w:szCs w:val="18"/>
          <w:color w:val="auto"/>
        </w:rPr>
        <w:t>as sole member of Wynn</w:t>
      </w:r>
    </w:p>
    <w:p>
      <w:pPr>
        <w:ind w:left="5280"/>
        <w:spacing w:after="0"/>
        <w:rPr>
          <w:sz w:val="20"/>
          <w:szCs w:val="20"/>
          <w:color w:val="auto"/>
        </w:rPr>
      </w:pPr>
      <w:r>
        <w:rPr>
          <w:rFonts w:ascii="Courier New" w:cs="Courier New" w:eastAsia="Courier New" w:hAnsi="Courier New"/>
          <w:sz w:val="18"/>
          <w:szCs w:val="18"/>
          <w:color w:val="auto"/>
        </w:rPr>
        <w:t>Resorts Holdings, LLC,</w:t>
      </w:r>
    </w:p>
    <w:p>
      <w:pPr>
        <w:ind w:left="5280"/>
        <w:spacing w:after="0" w:line="237" w:lineRule="auto"/>
        <w:rPr>
          <w:sz w:val="20"/>
          <w:szCs w:val="20"/>
          <w:color w:val="auto"/>
        </w:rPr>
      </w:pPr>
      <w:r>
        <w:rPr>
          <w:rFonts w:ascii="Courier New" w:cs="Courier New" w:eastAsia="Courier New" w:hAnsi="Courier New"/>
          <w:sz w:val="18"/>
          <w:szCs w:val="18"/>
          <w:color w:val="auto"/>
        </w:rPr>
        <w:t>as sole member of the</w:t>
      </w:r>
    </w:p>
    <w:p>
      <w:pPr>
        <w:ind w:left="52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Instruction: This form is required by Rules 12g-4, 12h-3 and 15d-6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ectPr>
          <w:pgSz w:w="11900" w:h="16838" w:orient="portrait"/>
          <w:cols w:equalWidth="0" w:num="1">
            <w:col w:w="10219"/>
          </w:cols>
          <w:pgMar w:left="240" w:top="244" w:right="1440" w:bottom="28"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70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2019-12-15T07:04:17Z</dcterms:created>
  <dcterms:modified xsi:type="dcterms:W3CDTF">2019-12-15T07:04:17Z</dcterms:modified>
</cp:coreProperties>
</file>