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61"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4940" w:type="dxa"/>
            <w:vAlign w:val="bottom"/>
          </w:tcPr>
          <w:p>
            <w:pPr>
              <w:jc w:val="center"/>
              <w:ind w:left="50"/>
              <w:spacing w:after="0"/>
              <w:rPr>
                <w:sz w:val="20"/>
                <w:szCs w:val="20"/>
                <w:color w:val="auto"/>
              </w:rPr>
            </w:pPr>
            <w:r>
              <w:rPr>
                <w:rFonts w:ascii="Arial" w:cs="Arial" w:eastAsia="Arial" w:hAnsi="Arial"/>
                <w:sz w:val="18"/>
                <w:szCs w:val="18"/>
                <w:b w:val="1"/>
                <w:bCs w:val="1"/>
                <w:color w:val="auto"/>
              </w:rPr>
              <w:t>FORM 8-K</w:t>
            </w:r>
          </w:p>
        </w:tc>
        <w:tc>
          <w:tcPr>
            <w:tcW w:w="2740" w:type="dxa"/>
            <w:vAlign w:val="bottom"/>
          </w:tcPr>
          <w:p>
            <w:pPr>
              <w:spacing w:after="0"/>
              <w:rPr>
                <w:sz w:val="20"/>
                <w:szCs w:val="20"/>
                <w:color w:val="auto"/>
              </w:rPr>
            </w:pPr>
          </w:p>
        </w:tc>
      </w:tr>
      <w:tr>
        <w:trPr>
          <w:trHeight w:val="468"/>
        </w:trPr>
        <w:tc>
          <w:tcPr>
            <w:tcW w:w="2340" w:type="dxa"/>
            <w:vAlign w:val="bottom"/>
          </w:tcPr>
          <w:p>
            <w:pPr>
              <w:spacing w:after="0"/>
              <w:rPr>
                <w:sz w:val="24"/>
                <w:szCs w:val="24"/>
                <w:color w:val="auto"/>
              </w:rPr>
            </w:pPr>
          </w:p>
        </w:tc>
        <w:tc>
          <w:tcPr>
            <w:tcW w:w="494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CURRENT REPORT</w:t>
            </w:r>
          </w:p>
        </w:tc>
        <w:tc>
          <w:tcPr>
            <w:tcW w:w="274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494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_____________________</w:t>
            </w:r>
          </w:p>
        </w:tc>
        <w:tc>
          <w:tcPr>
            <w:tcW w:w="2740" w:type="dxa"/>
            <w:vAlign w:val="bottom"/>
          </w:tcPr>
          <w:p>
            <w:pPr>
              <w:spacing w:after="0"/>
              <w:rPr>
                <w:sz w:val="20"/>
                <w:szCs w:val="20"/>
                <w:color w:val="auto"/>
              </w:rPr>
            </w:pPr>
          </w:p>
        </w:tc>
      </w:tr>
      <w:tr>
        <w:trPr>
          <w:trHeight w:val="468"/>
        </w:trPr>
        <w:tc>
          <w:tcPr>
            <w:tcW w:w="2340" w:type="dxa"/>
            <w:vAlign w:val="bottom"/>
          </w:tcPr>
          <w:p>
            <w:pPr>
              <w:spacing w:after="0"/>
              <w:rPr>
                <w:sz w:val="24"/>
                <w:szCs w:val="24"/>
                <w:color w:val="auto"/>
              </w:rPr>
            </w:pPr>
          </w:p>
        </w:tc>
        <w:tc>
          <w:tcPr>
            <w:tcW w:w="4940" w:type="dxa"/>
            <w:vAlign w:val="bottom"/>
          </w:tcPr>
          <w:p>
            <w:pPr>
              <w:jc w:val="center"/>
              <w:ind w:left="50"/>
              <w:spacing w:after="0"/>
              <w:rPr>
                <w:sz w:val="20"/>
                <w:szCs w:val="20"/>
                <w:color w:val="auto"/>
              </w:rPr>
            </w:pPr>
            <w:r>
              <w:rPr>
                <w:rFonts w:ascii="Arial" w:cs="Arial" w:eastAsia="Arial" w:hAnsi="Arial"/>
                <w:sz w:val="18"/>
                <w:szCs w:val="18"/>
                <w:b w:val="1"/>
                <w:bCs w:val="1"/>
                <w:color w:val="auto"/>
                <w:w w:val="98"/>
              </w:rPr>
              <w:t>PURSUANT TO SECTION 13 OR 15(d) OF THE</w:t>
            </w:r>
          </w:p>
        </w:tc>
        <w:tc>
          <w:tcPr>
            <w:tcW w:w="274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494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SECURITIES EXCHANGE ACT OF 1934</w:t>
            </w:r>
          </w:p>
        </w:tc>
        <w:tc>
          <w:tcPr>
            <w:tcW w:w="2740" w:type="dxa"/>
            <w:vAlign w:val="bottom"/>
          </w:tcPr>
          <w:p>
            <w:pPr>
              <w:spacing w:after="0"/>
              <w:rPr>
                <w:sz w:val="20"/>
                <w:szCs w:val="20"/>
                <w:color w:val="auto"/>
              </w:rPr>
            </w:pPr>
          </w:p>
        </w:tc>
      </w:tr>
      <w:tr>
        <w:trPr>
          <w:trHeight w:val="486"/>
        </w:trPr>
        <w:tc>
          <w:tcPr>
            <w:tcW w:w="2340" w:type="dxa"/>
            <w:vAlign w:val="bottom"/>
          </w:tcPr>
          <w:p>
            <w:pPr>
              <w:spacing w:after="0"/>
              <w:rPr>
                <w:sz w:val="24"/>
                <w:szCs w:val="24"/>
                <w:color w:val="auto"/>
              </w:rPr>
            </w:pPr>
          </w:p>
        </w:tc>
        <w:tc>
          <w:tcPr>
            <w:tcW w:w="4940" w:type="dxa"/>
            <w:vAlign w:val="bottom"/>
          </w:tcPr>
          <w:p>
            <w:pPr>
              <w:jc w:val="center"/>
              <w:ind w:left="30"/>
              <w:spacing w:after="0"/>
              <w:rPr>
                <w:sz w:val="20"/>
                <w:szCs w:val="20"/>
                <w:color w:val="auto"/>
              </w:rPr>
            </w:pPr>
            <w:r>
              <w:rPr>
                <w:rFonts w:ascii="Arial" w:cs="Arial" w:eastAsia="Arial" w:hAnsi="Arial"/>
                <w:sz w:val="18"/>
                <w:szCs w:val="18"/>
                <w:color w:val="auto"/>
                <w:w w:val="91"/>
              </w:rPr>
              <w:t>Date of Report (Date of earliest event reported): August 6, 2007</w:t>
            </w:r>
          </w:p>
        </w:tc>
        <w:tc>
          <w:tcPr>
            <w:tcW w:w="2740" w:type="dxa"/>
            <w:vAlign w:val="bottom"/>
          </w:tcPr>
          <w:p>
            <w:pPr>
              <w:spacing w:after="0"/>
              <w:rPr>
                <w:sz w:val="24"/>
                <w:szCs w:val="24"/>
                <w:color w:val="auto"/>
              </w:rPr>
            </w:pPr>
          </w:p>
        </w:tc>
      </w:tr>
      <w:tr>
        <w:trPr>
          <w:trHeight w:val="472"/>
        </w:trPr>
        <w:tc>
          <w:tcPr>
            <w:tcW w:w="2340" w:type="dxa"/>
            <w:vAlign w:val="bottom"/>
          </w:tcPr>
          <w:p>
            <w:pPr>
              <w:spacing w:after="0"/>
              <w:rPr>
                <w:sz w:val="24"/>
                <w:szCs w:val="24"/>
                <w:color w:val="auto"/>
              </w:rPr>
            </w:pPr>
          </w:p>
        </w:tc>
        <w:tc>
          <w:tcPr>
            <w:tcW w:w="4940" w:type="dxa"/>
            <w:vAlign w:val="bottom"/>
          </w:tcPr>
          <w:p>
            <w:pPr>
              <w:jc w:val="center"/>
              <w:ind w:left="30"/>
              <w:spacing w:after="0"/>
              <w:rPr>
                <w:sz w:val="20"/>
                <w:szCs w:val="20"/>
                <w:color w:val="auto"/>
              </w:rPr>
            </w:pPr>
            <w:r>
              <w:rPr>
                <w:rFonts w:ascii="Arial" w:cs="Arial" w:eastAsia="Arial" w:hAnsi="Arial"/>
                <w:sz w:val="18"/>
                <w:szCs w:val="18"/>
                <w:b w:val="1"/>
                <w:bCs w:val="1"/>
                <w:color w:val="auto"/>
              </w:rPr>
              <w:t>WYNN RESORTS, LIMITED</w:t>
            </w:r>
          </w:p>
        </w:tc>
        <w:tc>
          <w:tcPr>
            <w:tcW w:w="2740" w:type="dxa"/>
            <w:vAlign w:val="bottom"/>
          </w:tcPr>
          <w:p>
            <w:pPr>
              <w:spacing w:after="0"/>
              <w:rPr>
                <w:sz w:val="24"/>
                <w:szCs w:val="24"/>
                <w:color w:val="auto"/>
              </w:rPr>
            </w:pPr>
          </w:p>
        </w:tc>
      </w:tr>
      <w:tr>
        <w:trPr>
          <w:trHeight w:val="230"/>
        </w:trPr>
        <w:tc>
          <w:tcPr>
            <w:tcW w:w="2340" w:type="dxa"/>
            <w:vAlign w:val="bottom"/>
          </w:tcPr>
          <w:p>
            <w:pPr>
              <w:spacing w:after="0"/>
              <w:rPr>
                <w:sz w:val="20"/>
                <w:szCs w:val="20"/>
                <w:color w:val="auto"/>
              </w:rPr>
            </w:pPr>
          </w:p>
        </w:tc>
        <w:tc>
          <w:tcPr>
            <w:tcW w:w="4940" w:type="dxa"/>
            <w:vAlign w:val="bottom"/>
          </w:tcPr>
          <w:p>
            <w:pPr>
              <w:jc w:val="center"/>
              <w:ind w:left="50"/>
              <w:spacing w:after="0"/>
              <w:rPr>
                <w:sz w:val="20"/>
                <w:szCs w:val="20"/>
                <w:color w:val="auto"/>
              </w:rPr>
            </w:pPr>
            <w:r>
              <w:rPr>
                <w:rFonts w:ascii="Arial" w:cs="Arial" w:eastAsia="Arial" w:hAnsi="Arial"/>
                <w:sz w:val="18"/>
                <w:szCs w:val="18"/>
                <w:color w:val="auto"/>
                <w:w w:val="90"/>
              </w:rPr>
              <w:t>(Exact name of registrant as specified in its charter)</w:t>
            </w:r>
          </w:p>
        </w:tc>
        <w:tc>
          <w:tcPr>
            <w:tcW w:w="2740" w:type="dxa"/>
            <w:vAlign w:val="bottom"/>
          </w:tcPr>
          <w:p>
            <w:pPr>
              <w:spacing w:after="0"/>
              <w:rPr>
                <w:sz w:val="20"/>
                <w:szCs w:val="20"/>
                <w:color w:val="auto"/>
              </w:rPr>
            </w:pPr>
          </w:p>
        </w:tc>
      </w:tr>
      <w:tr>
        <w:trPr>
          <w:trHeight w:val="472"/>
        </w:trPr>
        <w:tc>
          <w:tcPr>
            <w:tcW w:w="2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Nevada</w:t>
            </w:r>
          </w:p>
        </w:tc>
        <w:tc>
          <w:tcPr>
            <w:tcW w:w="494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000-50028</w:t>
            </w:r>
          </w:p>
        </w:tc>
        <w:tc>
          <w:tcPr>
            <w:tcW w:w="27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46-0484987</w:t>
            </w:r>
          </w:p>
        </w:tc>
      </w:tr>
      <w:tr>
        <w:trPr>
          <w:trHeight w:val="216"/>
        </w:trPr>
        <w:tc>
          <w:tcPr>
            <w:tcW w:w="2340" w:type="dxa"/>
            <w:vAlign w:val="bottom"/>
          </w:tcPr>
          <w:p>
            <w:pPr>
              <w:jc w:val="center"/>
              <w:ind w:right="150"/>
              <w:spacing w:after="0"/>
              <w:rPr>
                <w:sz w:val="20"/>
                <w:szCs w:val="20"/>
                <w:color w:val="auto"/>
              </w:rPr>
            </w:pPr>
            <w:r>
              <w:rPr>
                <w:rFonts w:ascii="Arial" w:cs="Arial" w:eastAsia="Arial" w:hAnsi="Arial"/>
                <w:sz w:val="18"/>
                <w:szCs w:val="18"/>
                <w:color w:val="auto"/>
                <w:w w:val="93"/>
              </w:rPr>
              <w:t>(State or other jurisdiction of</w:t>
            </w:r>
          </w:p>
        </w:tc>
        <w:tc>
          <w:tcPr>
            <w:tcW w:w="4940" w:type="dxa"/>
            <w:vAlign w:val="bottom"/>
          </w:tcPr>
          <w:p>
            <w:pPr>
              <w:jc w:val="center"/>
              <w:ind w:left="50"/>
              <w:spacing w:after="0"/>
              <w:rPr>
                <w:sz w:val="20"/>
                <w:szCs w:val="20"/>
                <w:color w:val="auto"/>
              </w:rPr>
            </w:pPr>
            <w:r>
              <w:rPr>
                <w:rFonts w:ascii="Arial" w:cs="Arial" w:eastAsia="Arial" w:hAnsi="Arial"/>
                <w:sz w:val="18"/>
                <w:szCs w:val="18"/>
                <w:color w:val="auto"/>
                <w:w w:val="93"/>
              </w:rPr>
              <w:t>(Commission File Number)</w:t>
            </w:r>
          </w:p>
        </w:tc>
        <w:tc>
          <w:tcPr>
            <w:tcW w:w="2740" w:type="dxa"/>
            <w:vAlign w:val="bottom"/>
          </w:tcPr>
          <w:p>
            <w:pPr>
              <w:jc w:val="center"/>
              <w:ind w:left="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340" w:type="dxa"/>
            <w:vAlign w:val="bottom"/>
          </w:tcPr>
          <w:p>
            <w:pPr>
              <w:jc w:val="center"/>
              <w:ind w:right="150"/>
              <w:spacing w:after="0"/>
              <w:rPr>
                <w:sz w:val="20"/>
                <w:szCs w:val="20"/>
                <w:color w:val="auto"/>
              </w:rPr>
            </w:pPr>
            <w:r>
              <w:rPr>
                <w:rFonts w:ascii="Arial" w:cs="Arial" w:eastAsia="Arial" w:hAnsi="Arial"/>
                <w:sz w:val="18"/>
                <w:szCs w:val="18"/>
                <w:color w:val="auto"/>
                <w:w w:val="92"/>
              </w:rPr>
              <w:t>incorporation)</w:t>
            </w:r>
          </w:p>
        </w:tc>
        <w:tc>
          <w:tcPr>
            <w:tcW w:w="49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72"/>
        </w:trPr>
        <w:tc>
          <w:tcPr>
            <w:tcW w:w="2340" w:type="dxa"/>
            <w:vAlign w:val="bottom"/>
          </w:tcPr>
          <w:p>
            <w:pPr>
              <w:spacing w:after="0"/>
              <w:rPr>
                <w:sz w:val="24"/>
                <w:szCs w:val="24"/>
                <w:color w:val="auto"/>
              </w:rPr>
            </w:pPr>
          </w:p>
        </w:tc>
        <w:tc>
          <w:tcPr>
            <w:tcW w:w="4940" w:type="dxa"/>
            <w:vAlign w:val="bottom"/>
          </w:tcPr>
          <w:p>
            <w:pPr>
              <w:jc w:val="center"/>
              <w:ind w:left="30"/>
              <w:spacing w:after="0"/>
              <w:rPr>
                <w:sz w:val="20"/>
                <w:szCs w:val="20"/>
                <w:color w:val="auto"/>
              </w:rPr>
            </w:pPr>
            <w:r>
              <w:rPr>
                <w:rFonts w:ascii="Arial" w:cs="Arial" w:eastAsia="Arial" w:hAnsi="Arial"/>
                <w:sz w:val="18"/>
                <w:szCs w:val="18"/>
                <w:b w:val="1"/>
                <w:bCs w:val="1"/>
                <w:color w:val="auto"/>
              </w:rPr>
              <w:t>WYNN LAS VEGAS, LLC</w:t>
            </w:r>
          </w:p>
        </w:tc>
        <w:tc>
          <w:tcPr>
            <w:tcW w:w="2740" w:type="dxa"/>
            <w:vAlign w:val="bottom"/>
          </w:tcPr>
          <w:p>
            <w:pPr>
              <w:spacing w:after="0"/>
              <w:rPr>
                <w:sz w:val="24"/>
                <w:szCs w:val="24"/>
                <w:color w:val="auto"/>
              </w:rPr>
            </w:pPr>
          </w:p>
        </w:tc>
      </w:tr>
      <w:tr>
        <w:trPr>
          <w:trHeight w:val="230"/>
        </w:trPr>
        <w:tc>
          <w:tcPr>
            <w:tcW w:w="2340" w:type="dxa"/>
            <w:vAlign w:val="bottom"/>
          </w:tcPr>
          <w:p>
            <w:pPr>
              <w:spacing w:after="0"/>
              <w:rPr>
                <w:sz w:val="20"/>
                <w:szCs w:val="20"/>
                <w:color w:val="auto"/>
              </w:rPr>
            </w:pPr>
          </w:p>
        </w:tc>
        <w:tc>
          <w:tcPr>
            <w:tcW w:w="4940" w:type="dxa"/>
            <w:vAlign w:val="bottom"/>
          </w:tcPr>
          <w:p>
            <w:pPr>
              <w:jc w:val="center"/>
              <w:ind w:left="50"/>
              <w:spacing w:after="0"/>
              <w:rPr>
                <w:sz w:val="20"/>
                <w:szCs w:val="20"/>
                <w:color w:val="auto"/>
              </w:rPr>
            </w:pPr>
            <w:r>
              <w:rPr>
                <w:rFonts w:ascii="Arial" w:cs="Arial" w:eastAsia="Arial" w:hAnsi="Arial"/>
                <w:sz w:val="18"/>
                <w:szCs w:val="18"/>
                <w:color w:val="auto"/>
                <w:w w:val="90"/>
              </w:rPr>
              <w:t>(Exact name of registrant as specified in its charter)</w:t>
            </w:r>
          </w:p>
        </w:tc>
        <w:tc>
          <w:tcPr>
            <w:tcW w:w="2740" w:type="dxa"/>
            <w:vAlign w:val="bottom"/>
          </w:tcPr>
          <w:p>
            <w:pPr>
              <w:spacing w:after="0"/>
              <w:rPr>
                <w:sz w:val="20"/>
                <w:szCs w:val="20"/>
                <w:color w:val="auto"/>
              </w:rPr>
            </w:pPr>
          </w:p>
        </w:tc>
      </w:tr>
      <w:tr>
        <w:trPr>
          <w:trHeight w:val="472"/>
        </w:trPr>
        <w:tc>
          <w:tcPr>
            <w:tcW w:w="2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Nevada</w:t>
            </w:r>
          </w:p>
        </w:tc>
        <w:tc>
          <w:tcPr>
            <w:tcW w:w="494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333-98369</w:t>
            </w:r>
          </w:p>
        </w:tc>
        <w:tc>
          <w:tcPr>
            <w:tcW w:w="27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88-0494875</w:t>
            </w:r>
          </w:p>
        </w:tc>
      </w:tr>
      <w:tr>
        <w:trPr>
          <w:trHeight w:val="230"/>
        </w:trPr>
        <w:tc>
          <w:tcPr>
            <w:tcW w:w="2340" w:type="dxa"/>
            <w:vAlign w:val="bottom"/>
          </w:tcPr>
          <w:p>
            <w:pPr>
              <w:jc w:val="center"/>
              <w:ind w:right="150"/>
              <w:spacing w:after="0"/>
              <w:rPr>
                <w:sz w:val="20"/>
                <w:szCs w:val="20"/>
                <w:color w:val="auto"/>
              </w:rPr>
            </w:pPr>
            <w:r>
              <w:rPr>
                <w:rFonts w:ascii="Arial" w:cs="Arial" w:eastAsia="Arial" w:hAnsi="Arial"/>
                <w:sz w:val="18"/>
                <w:szCs w:val="18"/>
                <w:color w:val="auto"/>
                <w:w w:val="93"/>
              </w:rPr>
              <w:t>(State or other jurisdiction of</w:t>
            </w:r>
          </w:p>
        </w:tc>
        <w:tc>
          <w:tcPr>
            <w:tcW w:w="4940" w:type="dxa"/>
            <w:vAlign w:val="bottom"/>
          </w:tcPr>
          <w:p>
            <w:pPr>
              <w:jc w:val="center"/>
              <w:ind w:left="50"/>
              <w:spacing w:after="0"/>
              <w:rPr>
                <w:sz w:val="20"/>
                <w:szCs w:val="20"/>
                <w:color w:val="auto"/>
              </w:rPr>
            </w:pPr>
            <w:r>
              <w:rPr>
                <w:rFonts w:ascii="Arial" w:cs="Arial" w:eastAsia="Arial" w:hAnsi="Arial"/>
                <w:sz w:val="18"/>
                <w:szCs w:val="18"/>
                <w:color w:val="auto"/>
                <w:w w:val="93"/>
              </w:rPr>
              <w:t>(Commission File Number)</w:t>
            </w:r>
          </w:p>
        </w:tc>
        <w:tc>
          <w:tcPr>
            <w:tcW w:w="2740" w:type="dxa"/>
            <w:vAlign w:val="bottom"/>
          </w:tcPr>
          <w:p>
            <w:pPr>
              <w:jc w:val="center"/>
              <w:ind w:left="30"/>
              <w:spacing w:after="0"/>
              <w:rPr>
                <w:sz w:val="20"/>
                <w:szCs w:val="20"/>
                <w:color w:val="auto"/>
              </w:rPr>
            </w:pPr>
            <w:r>
              <w:rPr>
                <w:rFonts w:ascii="Arial" w:cs="Arial" w:eastAsia="Arial" w:hAnsi="Arial"/>
                <w:sz w:val="18"/>
                <w:szCs w:val="18"/>
                <w:color w:val="auto"/>
                <w:w w:val="94"/>
              </w:rPr>
              <w:t>(I.R.S. Employer Identification No.)</w:t>
            </w:r>
          </w:p>
        </w:tc>
      </w:tr>
    </w:tbl>
    <w:p>
      <w:pPr>
        <w:ind w:left="1380"/>
        <w:spacing w:after="0"/>
        <w:rPr>
          <w:sz w:val="20"/>
          <w:szCs w:val="20"/>
          <w:color w:val="auto"/>
        </w:rPr>
      </w:pPr>
      <w:r>
        <w:rPr>
          <w:rFonts w:ascii="Arial" w:cs="Arial" w:eastAsia="Arial" w:hAnsi="Arial"/>
          <w:sz w:val="18"/>
          <w:szCs w:val="18"/>
          <w:color w:val="auto"/>
        </w:rPr>
        <w:t>incorporation)</w:t>
      </w:r>
    </w:p>
    <w:p>
      <w:pPr>
        <w:sectPr>
          <w:pgSz w:w="11900" w:h="16838" w:orient="portrait"/>
          <w:cols w:equalWidth="0" w:num="1">
            <w:col w:w="11420"/>
          </w:cols>
          <w:pgMar w:left="240" w:top="229" w:right="239" w:bottom="1440" w:gutter="0" w:footer="0" w:header="0"/>
        </w:sectPr>
      </w:pPr>
    </w:p>
    <w:p>
      <w:pPr>
        <w:spacing w:after="0" w:line="26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3131 Las Vegas Boulevard South</w:t>
      </w:r>
    </w:p>
    <w:p>
      <w:pPr>
        <w:spacing w:after="0" w:line="36"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Las Vegas, Nevada</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89109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20" w:space="720"/>
            <w:col w:w="2280"/>
          </w:cols>
          <w:pgMar w:left="240" w:top="229" w:right="239" w:bottom="1440" w:gutter="0" w:footer="0" w:header="0"/>
          <w:type w:val="continuous"/>
        </w:sectPr>
      </w:pP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229" w:right="239" w:bottom="1440" w:gutter="0" w:footer="0" w:header="0"/>
          <w:type w:val="continuous"/>
        </w:sect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7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o</w:t>
            </w:r>
          </w:p>
        </w:tc>
        <w:tc>
          <w:tcPr>
            <w:tcW w:w="8180" w:type="dxa"/>
            <w:vAlign w:val="bottom"/>
          </w:tcPr>
          <w:p>
            <w:pPr>
              <w:jc w:val="right"/>
              <w:spacing w:after="0"/>
              <w:rPr>
                <w:sz w:val="20"/>
                <w:szCs w:val="20"/>
                <w:color w:val="auto"/>
              </w:rPr>
            </w:pPr>
            <w:r>
              <w:rPr>
                <w:rFonts w:ascii="Arial" w:cs="Arial" w:eastAsia="Arial" w:hAnsi="Arial"/>
                <w:sz w:val="18"/>
                <w:szCs w:val="18"/>
                <w:color w:val="auto"/>
              </w:rPr>
              <w:t>Pre-commencement communications pursuant to Rule 14d-2(b) under the Exchange Act (17</w:t>
            </w:r>
          </w:p>
        </w:tc>
        <w:tc>
          <w:tcPr>
            <w:tcW w:w="3100" w:type="dxa"/>
            <w:vAlign w:val="bottom"/>
          </w:tcPr>
          <w:p>
            <w:pPr>
              <w:ind w:left="20"/>
              <w:spacing w:after="0"/>
              <w:rPr>
                <w:sz w:val="20"/>
                <w:szCs w:val="20"/>
                <w:color w:val="auto"/>
              </w:rPr>
            </w:pPr>
            <w:r>
              <w:rPr>
                <w:rFonts w:ascii="Arial" w:cs="Arial" w:eastAsia="Arial" w:hAnsi="Arial"/>
                <w:sz w:val="18"/>
                <w:szCs w:val="18"/>
                <w:color w:val="auto"/>
              </w:rPr>
              <w:t>CFR 240.14d-2(b))</w:t>
            </w:r>
          </w:p>
        </w:tc>
      </w:tr>
      <w:tr>
        <w:trPr>
          <w:trHeight w:val="500"/>
        </w:trPr>
        <w:tc>
          <w:tcPr>
            <w:tcW w:w="140" w:type="dxa"/>
            <w:vAlign w:val="bottom"/>
          </w:tcPr>
          <w:p>
            <w:pPr>
              <w:spacing w:after="0"/>
              <w:rPr>
                <w:sz w:val="20"/>
                <w:szCs w:val="20"/>
                <w:color w:val="auto"/>
              </w:rPr>
            </w:pPr>
            <w:r>
              <w:rPr>
                <w:rFonts w:ascii="Arial" w:cs="Arial" w:eastAsia="Arial" w:hAnsi="Arial"/>
                <w:sz w:val="18"/>
                <w:szCs w:val="18"/>
                <w:color w:val="auto"/>
              </w:rPr>
              <w:t>o</w:t>
            </w:r>
          </w:p>
        </w:tc>
        <w:tc>
          <w:tcPr>
            <w:tcW w:w="8180" w:type="dxa"/>
            <w:vAlign w:val="bottom"/>
          </w:tcPr>
          <w:p>
            <w:pPr>
              <w:jc w:val="right"/>
              <w:spacing w:after="0"/>
              <w:rPr>
                <w:sz w:val="20"/>
                <w:szCs w:val="20"/>
                <w:color w:val="auto"/>
              </w:rPr>
            </w:pPr>
            <w:r>
              <w:rPr>
                <w:rFonts w:ascii="Arial" w:cs="Arial" w:eastAsia="Arial" w:hAnsi="Arial"/>
                <w:sz w:val="18"/>
                <w:szCs w:val="18"/>
                <w:color w:val="auto"/>
                <w:w w:val="90"/>
              </w:rPr>
              <w:t>Pre-commencements communications pursuant to Rule 13e-4(c) under the Exchange Act (17 CFR 240.13e-4(c))</w:t>
            </w:r>
          </w:p>
        </w:tc>
        <w:tc>
          <w:tcPr>
            <w:tcW w:w="3100" w:type="dxa"/>
            <w:vAlign w:val="bottom"/>
          </w:tcPr>
          <w:p>
            <w:pPr>
              <w:spacing w:after="0"/>
              <w:rPr>
                <w:sz w:val="24"/>
                <w:szCs w:val="24"/>
                <w:color w:val="auto"/>
              </w:rPr>
            </w:pPr>
          </w:p>
        </w:tc>
      </w:tr>
      <w:tr>
        <w:trPr>
          <w:trHeight w:val="632"/>
        </w:trPr>
        <w:tc>
          <w:tcPr>
            <w:tcW w:w="140" w:type="dxa"/>
            <w:vAlign w:val="bottom"/>
            <w:tcBorders>
              <w:bottom w:val="single" w:sz="8" w:color="808080"/>
            </w:tcBorders>
          </w:tcPr>
          <w:p>
            <w:pPr>
              <w:spacing w:after="0"/>
              <w:rPr>
                <w:sz w:val="24"/>
                <w:szCs w:val="24"/>
                <w:color w:val="auto"/>
              </w:rPr>
            </w:pPr>
          </w:p>
        </w:tc>
        <w:tc>
          <w:tcPr>
            <w:tcW w:w="818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6, 2007, Wynn Resorts, Limited issued a press release announcing its results of operations for the second quarter of 2007.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77"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316"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97" w:lineRule="exact"/>
        <w:rPr>
          <w:sz w:val="20"/>
          <w:szCs w:val="20"/>
          <w:color w:val="auto"/>
        </w:rPr>
      </w:pPr>
    </w:p>
    <w:p>
      <w:pPr>
        <w:ind w:left="1880" w:hanging="703"/>
        <w:spacing w:after="0"/>
        <w:tabs>
          <w:tab w:leader="none" w:pos="1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2"/>
          </w:tcPr>
          <w:p>
            <w:pPr>
              <w:ind w:left="1720"/>
              <w:spacing w:after="0"/>
              <w:rPr>
                <w:sz w:val="20"/>
                <w:szCs w:val="20"/>
                <w:color w:val="auto"/>
              </w:rPr>
            </w:pPr>
            <w:r>
              <w:rPr>
                <w:rFonts w:ascii="Arial" w:cs="Arial" w:eastAsia="Arial" w:hAnsi="Arial"/>
                <w:sz w:val="18"/>
                <w:szCs w:val="18"/>
                <w:color w:val="auto"/>
              </w:rPr>
              <w:t>Exhibit</w:t>
            </w:r>
          </w:p>
        </w:tc>
        <w:tc>
          <w:tcPr>
            <w:tcW w:w="168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196"/>
        </w:trPr>
        <w:tc>
          <w:tcPr>
            <w:tcW w:w="1720" w:type="dxa"/>
            <w:vAlign w:val="bottom"/>
          </w:tcPr>
          <w:p>
            <w:pPr>
              <w:spacing w:after="0"/>
              <w:rPr>
                <w:sz w:val="17"/>
                <w:szCs w:val="17"/>
                <w:color w:val="auto"/>
              </w:rPr>
            </w:pPr>
          </w:p>
        </w:tc>
        <w:tc>
          <w:tcPr>
            <w:tcW w:w="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0"/>
              </w:rPr>
              <w:t>Number</w:t>
            </w:r>
          </w:p>
        </w:tc>
        <w:tc>
          <w:tcPr>
            <w:tcW w:w="16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600" w:type="dxa"/>
            <w:vAlign w:val="bottom"/>
          </w:tcPr>
          <w:p>
            <w:pPr>
              <w:spacing w:after="0"/>
              <w:rPr>
                <w:sz w:val="17"/>
                <w:szCs w:val="17"/>
                <w:color w:val="auto"/>
              </w:rPr>
            </w:pPr>
          </w:p>
        </w:tc>
      </w:tr>
      <w:tr>
        <w:trPr>
          <w:trHeight w:val="480"/>
        </w:trPr>
        <w:tc>
          <w:tcPr>
            <w:tcW w:w="2320" w:type="dxa"/>
            <w:vAlign w:val="bottom"/>
            <w:gridSpan w:val="2"/>
          </w:tcPr>
          <w:p>
            <w:pPr>
              <w:jc w:val="right"/>
              <w:ind w:right="30"/>
              <w:spacing w:after="0"/>
              <w:rPr>
                <w:sz w:val="20"/>
                <w:szCs w:val="20"/>
                <w:color w:val="auto"/>
              </w:rPr>
            </w:pPr>
            <w:r>
              <w:rPr>
                <w:rFonts w:ascii="Arial" w:cs="Arial" w:eastAsia="Arial" w:hAnsi="Arial"/>
                <w:sz w:val="18"/>
                <w:szCs w:val="18"/>
                <w:color w:val="auto"/>
              </w:rPr>
              <w:t>99.1</w:t>
            </w:r>
          </w:p>
        </w:tc>
        <w:tc>
          <w:tcPr>
            <w:tcW w:w="168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Press release, dated August 6, 2007, of Wynn Resorts, Limited.</w:t>
            </w:r>
          </w:p>
        </w:tc>
      </w:tr>
      <w:tr>
        <w:trPr>
          <w:trHeight w:val="929"/>
        </w:trPr>
        <w:tc>
          <w:tcPr>
            <w:tcW w:w="17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2007</w:t>
      </w:r>
    </w:p>
    <w:p>
      <w:pPr>
        <w:spacing w:after="0" w:line="29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WYNN RESORTS, LIMITED</w:t>
      </w:r>
    </w:p>
    <w:p>
      <w:pPr>
        <w:spacing w:after="0" w:line="200" w:lineRule="exact"/>
        <w:rPr>
          <w:sz w:val="20"/>
          <w:szCs w:val="20"/>
          <w:color w:val="auto"/>
        </w:rPr>
      </w:pPr>
    </w:p>
    <w:p>
      <w:pPr>
        <w:spacing w:after="0" w:line="332" w:lineRule="exact"/>
        <w:rPr>
          <w:sz w:val="20"/>
          <w:szCs w:val="20"/>
          <w:color w:val="auto"/>
        </w:rPr>
      </w:pPr>
    </w:p>
    <w:tbl>
      <w:tblPr>
        <w:tblLayout w:type="fixed"/>
        <w:tblInd w:w="4540" w:type="dxa"/>
        <w:tblCellMar>
          <w:top w:w="0" w:type="dxa"/>
          <w:left w:w="0" w:type="dxa"/>
          <w:bottom w:w="0" w:type="dxa"/>
          <w:right w:w="0" w:type="dxa"/>
        </w:tblCellMar>
      </w:tblPr>
      <w:tr>
        <w:trPr>
          <w:trHeight w:val="207"/>
        </w:trPr>
        <w:tc>
          <w:tcPr>
            <w:tcW w:w="30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ind w:left="680"/>
              <w:spacing w:after="0"/>
              <w:rPr>
                <w:sz w:val="20"/>
                <w:szCs w:val="20"/>
                <w:color w:val="auto"/>
              </w:rPr>
            </w:pPr>
            <w:r>
              <w:rPr>
                <w:rFonts w:ascii="Arial" w:cs="Arial" w:eastAsia="Arial" w:hAnsi="Arial"/>
                <w:sz w:val="18"/>
                <w:szCs w:val="18"/>
                <w:color w:val="auto"/>
              </w:rPr>
              <w:t>/s/ John Strzemp</w:t>
            </w:r>
          </w:p>
        </w:tc>
      </w:tr>
      <w:tr>
        <w:trPr>
          <w:trHeight w:val="222"/>
        </w:trPr>
        <w:tc>
          <w:tcPr>
            <w:tcW w:w="2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John Strzemp</w:t>
            </w: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2007</w:t>
      </w:r>
    </w:p>
    <w:p>
      <w:pPr>
        <w:spacing w:after="0" w:line="29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WYNN LAS VEGAS, LLC</w:t>
      </w:r>
    </w:p>
    <w:p>
      <w:pPr>
        <w:spacing w:after="0" w:line="27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Wynn Resorts Holdings, LLC, its sole member</w:t>
      </w:r>
    </w:p>
    <w:p>
      <w:pPr>
        <w:spacing w:after="0" w:line="27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Wynn Resorts, Limited, its sole member</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gridSpan w:val="2"/>
          </w:tcPr>
          <w:p>
            <w:pPr>
              <w:ind w:left="4540"/>
              <w:spacing w:after="0"/>
              <w:rPr>
                <w:sz w:val="20"/>
                <w:szCs w:val="20"/>
                <w:color w:val="auto"/>
              </w:rPr>
            </w:pPr>
            <w:r>
              <w:rPr>
                <w:rFonts w:ascii="Arial" w:cs="Arial" w:eastAsia="Arial" w:hAnsi="Arial"/>
                <w:sz w:val="18"/>
                <w:szCs w:val="18"/>
                <w:color w:val="auto"/>
              </w:rPr>
              <w:t>By:</w:t>
            </w:r>
          </w:p>
        </w:tc>
        <w:tc>
          <w:tcPr>
            <w:tcW w:w="6580" w:type="dxa"/>
            <w:vAlign w:val="bottom"/>
            <w:gridSpan w:val="2"/>
          </w:tcPr>
          <w:p>
            <w:pPr>
              <w:ind w:left="720"/>
              <w:spacing w:after="0"/>
              <w:rPr>
                <w:sz w:val="20"/>
                <w:szCs w:val="20"/>
                <w:color w:val="auto"/>
              </w:rPr>
            </w:pPr>
            <w:r>
              <w:rPr>
                <w:rFonts w:ascii="Arial" w:cs="Arial" w:eastAsia="Arial" w:hAnsi="Arial"/>
                <w:sz w:val="18"/>
                <w:szCs w:val="18"/>
                <w:color w:val="auto"/>
              </w:rPr>
              <w:t>/s/ John Strzemp</w:t>
            </w:r>
          </w:p>
        </w:tc>
      </w:tr>
      <w:tr>
        <w:trPr>
          <w:trHeight w:val="222"/>
        </w:trPr>
        <w:tc>
          <w:tcPr>
            <w:tcW w:w="48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John Strzemp</w:t>
            </w:r>
          </w:p>
        </w:tc>
        <w:tc>
          <w:tcPr>
            <w:tcW w:w="332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r>
      <w:tr>
        <w:trPr>
          <w:trHeight w:val="729"/>
        </w:trPr>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60" w:type="dxa"/>
            <w:vAlign w:val="bottom"/>
          </w:tcPr>
          <w:p>
            <w:pPr>
              <w:jc w:val="right"/>
              <w:ind w:right="2250"/>
              <w:spacing w:after="0"/>
              <w:rPr>
                <w:sz w:val="20"/>
                <w:szCs w:val="20"/>
                <w:color w:val="auto"/>
              </w:rPr>
            </w:pPr>
            <w:r>
              <w:rPr>
                <w:rFonts w:ascii="Arial" w:cs="Arial" w:eastAsia="Arial" w:hAnsi="Arial"/>
                <w:sz w:val="18"/>
                <w:szCs w:val="18"/>
                <w:color w:val="auto"/>
              </w:rPr>
              <w:t>4</w:t>
            </w:r>
          </w:p>
        </w:tc>
        <w:tc>
          <w:tcPr>
            <w:tcW w:w="3320" w:type="dxa"/>
            <w:vAlign w:val="bottom"/>
          </w:tcPr>
          <w:p>
            <w:pPr>
              <w:spacing w:after="0"/>
              <w:rPr>
                <w:sz w:val="24"/>
                <w:szCs w:val="24"/>
                <w:color w:val="auto"/>
              </w:rPr>
            </w:pPr>
          </w:p>
        </w:tc>
      </w:tr>
      <w:tr>
        <w:trPr>
          <w:trHeight w:val="118"/>
        </w:trPr>
        <w:tc>
          <w:tcPr>
            <w:tcW w:w="48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00" w:type="dxa"/>
            <w:vAlign w:val="bottom"/>
          </w:tcPr>
          <w:p>
            <w:pPr>
              <w:jc w:val="center"/>
              <w:ind w:right="2016"/>
              <w:spacing w:after="0"/>
              <w:rPr>
                <w:sz w:val="20"/>
                <w:szCs w:val="20"/>
                <w:color w:val="auto"/>
              </w:rPr>
            </w:pPr>
            <w:r>
              <w:rPr>
                <w:rFonts w:ascii="Arial" w:cs="Arial" w:eastAsia="Arial" w:hAnsi="Arial"/>
                <w:sz w:val="18"/>
                <w:szCs w:val="18"/>
                <w:b w:val="1"/>
                <w:bCs w:val="1"/>
                <w:color w:val="auto"/>
              </w:rPr>
              <w:t>EXHIBIT INDEX</w:t>
            </w:r>
          </w:p>
        </w:tc>
      </w:tr>
      <w:tr>
        <w:trPr>
          <w:trHeight w:val="500"/>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9300" w:type="dxa"/>
            <w:vAlign w:val="bottom"/>
            <w:tcBorders>
              <w:bottom w:val="single" w:sz="8" w:color="auto"/>
            </w:tcBorders>
          </w:tcPr>
          <w:p>
            <w:pPr>
              <w:ind w:left="4300"/>
              <w:spacing w:after="0"/>
              <w:rPr>
                <w:sz w:val="20"/>
                <w:szCs w:val="20"/>
                <w:color w:val="auto"/>
              </w:rPr>
            </w:pPr>
            <w:r>
              <w:rPr>
                <w:rFonts w:ascii="Arial" w:cs="Arial" w:eastAsia="Arial" w:hAnsi="Arial"/>
                <w:sz w:val="14"/>
                <w:szCs w:val="14"/>
                <w:b w:val="1"/>
                <w:bCs w:val="1"/>
                <w:color w:val="auto"/>
              </w:rPr>
              <w:t>Description</w:t>
            </w:r>
          </w:p>
        </w:tc>
      </w:tr>
      <w:tr>
        <w:trPr>
          <w:trHeight w:val="480"/>
        </w:trPr>
        <w:tc>
          <w:tcPr>
            <w:tcW w:w="190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Press release, dated August 6, 2007, of Wynn Resorts, Limited.</w:t>
            </w:r>
          </w:p>
        </w:tc>
      </w:tr>
      <w:tr>
        <w:trPr>
          <w:trHeight w:val="486"/>
        </w:trPr>
        <w:tc>
          <w:tcPr>
            <w:tcW w:w="1900" w:type="dxa"/>
            <w:vAlign w:val="bottom"/>
          </w:tcPr>
          <w:p>
            <w:pPr>
              <w:spacing w:after="0"/>
              <w:rPr>
                <w:sz w:val="24"/>
                <w:szCs w:val="24"/>
                <w:color w:val="auto"/>
              </w:rPr>
            </w:pPr>
          </w:p>
        </w:tc>
        <w:tc>
          <w:tcPr>
            <w:tcW w:w="9520" w:type="dxa"/>
            <w:vAlign w:val="bottom"/>
            <w:gridSpan w:val="2"/>
          </w:tcPr>
          <w:p>
            <w:pPr>
              <w:jc w:val="right"/>
              <w:ind w:right="5576"/>
              <w:spacing w:after="0"/>
              <w:rPr>
                <w:sz w:val="20"/>
                <w:szCs w:val="20"/>
                <w:color w:val="auto"/>
              </w:rPr>
            </w:pPr>
            <w:r>
              <w:rPr>
                <w:rFonts w:ascii="Arial" w:cs="Arial" w:eastAsia="Arial" w:hAnsi="Arial"/>
                <w:sz w:val="18"/>
                <w:szCs w:val="18"/>
                <w:color w:val="auto"/>
              </w:rPr>
              <w:t>5</w:t>
            </w:r>
          </w:p>
        </w:tc>
      </w:tr>
      <w:tr>
        <w:trPr>
          <w:trHeight w:val="118"/>
        </w:trPr>
        <w:tc>
          <w:tcPr>
            <w:tcW w:w="1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Wynn Resorts, Limited Reports Second Quarter Results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Adjusted Property EBITDA of $115.3 million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Macau Adjusted Property EBITDA of $92.7 million</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LAS VEGAS, August 6, 2007 (BUSINESS WIRE) -- Wynn Resorts, Limited (Nasdaq: WYNN) today reported financial results for the quarter ended June 30, 2007.</w:t>
      </w:r>
    </w:p>
    <w:p>
      <w:pPr>
        <w:spacing w:after="0" w:line="22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Net revenues for the second quarter of 2007 were $687.5 million, compared to $273.4 million in the second quarter of 2006. Results for this quarter include the operations of Wynn Macau, which opened on September 6, 2006. The revenue increase was driven by the opening of Wynn Macau and strong Wynn Las Vegas results.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Consolidated adjusted property EBITDA (2) was $208.0 million for the second quarter of 2007, compared to $73.2 million in the second quarter of 2006.</w:t>
      </w:r>
    </w:p>
    <w:p>
      <w:pPr>
        <w:spacing w:after="0" w:line="2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US GAAP (Generally Accepted Accounting Principles) basis, net income for the quarter was $89.6 million, or $0.82 per diluted share, compared to a loss of $20.1 million, or ($0.20) per diluted share in 2006. The significant increase in net income was due to the opening of Wynn Macau and strong operations from Wynn Las Vegas.</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net income in the second quarter of 2007 was $100.8 million, or $0.92 per diluted share (adjusted EPS)(1) compared to an adjusted net loss of $4.9 million, or ($0.05) per diluted share in the second quarter of 2006.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Second Quarter Results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quarter ended June 30, 2007, Wynn Las Vegas generated adjusted property EBITDA of $115.3 million, a 57.6% increase from the second quarter of 2006, with a 34.4% EBITDA margin on net revenue.</w:t>
      </w: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casino revenues in the second quarter of 2007 were $159.4 million, compared to $113.5 million for the second quarter of 2006. Table games drop was $561.8 million, with win per table per day (before discounts) of $10,443, compared to drop of $466.1 million and win per table per day of $7,187 in the second quarter of 2006. Table games win percentage of 24.2% was slightly above the property’s expected range of 21% to 24% and exceeded the 19.8% for the second quarter of 2006. Slot machine win per unit per day was $269 on handle (volume) of $976.3 million in the quarter, compared to a win per unit per day of $240 on handle of $907.0 million during the comparable period of 2006. Slot handle at Wynn Las Vegas increased 7.6% during the three months ended June 30, 2007 as compared to the same period in 2006, and the slot win percentage was within the expected range of 4.5% to 5.5%.</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non-casino revenues for the quarter were $211.2 million, a 7.5% increase from the second quarter of 2006. Hotel revenues were up 7.6% to $74.4 million during the quarter, versus $69.2 million in the second quarter of 2006. Wynn Las Vegas achieved an Average Daily Rate (ADR) of $311 for the quarter, compared to $293 in the second quarter of 2006. The property’s occupancy was 97.0%, compared to 95.7% during the prior year period, generating revenue per available room (REVPAR) of $301 in the 2007 period (7.4% higher than in 2006).</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Food and beverage revenues increased 5.7% to $82.1 million in the quarter, compared to $77.7 million in the second quarter of 2006. Retail revenues were $22.9 million in the quarter, compared to $19.3 million in the second quarter of 2006, an increase of 18.7%. Entertainment revenues were approximately $18.7 million, compared to $17.1 million in the second quarter of 2006 as Avenue Q closed in May 2006.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early 2009. Our project budget is currently estimated at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which opened in March 2007.</w:t>
      </w:r>
    </w:p>
    <w:p>
      <w:pPr>
        <w:spacing w:after="0" w:line="23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June 30, 2007, we had incurred approximately $567 million of project costs related to the development and construction of Encore and related capital improvements.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Second Quarter Results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In the second quarter of 2007, Wynn Macau generated net revenues (after discounts and commissions) of $352.5 million and adjusted property EBITDA of $92.7 million. Prior period comparisons are not available as we opened Wynn Macau on September 6, 2006. Our adjusted property EBITDA includes $3 million to $4 million of expenses associated with the expansion.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Table games turnover in the VIP segment was $9.3 billion for the period. VIP table games win percentage (calculated before discounts and commissions) was approximately 3.3%, above the expected range of 2.7% to 3.0%.</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Table games drop in the mass market category was approximately $502.7 million during the period. Mass market table games win percentage (calculated before discounts and incentives) was 18.4%, which is within the expected range of 17% to 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Slot machine win per unit per day was $522 on handle (volume) of $382.7 million for the quarter.</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quarter, Wynn Macau generated an average daily room rate (ADR) of $258, with occupancy averaging 86.2%. Net non-casino revenues, consisting of rooms, food and beverage, retail and other, were $20.1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Expansion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opened Wynn Macau on September 6, 2006. The property currently features 248 table games and 443 slot machines in an approximately 110,000 square foot casino. The Company intends to open approximately 20,000 square feet of additional gaming space and one restaurant in the second phase in the third quarter of 2007. Further expansion areas are expected to open by Chinese New Year, 2008. After the completion of the expansion, Wynn Macau is expected to have a total of approximately 380 table games and 1,200 slot machines.</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Company continues to develop the plans for a further expansion of Wynn Macau, the Wynn Diamond Suites, which was first announced in November 2006. This further expansion will add a second fully-integrated resort hotel named “Wynn Diamond Suites” to Wynn Macau, with approximately 400 luxury suites and villas, along with restaurants, additional retail space and additional VIP gaming space. In July, 2007, Wynn Macau issued a notice to proceed to the general contractor with respect to approximately $347.8 million of construction costs relating to the construction of Wynn Diamond Suites. While the complete project budget is still being finalized, the Company expects total cost to be in the range of $550 million to $600 million. The Company expects Wynn Diamond Suites to open to the public in the first half of 2010.</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June 30, 2007, the Company had incurred approximately $1 billion of the approximate total $1.2 billion of budgeted project costs for Wynn Macau (excluding Wynn Diamond Suites).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submitted an application with the government of Macau for a concession of land in Cotai for future development. The Company recently reconfigured its site plans for 52 acres and is awaiting final approval.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net of $9.2 million in capitalized interest, was $35.5 million for the second quarter of 2007. Depreciation and amortization expenses were $51.9 million and pre-opening expenses were $0.9 million during the quarter. Corporate expense and other was $16.0 million in the second quarter, including $4.9 million in stock 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total cash balances at the end of the quarter were $879.1 million, including unrestricted cash balances of $838.5 million and cash balances restricted for our construction and development projects of $40.6 million. Total debt outstanding at the end of the quarter was $2.5 billion, including approximately $1.6 billion of Wynn Las Vegas debt, $224.1 million of Convertible Debentures and $549.2 million of Wynn Macau-related debt. Capital expenditures during the second quarter of 2007, net of changes in construction payables and retention, totaled approximately $232 million, primarily attributable to Encore.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7, 2007, our Board of Directors authorized an equity repurchase program of up to $1.2 billion including purchases of both our common stock and our 6% Convertible Debentures due 2015. The repurchase program may include repurchases from time to time through open market purchases or negotiated transactions, depending upon market conditions.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15, 2007, the Company announced that it had called for redemption on July 20, 2007, all of the outstanding principal amount of its 6% Convertible Subordinated Debentures due 2015. Prior to redemption in July 2007, all of the holders converted their Debentures into shares of the Company’s common stock at a conversion price of $23 per share (a conversion rate of approximately 43.4782 shares per $1,000 principal amount of Debentures). Cash was paid in lieu of fractional shares. As a result, $224.1 million principal amount of the debentures were converted into 9,744,680 shares of our common stock. Accordingly, in July 2007, long term debt has been reduced by $224.1 million, equity has been increased by $218.9 million, and deferred financing costs were reduced by approximately $5.2 million.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83"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The Company will hold a conference call to discuss its results on Monday, August 6</w:t>
      </w:r>
      <w:r>
        <w:rPr>
          <w:rFonts w:ascii="Arial" w:cs="Arial" w:eastAsia="Arial" w:hAnsi="Arial"/>
          <w:sz w:val="23"/>
          <w:szCs w:val="23"/>
          <w:color w:val="auto"/>
          <w:vertAlign w:val="superscript"/>
        </w:rPr>
        <w:t>th</w:t>
      </w:r>
      <w:r>
        <w:rPr>
          <w:rFonts w:ascii="Arial" w:cs="Arial" w:eastAsia="Arial" w:hAnsi="Arial"/>
          <w:sz w:val="18"/>
          <w:szCs w:val="18"/>
          <w:color w:val="auto"/>
        </w:rPr>
        <w:t>, 2007 at 2:00 p.m. PT (5:00 p.m. ET). Interested parties are invited to join the call by accessing a live audio webcast at http://www.wynnresorts.com (Investor Relations).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is included in the Company's Annual Report on Form 10-K for the year ended December 31, 2006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83" w:lineRule="exact"/>
        <w:rPr>
          <w:sz w:val="20"/>
          <w:szCs w:val="20"/>
          <w:color w:val="auto"/>
        </w:rPr>
      </w:pPr>
    </w:p>
    <w:p>
      <w:pPr>
        <w:jc w:val="both"/>
        <w:ind w:firstLine="8"/>
        <w:spacing w:after="0" w:line="273" w:lineRule="auto"/>
        <w:tabs>
          <w:tab w:leader="none" w:pos="268"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income (loss) is net income (loss) before pre-opening costs, property charges and other, and other non-cash non-operating income and expenses. Adjusted net income (loss) and adjusted net income (loss) per share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(loss) and adjusted net income (loss) per share may be different from the calculation methods used by other companies and, therefore, comparability may be limited.</w:t>
      </w:r>
    </w:p>
    <w:p>
      <w:pPr>
        <w:spacing w:after="0" w:line="232" w:lineRule="exact"/>
        <w:rPr>
          <w:rFonts w:ascii="Arial" w:cs="Arial" w:eastAsia="Arial" w:hAnsi="Arial"/>
          <w:sz w:val="17"/>
          <w:szCs w:val="17"/>
          <w:color w:val="auto"/>
        </w:rPr>
      </w:pPr>
    </w:p>
    <w:p>
      <w:pPr>
        <w:jc w:val="both"/>
        <w:ind w:firstLine="8"/>
        <w:spacing w:after="0" w:line="267" w:lineRule="auto"/>
        <w:tabs>
          <w:tab w:leader="none" w:pos="282"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property EBITDA” is earnings before interest, taxes, depreciation, amortization, pre-opening costs, property charges and other, corporate expenses, stock-based compensation, contract termination fee,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ectPr>
          <w:pgSz w:w="11900" w:h="16838" w:orient="portrait"/>
          <w:cols w:equalWidth="0" w:num="1">
            <w:col w:w="11420"/>
          </w:cols>
          <w:pgMar w:left="240" w:top="391" w:right="239" w:bottom="17"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7" w:gutter="0" w:footer="0" w:header="0"/>
          <w:type w:val="continuous"/>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to adjusted net income (loss), and (ii) operating income (loss) to adjusted property EBITDA and adjusted property EBITDA to net income (loss).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27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Operating revenues:</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Casino</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491,825</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113,527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949,017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240,041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Rooms</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87,797</w:t>
            </w: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69,222</w:t>
            </w: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173,088</w:t>
            </w: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137,399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92,226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77,686</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180,109</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152,320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Entertainment, retail and other</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62,661</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49,389</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114,866</w:t>
            </w: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640"/>
              <w:spacing w:after="0"/>
              <w:rPr>
                <w:sz w:val="20"/>
                <w:szCs w:val="20"/>
                <w:color w:val="auto"/>
              </w:rPr>
            </w:pPr>
            <w:r>
              <w:rPr>
                <w:rFonts w:ascii="Arial" w:cs="Arial" w:eastAsia="Arial" w:hAnsi="Arial"/>
                <w:sz w:val="18"/>
                <w:szCs w:val="18"/>
                <w:color w:val="auto"/>
              </w:rPr>
              <w:t>Gross revenues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734,509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309,824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1,417,080</w:t>
            </w:r>
          </w:p>
        </w:tc>
        <w:tc>
          <w:tcPr>
            <w:tcW w:w="3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628,106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promotional allowances</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(46,968)</w:t>
            </w: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(36,454)</w:t>
            </w: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(94,222)</w:t>
            </w: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(77,511)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640"/>
              <w:spacing w:after="0"/>
              <w:rPr>
                <w:sz w:val="20"/>
                <w:szCs w:val="20"/>
                <w:color w:val="auto"/>
              </w:rPr>
            </w:pPr>
            <w:r>
              <w:rPr>
                <w:rFonts w:ascii="Arial" w:cs="Arial" w:eastAsia="Arial" w:hAnsi="Arial"/>
                <w:sz w:val="18"/>
                <w:szCs w:val="18"/>
                <w:color w:val="auto"/>
              </w:rPr>
              <w:t>Net revenues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687,541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273,370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1,322,858</w:t>
            </w:r>
          </w:p>
        </w:tc>
        <w:tc>
          <w:tcPr>
            <w:tcW w:w="3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550,595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6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4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Casino</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289,668</w:t>
            </w: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57,920</w:t>
            </w: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554,393</w:t>
            </w: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121,156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Rooms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21,365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18,140</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42,341</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35,125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Food and beverage</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54,953</w:t>
            </w: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49,423</w:t>
            </w: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109,208</w:t>
            </w: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94,182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41,446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34,112</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76,547</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66,626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74,294</w:t>
            </w: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49,011</w:t>
            </w: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152,460</w:t>
            </w: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95,976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14,362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3,646</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22,103</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Pre-opening costs</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889</w:t>
            </w: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17,028</w:t>
            </w: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2,725</w:t>
            </w: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25,974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51,902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40,542</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103,426</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82,327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Contract termination fee</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13,021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2,376</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26,290</w:t>
            </w:r>
          </w:p>
        </w:tc>
        <w:tc>
          <w:tcPr>
            <w:tcW w:w="34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561,900</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272,198</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1,089,493</w:t>
            </w:r>
          </w:p>
        </w:tc>
        <w:tc>
          <w:tcPr>
            <w:tcW w:w="34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540,266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Equity in income from unconsolidated affiliates</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511</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967</w:t>
            </w: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4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126,153</w:t>
            </w: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1,683</w:t>
            </w: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234,332</w:t>
            </w: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and other income</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10,408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9,617</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22,508</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 net of capitalized interest</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(35,460)</w:t>
            </w: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(35,307)</w:t>
            </w: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(73,133)</w:t>
            </w: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(71,250)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Increase in swap fair value</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2,334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4,246</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1,859</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Loss from extinguishment of debt</w:t>
            </w:r>
          </w:p>
        </w:tc>
        <w:tc>
          <w:tcPr>
            <w:tcW w:w="3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(157)</w:t>
            </w: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(22,718)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(21,444)</w:t>
            </w:r>
          </w:p>
        </w:tc>
        <w:tc>
          <w:tcPr>
            <w:tcW w:w="3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(48,923)</w:t>
            </w:r>
          </w:p>
        </w:tc>
        <w:tc>
          <w:tcPr>
            <w:tcW w:w="3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(42,610)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6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4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103,435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(19,761)</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185,409</w:t>
            </w:r>
          </w:p>
        </w:tc>
        <w:tc>
          <w:tcPr>
            <w:tcW w:w="3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(31,195)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(13,885)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(37,454)</w:t>
            </w:r>
          </w:p>
        </w:tc>
        <w:tc>
          <w:tcPr>
            <w:tcW w:w="3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6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4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89,550</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(20,070)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147,955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0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Basic and diluted income (loss) per common share:</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0.88</w:t>
            </w:r>
          </w:p>
        </w:tc>
        <w:tc>
          <w:tcPr>
            <w:tcW w:w="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(0.20)</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0.82</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101,214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99,830</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101,307</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99,286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112,111</w:t>
            </w: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99,830</w:t>
            </w: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112,237</w:t>
            </w: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99,286</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right="260"/>
        <w:spacing w:after="0" w:line="287" w:lineRule="auto"/>
        <w:rPr>
          <w:sz w:val="20"/>
          <w:szCs w:val="20"/>
          <w:color w:val="auto"/>
        </w:rPr>
      </w:pPr>
      <w:r>
        <w:rPr>
          <w:rFonts w:ascii="Arial" w:cs="Arial" w:eastAsia="Arial" w:hAnsi="Arial"/>
          <w:sz w:val="14"/>
          <w:szCs w:val="14"/>
          <w:color w:val="auto"/>
        </w:rPr>
        <w:t>Note: * Diluted earnings per share for the three and six months ended June 30, 2007 includes the assumption that the convertible subordinated debentures were converted into shares of common stock. Accordingly, net income used in the computation of diluted earnings per share is increased by approximately $2.3 million and $4.6 million, respectively, of net interest attributable to these debentures for the quarter and six months ended June 30, 2007.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6" w:right="239" w:bottom="464"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(LOSS)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ADJUSTED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27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1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5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89,550</w:t>
            </w:r>
          </w:p>
        </w:tc>
        <w:tc>
          <w:tcPr>
            <w:tcW w:w="140" w:type="dxa"/>
            <w:vAlign w:val="bottom"/>
            <w:shd w:val="clear" w:color="auto" w:fill="CCFFCC"/>
          </w:tcPr>
          <w:p>
            <w:pPr>
              <w:spacing w:after="0"/>
              <w:rPr>
                <w:sz w:val="21"/>
                <w:szCs w:val="21"/>
                <w:color w:val="auto"/>
              </w:rPr>
            </w:pPr>
          </w:p>
        </w:tc>
        <w:tc>
          <w:tcPr>
            <w:tcW w:w="4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(20,070)</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147,955</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(31,504)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Pre-opening costs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17,028</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2,725</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25,974</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Loss from the extinguishment of debt</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157</w:t>
            </w: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Increase in swap fair value</w:t>
            </w: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(2,334)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(4,246)</w:t>
            </w: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(1,859)</w:t>
            </w:r>
          </w:p>
        </w:tc>
        <w:tc>
          <w:tcPr>
            <w:tcW w:w="3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(10,591)</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Property charges and other</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13,021</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2,376</w:t>
            </w: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26,290</w:t>
            </w: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7,325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Adjustment for income taxes</w:t>
            </w: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(1,855)</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Adjusted net income (loss)(1)</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100,774</w:t>
            </w:r>
          </w:p>
        </w:tc>
        <w:tc>
          <w:tcPr>
            <w:tcW w:w="14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(4,912)</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173,413</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(8,796)</w:t>
            </w:r>
          </w:p>
        </w:tc>
      </w:tr>
      <w:tr>
        <w:trPr>
          <w:trHeight w:val="224"/>
        </w:trPr>
        <w:tc>
          <w:tcPr>
            <w:tcW w:w="516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50"/>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Adjusted net income (loss) per diluted share*</w:t>
            </w:r>
          </w:p>
        </w:tc>
        <w:tc>
          <w:tcPr>
            <w:tcW w:w="300" w:type="dxa"/>
            <w:vAlign w:val="bottom"/>
            <w:tcBorders>
              <w:bottom w:val="single" w:sz="8" w:color="CCFFCC"/>
            </w:tcBorders>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0.92</w:t>
            </w:r>
          </w:p>
        </w:tc>
        <w:tc>
          <w:tcPr>
            <w:tcW w:w="14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(0.05)</w:t>
            </w:r>
          </w:p>
        </w:tc>
        <w:tc>
          <w:tcPr>
            <w:tcW w:w="30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1.59</w:t>
            </w:r>
          </w:p>
        </w:tc>
        <w:tc>
          <w:tcPr>
            <w:tcW w:w="34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(0.09)</w:t>
            </w:r>
          </w:p>
        </w:tc>
      </w:tr>
      <w:tr>
        <w:trPr>
          <w:trHeight w:val="20"/>
        </w:trPr>
        <w:tc>
          <w:tcPr>
            <w:tcW w:w="516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65" w:lineRule="exact"/>
        <w:rPr>
          <w:sz w:val="20"/>
          <w:szCs w:val="20"/>
          <w:color w:val="auto"/>
        </w:rPr>
      </w:pPr>
    </w:p>
    <w:p>
      <w:pPr>
        <w:ind w:right="320"/>
        <w:spacing w:after="0" w:line="319" w:lineRule="auto"/>
        <w:rPr>
          <w:sz w:val="20"/>
          <w:szCs w:val="20"/>
          <w:color w:val="auto"/>
        </w:rPr>
      </w:pPr>
      <w:r>
        <w:rPr>
          <w:rFonts w:ascii="Arial" w:cs="Arial" w:eastAsia="Arial" w:hAnsi="Arial"/>
          <w:sz w:val="13"/>
          <w:szCs w:val="13"/>
          <w:color w:val="auto"/>
        </w:rPr>
        <w:t>Note: * Diluted adjusted net income per share for the three months ended June 30, 2007 and the six months ended June 30, 2007, includes the assumption that the convertible debentures were converted into shares of common stock. Accordingly, adjusted net income used in the computation of diluted adjusted net income per share for the three months ended June 30, 2007 and the six months ended June 30, 2007, is increased by approximately $2.3 million and $4.6 million, respectively, of net interest attributable to these debentures.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PROPERTY EBITDA TO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w w:val="90"/>
              </w:rPr>
              <w:t>Three Months Ended June 30, 2007</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4"/>
              </w:rPr>
              <w:t>Wynn Las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1"/>
              </w:rPr>
              <w:t>Corporate and</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Vegas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Wynn Macau</w:t>
            </w:r>
          </w:p>
        </w:tc>
        <w:tc>
          <w:tcPr>
            <w:tcW w:w="120" w:type="dxa"/>
            <w:vAlign w:val="bottom"/>
          </w:tcPr>
          <w:p>
            <w:pPr>
              <w:spacing w:after="0"/>
              <w:rPr>
                <w:sz w:val="20"/>
                <w:szCs w:val="20"/>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37"/>
        </w:trPr>
        <w:tc>
          <w:tcPr>
            <w:tcW w:w="5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63,420</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53,220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9,513</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126,153</w:t>
            </w: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Pre-opening costs</w:t>
            </w:r>
          </w:p>
        </w:tc>
        <w:tc>
          <w:tcPr>
            <w:tcW w:w="1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889</w:t>
            </w: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36,517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14,526</w:t>
            </w: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859</w:t>
            </w: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51,902</w:t>
            </w:r>
          </w:p>
        </w:tc>
      </w:tr>
      <w:tr>
        <w:trPr>
          <w:trHeight w:val="243"/>
        </w:trPr>
        <w:tc>
          <w:tcPr>
            <w:tcW w:w="51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Property charges and other</w:t>
            </w:r>
          </w:p>
        </w:tc>
        <w:tc>
          <w:tcPr>
            <w:tcW w:w="1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12,424</w:t>
            </w:r>
          </w:p>
        </w:tc>
        <w:tc>
          <w:tcPr>
            <w:tcW w:w="1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13,021</w:t>
            </w: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Management fees and royalties</w:t>
            </w:r>
          </w:p>
        </w:tc>
        <w:tc>
          <w:tcPr>
            <w:tcW w:w="1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5,038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(9,519)</w:t>
            </w: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Corporate expenses and other</w:t>
            </w:r>
          </w:p>
        </w:tc>
        <w:tc>
          <w:tcPr>
            <w:tcW w:w="1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6,731</w:t>
            </w: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7,390</w:t>
            </w:r>
          </w:p>
        </w:tc>
        <w:tc>
          <w:tcPr>
            <w:tcW w:w="1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(3,010)</w:t>
            </w:r>
          </w:p>
        </w:tc>
        <w:tc>
          <w:tcPr>
            <w:tcW w:w="2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11,111</w:t>
            </w: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2,156</w:t>
            </w: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4,881</w:t>
            </w:r>
          </w:p>
        </w:tc>
      </w:tr>
      <w:tr>
        <w:trPr>
          <w:trHeight w:val="270"/>
        </w:trPr>
        <w:tc>
          <w:tcPr>
            <w:tcW w:w="516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auto"/>
            </w:tcBorders>
            <w:shd w:val="clear" w:color="auto" w:fill="CCFFCC"/>
          </w:tcPr>
          <w:p>
            <w:pPr>
              <w:spacing w:after="0"/>
              <w:rPr>
                <w:sz w:val="23"/>
                <w:szCs w:val="23"/>
                <w:color w:val="auto"/>
              </w:rPr>
            </w:pPr>
          </w:p>
        </w:tc>
        <w:tc>
          <w:tcPr>
            <w:tcW w:w="120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1280" w:type="dxa"/>
            <w:vAlign w:val="bottom"/>
            <w:tcBorders>
              <w:bottom w:val="single" w:sz="8" w:color="auto"/>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1260" w:type="dxa"/>
            <w:vAlign w:val="bottom"/>
            <w:tcBorders>
              <w:bottom w:val="single" w:sz="8" w:color="auto"/>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auto"/>
            </w:tcBorders>
            <w:shd w:val="clear" w:color="auto" w:fill="CCFFCC"/>
          </w:tcPr>
          <w:p>
            <w:pPr>
              <w:spacing w:after="0"/>
              <w:rPr>
                <w:sz w:val="23"/>
                <w:szCs w:val="23"/>
                <w:color w:val="auto"/>
              </w:rPr>
            </w:pPr>
          </w:p>
        </w:tc>
        <w:tc>
          <w:tcPr>
            <w:tcW w:w="108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r>
      <w:tr>
        <w:trPr>
          <w:trHeight w:val="237"/>
        </w:trPr>
        <w:tc>
          <w:tcPr>
            <w:tcW w:w="5160" w:type="dxa"/>
            <w:vAlign w:val="bottom"/>
          </w:tcPr>
          <w:p>
            <w:pPr>
              <w:spacing w:after="0" w:line="236"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3"/>
                <w:szCs w:val="23"/>
                <w:b w:val="1"/>
                <w:bCs w:val="1"/>
                <w:color w:val="auto"/>
                <w:vertAlign w:val="superscript"/>
              </w:rPr>
              <w:t>(2)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115,300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92,657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207,957</w:t>
            </w:r>
          </w:p>
        </w:tc>
      </w:tr>
      <w:tr>
        <w:trPr>
          <w:trHeight w:val="20"/>
        </w:trPr>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w w:val="91"/>
              </w:rPr>
              <w:t>Three Months Ended June 30, 2006</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8"/>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Wynn Las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Corporate and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Vegas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Wynn Macau</w:t>
            </w:r>
          </w:p>
        </w:tc>
        <w:tc>
          <w:tcPr>
            <w:tcW w:w="14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37"/>
        </w:trPr>
        <w:tc>
          <w:tcPr>
            <w:tcW w:w="5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22,140</w:t>
            </w:r>
          </w:p>
        </w:tc>
        <w:tc>
          <w:tcPr>
            <w:tcW w:w="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(20,476)</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1,683</w:t>
            </w:r>
          </w:p>
        </w:tc>
      </w:tr>
      <w:tr>
        <w:trPr>
          <w:trHeight w:val="243"/>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16,852</w:t>
            </w:r>
          </w:p>
        </w:tc>
        <w:tc>
          <w:tcPr>
            <w:tcW w:w="14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17,028</w:t>
            </w: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37,618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2,131</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793</w:t>
            </w: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40,542</w:t>
            </w:r>
          </w:p>
        </w:tc>
      </w:tr>
      <w:tr>
        <w:trPr>
          <w:trHeight w:val="243"/>
        </w:trPr>
        <w:tc>
          <w:tcPr>
            <w:tcW w:w="51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Property charges and other</w:t>
            </w: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2,376</w:t>
            </w: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2,376</w:t>
            </w: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Management fees and royalties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(5,626)</w:t>
            </w: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Corporate expenses and other</w:t>
            </w: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4,855</w:t>
            </w: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3,205</w:t>
            </w:r>
          </w:p>
        </w:tc>
        <w:tc>
          <w:tcPr>
            <w:tcW w:w="3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8,053</w:t>
            </w: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1,609</w:t>
            </w: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3,480</w:t>
            </w:r>
          </w:p>
        </w:tc>
      </w:tr>
      <w:tr>
        <w:trPr>
          <w:trHeight w:val="270"/>
        </w:trPr>
        <w:tc>
          <w:tcPr>
            <w:tcW w:w="516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spacing w:after="0"/>
              <w:rPr>
                <w:sz w:val="23"/>
                <w:szCs w:val="23"/>
                <w:color w:val="auto"/>
              </w:rPr>
            </w:pPr>
          </w:p>
        </w:tc>
        <w:tc>
          <w:tcPr>
            <w:tcW w:w="1160" w:type="dxa"/>
            <w:vAlign w:val="bottom"/>
            <w:tcBorders>
              <w:bottom w:val="single" w:sz="8" w:color="auto"/>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1260" w:type="dxa"/>
            <w:vAlign w:val="bottom"/>
            <w:tcBorders>
              <w:bottom w:val="single" w:sz="8" w:color="auto"/>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auto"/>
            </w:tcBorders>
            <w:shd w:val="clear" w:color="auto" w:fill="CCFFCC"/>
          </w:tcPr>
          <w:p>
            <w:pPr>
              <w:spacing w:after="0"/>
              <w:rPr>
                <w:sz w:val="23"/>
                <w:szCs w:val="23"/>
                <w:color w:val="auto"/>
              </w:rPr>
            </w:pPr>
          </w:p>
        </w:tc>
        <w:tc>
          <w:tcPr>
            <w:tcW w:w="104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r>
      <w:tr>
        <w:trPr>
          <w:trHeight w:val="237"/>
        </w:trPr>
        <w:tc>
          <w:tcPr>
            <w:tcW w:w="5160" w:type="dxa"/>
            <w:vAlign w:val="bottom"/>
          </w:tcPr>
          <w:p>
            <w:pPr>
              <w:spacing w:after="0" w:line="236"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3"/>
                <w:szCs w:val="23"/>
                <w:b w:val="1"/>
                <w:bCs w:val="1"/>
                <w:color w:val="auto"/>
                <w:vertAlign w:val="superscript"/>
              </w:rPr>
              <w:t>(2)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73,162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73,162</w:t>
            </w: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5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5715</wp:posOffset>
            </wp:positionV>
            <wp:extent cx="19380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37"/>
        </w:trPr>
        <w:tc>
          <w:tcPr>
            <w:tcW w:w="8360" w:type="dxa"/>
            <w:vAlign w:val="bottom"/>
            <w:shd w:val="clear" w:color="auto" w:fill="CCFFCC"/>
          </w:tcPr>
          <w:p>
            <w:pPr>
              <w:spacing w:after="0" w:line="236"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3"/>
                <w:szCs w:val="23"/>
                <w:b w:val="1"/>
                <w:bCs w:val="1"/>
                <w:color w:val="auto"/>
                <w:vertAlign w:val="superscript"/>
              </w:rPr>
              <w:t>(2)</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207,957</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73,162</w:t>
            </w:r>
          </w:p>
        </w:tc>
      </w:tr>
      <w:tr>
        <w:trPr>
          <w:trHeight w:val="243"/>
        </w:trPr>
        <w:tc>
          <w:tcPr>
            <w:tcW w:w="8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Pre-opening costs</w:t>
            </w:r>
          </w:p>
        </w:tc>
        <w:tc>
          <w:tcPr>
            <w:tcW w:w="34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(889)</w:t>
            </w:r>
          </w:p>
        </w:tc>
        <w:tc>
          <w:tcPr>
            <w:tcW w:w="3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(17,028)</w:t>
            </w:r>
          </w:p>
        </w:tc>
      </w:tr>
      <w:tr>
        <w:trPr>
          <w:trHeight w:val="243"/>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(51,902)</w:t>
            </w: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(40,542)</w:t>
            </w:r>
          </w:p>
        </w:tc>
      </w:tr>
      <w:tr>
        <w:trPr>
          <w:trHeight w:val="243"/>
        </w:trPr>
        <w:tc>
          <w:tcPr>
            <w:tcW w:w="83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Property charges and other</w:t>
            </w:r>
          </w:p>
        </w:tc>
        <w:tc>
          <w:tcPr>
            <w:tcW w:w="34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(13,021)</w:t>
            </w:r>
          </w:p>
        </w:tc>
        <w:tc>
          <w:tcPr>
            <w:tcW w:w="3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(2,376)</w:t>
            </w:r>
          </w:p>
        </w:tc>
      </w:tr>
      <w:tr>
        <w:trPr>
          <w:trHeight w:val="243"/>
        </w:trPr>
        <w:tc>
          <w:tcPr>
            <w:tcW w:w="8360" w:type="dxa"/>
            <w:vAlign w:val="bottom"/>
          </w:tcPr>
          <w:p>
            <w:pPr>
              <w:ind w:left="220"/>
              <w:spacing w:after="0"/>
              <w:rPr>
                <w:sz w:val="20"/>
                <w:szCs w:val="20"/>
                <w:color w:val="auto"/>
              </w:rPr>
            </w:pPr>
            <w:r>
              <w:rPr>
                <w:rFonts w:ascii="Arial" w:cs="Arial" w:eastAsia="Arial" w:hAnsi="Arial"/>
                <w:sz w:val="18"/>
                <w:szCs w:val="18"/>
                <w:color w:val="auto"/>
              </w:rPr>
              <w:t>Corporate expenses and other</w:t>
            </w:r>
          </w:p>
        </w:tc>
        <w:tc>
          <w:tcPr>
            <w:tcW w:w="3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(11,111)</w:t>
            </w: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(8,053)</w:t>
            </w:r>
          </w:p>
        </w:tc>
      </w:tr>
      <w:tr>
        <w:trPr>
          <w:trHeight w:val="243"/>
        </w:trPr>
        <w:tc>
          <w:tcPr>
            <w:tcW w:w="83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(4,881)</w:t>
            </w:r>
          </w:p>
        </w:tc>
        <w:tc>
          <w:tcPr>
            <w:tcW w:w="3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(3,480)</w:t>
            </w:r>
          </w:p>
        </w:tc>
      </w:tr>
      <w:tr>
        <w:trPr>
          <w:trHeight w:val="243"/>
        </w:trPr>
        <w:tc>
          <w:tcPr>
            <w:tcW w:w="8360" w:type="dxa"/>
            <w:vAlign w:val="bottom"/>
          </w:tcPr>
          <w:p>
            <w:pPr>
              <w:ind w:left="220"/>
              <w:spacing w:after="0"/>
              <w:rPr>
                <w:sz w:val="20"/>
                <w:szCs w:val="20"/>
                <w:color w:val="auto"/>
              </w:rPr>
            </w:pPr>
            <w:r>
              <w:rPr>
                <w:rFonts w:ascii="Arial" w:cs="Arial" w:eastAsia="Arial" w:hAnsi="Arial"/>
                <w:sz w:val="18"/>
                <w:szCs w:val="18"/>
                <w:color w:val="auto"/>
              </w:rPr>
              <w:t>Interest and other income</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10,408</w:t>
            </w: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9,617</w:t>
            </w:r>
          </w:p>
        </w:tc>
      </w:tr>
      <w:tr>
        <w:trPr>
          <w:trHeight w:val="243"/>
        </w:trPr>
        <w:tc>
          <w:tcPr>
            <w:tcW w:w="83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(35,460)</w:t>
            </w:r>
          </w:p>
        </w:tc>
        <w:tc>
          <w:tcPr>
            <w:tcW w:w="3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(35,307)</w:t>
            </w:r>
          </w:p>
        </w:tc>
      </w:tr>
      <w:tr>
        <w:trPr>
          <w:trHeight w:val="243"/>
        </w:trPr>
        <w:tc>
          <w:tcPr>
            <w:tcW w:w="8360" w:type="dxa"/>
            <w:vAlign w:val="bottom"/>
          </w:tcPr>
          <w:p>
            <w:pPr>
              <w:ind w:left="220"/>
              <w:spacing w:after="0"/>
              <w:rPr>
                <w:sz w:val="20"/>
                <w:szCs w:val="20"/>
                <w:color w:val="auto"/>
              </w:rPr>
            </w:pPr>
            <w:r>
              <w:rPr>
                <w:rFonts w:ascii="Arial" w:cs="Arial" w:eastAsia="Arial" w:hAnsi="Arial"/>
                <w:sz w:val="18"/>
                <w:szCs w:val="18"/>
                <w:color w:val="auto"/>
              </w:rPr>
              <w:t>Increase in swap fair value</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2,334</w:t>
            </w: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4,246</w:t>
            </w:r>
          </w:p>
        </w:tc>
      </w:tr>
      <w:tr>
        <w:trPr>
          <w:trHeight w:val="243"/>
        </w:trPr>
        <w:tc>
          <w:tcPr>
            <w:tcW w:w="83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(13,885)</w:t>
            </w:r>
          </w:p>
        </w:tc>
        <w:tc>
          <w:tcPr>
            <w:tcW w:w="3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(309)</w:t>
            </w:r>
          </w:p>
        </w:tc>
      </w:tr>
      <w:tr>
        <w:trPr>
          <w:trHeight w:val="270"/>
        </w:trPr>
        <w:tc>
          <w:tcPr>
            <w:tcW w:w="83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89,550</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(20,070)</w:t>
            </w:r>
          </w:p>
        </w:tc>
      </w:tr>
      <w:tr>
        <w:trPr>
          <w:trHeight w:val="20"/>
        </w:trPr>
        <w:tc>
          <w:tcPr>
            <w:tcW w:w="83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6"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PROPERTY EBITDA TO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w w:val="92"/>
              </w:rPr>
              <w:t>Six Months Ended June 30, 2007</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Wynn Las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1"/>
              </w:rPr>
              <w:t>Corporate and</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Vegas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Wynn Macau</w:t>
            </w:r>
          </w:p>
        </w:tc>
        <w:tc>
          <w:tcPr>
            <w:tcW w:w="120" w:type="dxa"/>
            <w:vAlign w:val="bottom"/>
          </w:tcPr>
          <w:p>
            <w:pPr>
              <w:spacing w:after="0"/>
              <w:rPr>
                <w:sz w:val="20"/>
                <w:szCs w:val="20"/>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37"/>
        </w:trPr>
        <w:tc>
          <w:tcPr>
            <w:tcW w:w="5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122,434</w:t>
            </w:r>
          </w:p>
        </w:tc>
        <w:tc>
          <w:tcPr>
            <w:tcW w:w="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94,277</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17,621</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234,332</w:t>
            </w: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1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Pre-opening costs</w:t>
            </w:r>
          </w:p>
        </w:tc>
        <w:tc>
          <w:tcPr>
            <w:tcW w:w="180" w:type="dxa"/>
            <w:vAlign w:val="bottom"/>
            <w:shd w:val="clear" w:color="auto" w:fill="CCFFCC"/>
          </w:tcPr>
          <w:p>
            <w:pPr>
              <w:spacing w:after="0"/>
              <w:rPr>
                <w:sz w:val="23"/>
                <w:szCs w:val="23"/>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FFCC"/>
          </w:tcPr>
          <w:p>
            <w:pPr>
              <w:spacing w:after="0"/>
              <w:rPr>
                <w:sz w:val="23"/>
                <w:szCs w:val="23"/>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FFCC"/>
          </w:tcPr>
          <w:p>
            <w:pPr>
              <w:spacing w:after="0"/>
              <w:rPr>
                <w:sz w:val="23"/>
                <w:szCs w:val="23"/>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2,725</w:t>
            </w: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72,587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29,159</w:t>
            </w: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1,680</w:t>
            </w:r>
          </w:p>
        </w:tc>
        <w:tc>
          <w:tcPr>
            <w:tcW w:w="28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103,426</w:t>
            </w:r>
          </w:p>
        </w:tc>
      </w:tr>
      <w:tr>
        <w:trPr>
          <w:trHeight w:val="270"/>
        </w:trPr>
        <w:tc>
          <w:tcPr>
            <w:tcW w:w="51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Property charges and other</w:t>
            </w:r>
          </w:p>
        </w:tc>
        <w:tc>
          <w:tcPr>
            <w:tcW w:w="180" w:type="dxa"/>
            <w:vAlign w:val="bottom"/>
            <w:shd w:val="clear" w:color="auto" w:fill="CCFFCC"/>
          </w:tcPr>
          <w:p>
            <w:pPr>
              <w:spacing w:after="0"/>
              <w:rPr>
                <w:sz w:val="23"/>
                <w:szCs w:val="23"/>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1,701</w:t>
            </w:r>
          </w:p>
        </w:tc>
        <w:tc>
          <w:tcPr>
            <w:tcW w:w="2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24,089</w:t>
            </w:r>
          </w:p>
        </w:tc>
        <w:tc>
          <w:tcPr>
            <w:tcW w:w="120" w:type="dxa"/>
            <w:vAlign w:val="bottom"/>
            <w:shd w:val="clear" w:color="auto" w:fill="CCFFCC"/>
          </w:tcPr>
          <w:p>
            <w:pPr>
              <w:spacing w:after="0"/>
              <w:rPr>
                <w:sz w:val="23"/>
                <w:szCs w:val="23"/>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FFCC"/>
          </w:tcPr>
          <w:p>
            <w:pPr>
              <w:spacing w:after="0"/>
              <w:rPr>
                <w:sz w:val="23"/>
                <w:szCs w:val="23"/>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26,290</w:t>
            </w: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Management fees and royalties</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10,022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8,293</w:t>
            </w:r>
          </w:p>
        </w:tc>
        <w:tc>
          <w:tcPr>
            <w:tcW w:w="120" w:type="dxa"/>
            <w:vAlign w:val="bottom"/>
          </w:tcPr>
          <w:p>
            <w:pPr>
              <w:spacing w:after="0"/>
              <w:rPr>
                <w:sz w:val="23"/>
                <w:szCs w:val="23"/>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(18,315)</w:t>
            </w:r>
          </w:p>
        </w:tc>
        <w:tc>
          <w:tcPr>
            <w:tcW w:w="28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Corporate expenses and other</w:t>
            </w:r>
          </w:p>
        </w:tc>
        <w:tc>
          <w:tcPr>
            <w:tcW w:w="180" w:type="dxa"/>
            <w:vAlign w:val="bottom"/>
            <w:shd w:val="clear" w:color="auto" w:fill="CCFFCC"/>
          </w:tcPr>
          <w:p>
            <w:pPr>
              <w:spacing w:after="0"/>
              <w:rPr>
                <w:sz w:val="23"/>
                <w:szCs w:val="23"/>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13,044</w:t>
            </w:r>
          </w:p>
        </w:tc>
        <w:tc>
          <w:tcPr>
            <w:tcW w:w="2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14,422</w:t>
            </w:r>
          </w:p>
        </w:tc>
        <w:tc>
          <w:tcPr>
            <w:tcW w:w="120" w:type="dxa"/>
            <w:vAlign w:val="bottom"/>
            <w:shd w:val="clear" w:color="auto" w:fill="CCFFCC"/>
          </w:tcPr>
          <w:p>
            <w:pPr>
              <w:spacing w:after="0"/>
              <w:rPr>
                <w:sz w:val="23"/>
                <w:szCs w:val="23"/>
                <w:color w:val="auto"/>
              </w:rPr>
            </w:pP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(5,386)</w:t>
            </w:r>
          </w:p>
        </w:tc>
        <w:tc>
          <w:tcPr>
            <w:tcW w:w="280" w:type="dxa"/>
            <w:vAlign w:val="bottom"/>
            <w:shd w:val="clear" w:color="auto" w:fill="CCFFCC"/>
          </w:tcPr>
          <w:p>
            <w:pPr>
              <w:spacing w:after="0"/>
              <w:rPr>
                <w:sz w:val="23"/>
                <w:szCs w:val="23"/>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22,080</w:t>
            </w: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4,388</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3,879</w:t>
            </w:r>
          </w:p>
        </w:tc>
        <w:tc>
          <w:tcPr>
            <w:tcW w:w="28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9,341</w:t>
            </w:r>
          </w:p>
        </w:tc>
      </w:tr>
      <w:tr>
        <w:trPr>
          <w:trHeight w:val="270"/>
        </w:trPr>
        <w:tc>
          <w:tcPr>
            <w:tcW w:w="516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auto"/>
            </w:tcBorders>
            <w:shd w:val="clear" w:color="auto" w:fill="CCFFCC"/>
          </w:tcPr>
          <w:p>
            <w:pPr>
              <w:spacing w:after="0"/>
              <w:rPr>
                <w:sz w:val="23"/>
                <w:szCs w:val="23"/>
                <w:color w:val="auto"/>
              </w:rPr>
            </w:pPr>
          </w:p>
        </w:tc>
        <w:tc>
          <w:tcPr>
            <w:tcW w:w="1200" w:type="dxa"/>
            <w:vAlign w:val="bottom"/>
            <w:tcBorders>
              <w:bottom w:val="single" w:sz="8" w:color="auto"/>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1260" w:type="dxa"/>
            <w:vAlign w:val="bottom"/>
            <w:tcBorders>
              <w:bottom w:val="single" w:sz="8" w:color="auto"/>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auto"/>
            </w:tcBorders>
            <w:shd w:val="clear" w:color="auto" w:fill="CCFFCC"/>
          </w:tcPr>
          <w:p>
            <w:pPr>
              <w:spacing w:after="0"/>
              <w:rPr>
                <w:sz w:val="23"/>
                <w:szCs w:val="23"/>
                <w:color w:val="auto"/>
              </w:rPr>
            </w:pPr>
          </w:p>
        </w:tc>
        <w:tc>
          <w:tcPr>
            <w:tcW w:w="108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r>
      <w:tr>
        <w:trPr>
          <w:trHeight w:val="237"/>
        </w:trPr>
        <w:tc>
          <w:tcPr>
            <w:tcW w:w="5160" w:type="dxa"/>
            <w:vAlign w:val="bottom"/>
          </w:tcPr>
          <w:p>
            <w:pPr>
              <w:spacing w:after="0" w:line="236"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3"/>
                <w:szCs w:val="23"/>
                <w:b w:val="1"/>
                <w:bCs w:val="1"/>
                <w:color w:val="auto"/>
                <w:vertAlign w:val="superscript"/>
              </w:rPr>
              <w:t>(2)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226,527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171,667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398,194</w:t>
            </w:r>
          </w:p>
        </w:tc>
      </w:tr>
      <w:tr>
        <w:trPr>
          <w:trHeight w:val="20"/>
        </w:trPr>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93"/>
              </w:rPr>
              <w:t>Six Months Ended June 30, 2006</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4"/>
              </w:rPr>
              <w:t>Wynn Las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4"/>
              </w:rPr>
              <w:t>Corporate and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Vegas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Wynn Macau</w:t>
            </w:r>
          </w:p>
        </w:tc>
        <w:tc>
          <w:tcPr>
            <w:tcW w:w="14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37"/>
        </w:trPr>
        <w:tc>
          <w:tcPr>
            <w:tcW w:w="5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44,388</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(32,983)</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11,415</w:t>
            </w:r>
          </w:p>
        </w:tc>
      </w:tr>
      <w:tr>
        <w:trPr>
          <w:trHeight w:val="243"/>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1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shd w:val="clear" w:color="auto" w:fill="CCFFCC"/>
          </w:tcPr>
          <w:p>
            <w:pPr>
              <w:spacing w:after="0"/>
              <w:rPr>
                <w:sz w:val="23"/>
                <w:szCs w:val="23"/>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25,775</w:t>
            </w:r>
          </w:p>
        </w:tc>
        <w:tc>
          <w:tcPr>
            <w:tcW w:w="140" w:type="dxa"/>
            <w:vAlign w:val="bottom"/>
            <w:shd w:val="clear" w:color="auto" w:fill="CCFFCC"/>
          </w:tcPr>
          <w:p>
            <w:pPr>
              <w:spacing w:after="0"/>
              <w:rPr>
                <w:sz w:val="23"/>
                <w:szCs w:val="23"/>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FFCC"/>
          </w:tcPr>
          <w:p>
            <w:pPr>
              <w:spacing w:after="0"/>
              <w:rPr>
                <w:sz w:val="23"/>
                <w:szCs w:val="23"/>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25,974</w:t>
            </w: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76,568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4,208</w:t>
            </w:r>
          </w:p>
        </w:tc>
        <w:tc>
          <w:tcPr>
            <w:tcW w:w="14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1,551</w:t>
            </w:r>
          </w:p>
        </w:tc>
        <w:tc>
          <w:tcPr>
            <w:tcW w:w="32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82,327</w:t>
            </w:r>
          </w:p>
        </w:tc>
      </w:tr>
      <w:tr>
        <w:trPr>
          <w:trHeight w:val="270"/>
        </w:trPr>
        <w:tc>
          <w:tcPr>
            <w:tcW w:w="51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Property charges and other</w:t>
            </w:r>
          </w:p>
        </w:tc>
        <w:tc>
          <w:tcPr>
            <w:tcW w:w="220" w:type="dxa"/>
            <w:vAlign w:val="bottom"/>
            <w:shd w:val="clear" w:color="auto" w:fill="CCFFCC"/>
          </w:tcPr>
          <w:p>
            <w:pPr>
              <w:spacing w:after="0"/>
              <w:rPr>
                <w:sz w:val="23"/>
                <w:szCs w:val="23"/>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7,325</w:t>
            </w:r>
          </w:p>
        </w:tc>
        <w:tc>
          <w:tcPr>
            <w:tcW w:w="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3"/>
                <w:szCs w:val="23"/>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23"/>
                <w:szCs w:val="23"/>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7,325</w:t>
            </w: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Contract termination fee</w:t>
            </w:r>
          </w:p>
        </w:tc>
        <w:tc>
          <w:tcPr>
            <w:tcW w:w="22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70"/>
        </w:trPr>
        <w:tc>
          <w:tcPr>
            <w:tcW w:w="51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Management fees and royalties</w:t>
            </w:r>
          </w:p>
        </w:tc>
        <w:tc>
          <w:tcPr>
            <w:tcW w:w="220" w:type="dxa"/>
            <w:vAlign w:val="bottom"/>
            <w:shd w:val="clear" w:color="auto" w:fill="CCFFCC"/>
          </w:tcPr>
          <w:p>
            <w:pPr>
              <w:spacing w:after="0"/>
              <w:rPr>
                <w:sz w:val="23"/>
                <w:szCs w:val="23"/>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8,286</w:t>
            </w:r>
          </w:p>
        </w:tc>
        <w:tc>
          <w:tcPr>
            <w:tcW w:w="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FFCC"/>
          </w:tcPr>
          <w:p>
            <w:pPr>
              <w:spacing w:after="0"/>
              <w:rPr>
                <w:sz w:val="23"/>
                <w:szCs w:val="23"/>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(11,286)</w:t>
            </w:r>
          </w:p>
        </w:tc>
        <w:tc>
          <w:tcPr>
            <w:tcW w:w="320" w:type="dxa"/>
            <w:vAlign w:val="bottom"/>
            <w:shd w:val="clear" w:color="auto" w:fill="CCFFCC"/>
          </w:tcPr>
          <w:p>
            <w:pPr>
              <w:spacing w:after="0"/>
              <w:rPr>
                <w:sz w:val="23"/>
                <w:szCs w:val="23"/>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Corporate expenses and other</w:t>
            </w:r>
          </w:p>
        </w:tc>
        <w:tc>
          <w:tcPr>
            <w:tcW w:w="22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6,503</w:t>
            </w:r>
          </w:p>
        </w:tc>
        <w:tc>
          <w:tcPr>
            <w:tcW w:w="32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15,370</w:t>
            </w:r>
          </w:p>
        </w:tc>
      </w:tr>
      <w:tr>
        <w:trPr>
          <w:trHeight w:val="270"/>
        </w:trPr>
        <w:tc>
          <w:tcPr>
            <w:tcW w:w="51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FFCC"/>
          </w:tcPr>
          <w:p>
            <w:pPr>
              <w:spacing w:after="0"/>
              <w:rPr>
                <w:sz w:val="23"/>
                <w:szCs w:val="23"/>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3,657</w:t>
            </w:r>
          </w:p>
        </w:tc>
        <w:tc>
          <w:tcPr>
            <w:tcW w:w="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3"/>
                <w:szCs w:val="23"/>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3,217</w:t>
            </w:r>
          </w:p>
        </w:tc>
        <w:tc>
          <w:tcPr>
            <w:tcW w:w="320" w:type="dxa"/>
            <w:vAlign w:val="bottom"/>
            <w:shd w:val="clear" w:color="auto" w:fill="CCFFCC"/>
          </w:tcPr>
          <w:p>
            <w:pPr>
              <w:spacing w:after="0"/>
              <w:rPr>
                <w:sz w:val="23"/>
                <w:szCs w:val="23"/>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6,874</w:t>
            </w:r>
          </w:p>
        </w:tc>
      </w:tr>
      <w:tr>
        <w:trPr>
          <w:trHeight w:val="270"/>
        </w:trPr>
        <w:tc>
          <w:tcPr>
            <w:tcW w:w="5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5160" w:type="dxa"/>
            <w:vAlign w:val="bottom"/>
            <w:shd w:val="clear" w:color="auto" w:fill="CCFFCC"/>
          </w:tcPr>
          <w:p>
            <w:pPr>
              <w:spacing w:after="0" w:line="236"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3"/>
                <w:szCs w:val="23"/>
                <w:b w:val="1"/>
                <w:bCs w:val="1"/>
                <w:color w:val="auto"/>
                <w:vertAlign w:val="superscript"/>
              </w:rPr>
              <w:t>(2)</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154,285</w:t>
            </w: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154,285</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95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5715</wp:posOffset>
            </wp:positionV>
            <wp:extent cx="1938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37"/>
        </w:trPr>
        <w:tc>
          <w:tcPr>
            <w:tcW w:w="8360" w:type="dxa"/>
            <w:vAlign w:val="bottom"/>
          </w:tcPr>
          <w:p>
            <w:pPr>
              <w:spacing w:after="0" w:line="236"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3"/>
                <w:szCs w:val="23"/>
                <w:b w:val="1"/>
                <w:bCs w:val="1"/>
                <w:color w:val="auto"/>
                <w:vertAlign w:val="superscript"/>
              </w:rPr>
              <w:t>(2)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398,194</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154,285</w:t>
            </w:r>
          </w:p>
        </w:tc>
      </w:tr>
      <w:tr>
        <w:trPr>
          <w:trHeight w:val="243"/>
        </w:trPr>
        <w:tc>
          <w:tcPr>
            <w:tcW w:w="836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836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34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(2,725)</w:t>
            </w:r>
          </w:p>
        </w:tc>
        <w:tc>
          <w:tcPr>
            <w:tcW w:w="32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(25,974)</w:t>
            </w:r>
          </w:p>
        </w:tc>
      </w:tr>
      <w:tr>
        <w:trPr>
          <w:trHeight w:val="270"/>
        </w:trPr>
        <w:tc>
          <w:tcPr>
            <w:tcW w:w="83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FFCC"/>
          </w:tcPr>
          <w:p>
            <w:pPr>
              <w:spacing w:after="0"/>
              <w:rPr>
                <w:sz w:val="23"/>
                <w:szCs w:val="23"/>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(103,426)</w:t>
            </w:r>
          </w:p>
        </w:tc>
        <w:tc>
          <w:tcPr>
            <w:tcW w:w="320" w:type="dxa"/>
            <w:vAlign w:val="bottom"/>
            <w:shd w:val="clear" w:color="auto" w:fill="CCFFCC"/>
          </w:tcPr>
          <w:p>
            <w:pPr>
              <w:spacing w:after="0"/>
              <w:rPr>
                <w:sz w:val="23"/>
                <w:szCs w:val="23"/>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(82,327)</w:t>
            </w:r>
          </w:p>
        </w:tc>
      </w:tr>
      <w:tr>
        <w:trPr>
          <w:trHeight w:val="270"/>
        </w:trPr>
        <w:tc>
          <w:tcPr>
            <w:tcW w:w="8360" w:type="dxa"/>
            <w:vAlign w:val="bottom"/>
          </w:tcPr>
          <w:p>
            <w:pPr>
              <w:ind w:left="220"/>
              <w:spacing w:after="0"/>
              <w:rPr>
                <w:sz w:val="20"/>
                <w:szCs w:val="20"/>
                <w:color w:val="auto"/>
              </w:rPr>
            </w:pPr>
            <w:r>
              <w:rPr>
                <w:rFonts w:ascii="Arial" w:cs="Arial" w:eastAsia="Arial" w:hAnsi="Arial"/>
                <w:sz w:val="18"/>
                <w:szCs w:val="18"/>
                <w:color w:val="auto"/>
              </w:rPr>
              <w:t>Property charges and other</w:t>
            </w:r>
          </w:p>
        </w:tc>
        <w:tc>
          <w:tcPr>
            <w:tcW w:w="34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(26,290)</w:t>
            </w:r>
          </w:p>
        </w:tc>
        <w:tc>
          <w:tcPr>
            <w:tcW w:w="32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(7,325)</w:t>
            </w:r>
          </w:p>
        </w:tc>
      </w:tr>
      <w:tr>
        <w:trPr>
          <w:trHeight w:val="270"/>
        </w:trPr>
        <w:tc>
          <w:tcPr>
            <w:tcW w:w="83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Contract termination fee</w:t>
            </w:r>
          </w:p>
        </w:tc>
        <w:tc>
          <w:tcPr>
            <w:tcW w:w="340" w:type="dxa"/>
            <w:vAlign w:val="bottom"/>
            <w:shd w:val="clear" w:color="auto" w:fill="CCFFCC"/>
          </w:tcPr>
          <w:p>
            <w:pPr>
              <w:spacing w:after="0"/>
              <w:rPr>
                <w:sz w:val="23"/>
                <w:szCs w:val="23"/>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3"/>
                <w:szCs w:val="23"/>
                <w:color w:val="auto"/>
              </w:rPr>
            </w:pPr>
          </w:p>
        </w:tc>
        <w:tc>
          <w:tcPr>
            <w:tcW w:w="320" w:type="dxa"/>
            <w:vAlign w:val="bottom"/>
            <w:shd w:val="clear" w:color="auto" w:fill="CCFFCC"/>
          </w:tcPr>
          <w:p>
            <w:pPr>
              <w:spacing w:after="0"/>
              <w:rPr>
                <w:sz w:val="23"/>
                <w:szCs w:val="23"/>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(5,000)</w:t>
            </w:r>
          </w:p>
        </w:tc>
      </w:tr>
      <w:tr>
        <w:trPr>
          <w:trHeight w:val="270"/>
        </w:trPr>
        <w:tc>
          <w:tcPr>
            <w:tcW w:w="8360" w:type="dxa"/>
            <w:vAlign w:val="bottom"/>
          </w:tcPr>
          <w:p>
            <w:pPr>
              <w:ind w:left="220"/>
              <w:spacing w:after="0"/>
              <w:rPr>
                <w:sz w:val="20"/>
                <w:szCs w:val="20"/>
                <w:color w:val="auto"/>
              </w:rPr>
            </w:pPr>
            <w:r>
              <w:rPr>
                <w:rFonts w:ascii="Arial" w:cs="Arial" w:eastAsia="Arial" w:hAnsi="Arial"/>
                <w:sz w:val="18"/>
                <w:szCs w:val="18"/>
                <w:color w:val="auto"/>
              </w:rPr>
              <w:t>Corporate expenses and other</w:t>
            </w:r>
          </w:p>
        </w:tc>
        <w:tc>
          <w:tcPr>
            <w:tcW w:w="34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(22,080)</w:t>
            </w:r>
          </w:p>
        </w:tc>
        <w:tc>
          <w:tcPr>
            <w:tcW w:w="32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(15,370)</w:t>
            </w:r>
          </w:p>
        </w:tc>
      </w:tr>
      <w:tr>
        <w:trPr>
          <w:trHeight w:val="270"/>
        </w:trPr>
        <w:tc>
          <w:tcPr>
            <w:tcW w:w="83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FFCC"/>
          </w:tcPr>
          <w:p>
            <w:pPr>
              <w:spacing w:after="0"/>
              <w:rPr>
                <w:sz w:val="23"/>
                <w:szCs w:val="23"/>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(9,341)</w:t>
            </w:r>
          </w:p>
        </w:tc>
        <w:tc>
          <w:tcPr>
            <w:tcW w:w="320" w:type="dxa"/>
            <w:vAlign w:val="bottom"/>
            <w:shd w:val="clear" w:color="auto" w:fill="CCFFCC"/>
          </w:tcPr>
          <w:p>
            <w:pPr>
              <w:spacing w:after="0"/>
              <w:rPr>
                <w:sz w:val="23"/>
                <w:szCs w:val="23"/>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(6,874)</w:t>
            </w:r>
          </w:p>
        </w:tc>
      </w:tr>
      <w:tr>
        <w:trPr>
          <w:trHeight w:val="270"/>
        </w:trPr>
        <w:tc>
          <w:tcPr>
            <w:tcW w:w="8360" w:type="dxa"/>
            <w:vAlign w:val="bottom"/>
          </w:tcPr>
          <w:p>
            <w:pPr>
              <w:ind w:left="220"/>
              <w:spacing w:after="0"/>
              <w:rPr>
                <w:sz w:val="20"/>
                <w:szCs w:val="20"/>
                <w:color w:val="auto"/>
              </w:rPr>
            </w:pPr>
            <w:r>
              <w:rPr>
                <w:rFonts w:ascii="Arial" w:cs="Arial" w:eastAsia="Arial" w:hAnsi="Arial"/>
                <w:sz w:val="18"/>
                <w:szCs w:val="18"/>
                <w:color w:val="auto"/>
              </w:rPr>
              <w:t>Interest and other income</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22,508</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18,049</w:t>
            </w:r>
          </w:p>
        </w:tc>
      </w:tr>
      <w:tr>
        <w:trPr>
          <w:trHeight w:val="270"/>
        </w:trPr>
        <w:tc>
          <w:tcPr>
            <w:tcW w:w="83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FFCC"/>
          </w:tcPr>
          <w:p>
            <w:pPr>
              <w:spacing w:after="0"/>
              <w:rPr>
                <w:sz w:val="23"/>
                <w:szCs w:val="23"/>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(73,133)</w:t>
            </w:r>
          </w:p>
        </w:tc>
        <w:tc>
          <w:tcPr>
            <w:tcW w:w="320" w:type="dxa"/>
            <w:vAlign w:val="bottom"/>
            <w:shd w:val="clear" w:color="auto" w:fill="CCFFCC"/>
          </w:tcPr>
          <w:p>
            <w:pPr>
              <w:spacing w:after="0"/>
              <w:rPr>
                <w:sz w:val="23"/>
                <w:szCs w:val="23"/>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(71,250)</w:t>
            </w:r>
          </w:p>
        </w:tc>
      </w:tr>
      <w:tr>
        <w:trPr>
          <w:trHeight w:val="270"/>
        </w:trPr>
        <w:tc>
          <w:tcPr>
            <w:tcW w:w="8360" w:type="dxa"/>
            <w:vAlign w:val="bottom"/>
          </w:tcPr>
          <w:p>
            <w:pPr>
              <w:ind w:left="220"/>
              <w:spacing w:after="0"/>
              <w:rPr>
                <w:sz w:val="20"/>
                <w:szCs w:val="20"/>
                <w:color w:val="auto"/>
              </w:rPr>
            </w:pPr>
            <w:r>
              <w:rPr>
                <w:rFonts w:ascii="Arial" w:cs="Arial" w:eastAsia="Arial" w:hAnsi="Arial"/>
                <w:sz w:val="18"/>
                <w:szCs w:val="18"/>
                <w:color w:val="auto"/>
              </w:rPr>
              <w:t>Increase (decrease) in swap fair value</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1,859</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10,591</w:t>
            </w:r>
          </w:p>
        </w:tc>
      </w:tr>
      <w:tr>
        <w:trPr>
          <w:trHeight w:val="270"/>
        </w:trPr>
        <w:tc>
          <w:tcPr>
            <w:tcW w:w="83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FFCC"/>
          </w:tcPr>
          <w:p>
            <w:pPr>
              <w:spacing w:after="0"/>
              <w:rPr>
                <w:sz w:val="23"/>
                <w:szCs w:val="23"/>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(157)</w:t>
            </w:r>
          </w:p>
        </w:tc>
        <w:tc>
          <w:tcPr>
            <w:tcW w:w="320" w:type="dxa"/>
            <w:vAlign w:val="bottom"/>
            <w:shd w:val="clear" w:color="auto" w:fill="CCFFCC"/>
          </w:tcPr>
          <w:p>
            <w:pPr>
              <w:spacing w:after="0"/>
              <w:rPr>
                <w:sz w:val="23"/>
                <w:szCs w:val="23"/>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8360" w:type="dxa"/>
            <w:vAlign w:val="bottom"/>
          </w:tcPr>
          <w:p>
            <w:pPr>
              <w:ind w:left="2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(37,454)</w:t>
            </w:r>
          </w:p>
        </w:tc>
        <w:tc>
          <w:tcPr>
            <w:tcW w:w="32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r>
      <w:tr>
        <w:trPr>
          <w:trHeight w:val="270"/>
        </w:trPr>
        <w:tc>
          <w:tcPr>
            <w:tcW w:w="836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040" w:type="dxa"/>
            <w:vAlign w:val="bottom"/>
            <w:tcBorders>
              <w:bottom w:val="single" w:sz="8" w:color="auto"/>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auto"/>
            </w:tcBorders>
            <w:shd w:val="clear" w:color="auto" w:fill="CCFFCC"/>
          </w:tcPr>
          <w:p>
            <w:pPr>
              <w:spacing w:after="0"/>
              <w:rPr>
                <w:sz w:val="23"/>
                <w:szCs w:val="23"/>
                <w:color w:val="auto"/>
              </w:rPr>
            </w:pPr>
          </w:p>
        </w:tc>
        <w:tc>
          <w:tcPr>
            <w:tcW w:w="104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r>
      <w:tr>
        <w:trPr>
          <w:trHeight w:val="237"/>
        </w:trPr>
        <w:tc>
          <w:tcPr>
            <w:tcW w:w="83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147,955</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(31,504)</w:t>
            </w:r>
          </w:p>
        </w:tc>
      </w:tr>
      <w:tr>
        <w:trPr>
          <w:trHeight w:val="20"/>
        </w:trPr>
        <w:tc>
          <w:tcPr>
            <w:tcW w:w="8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6" w:right="239" w:bottom="476"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6" w:right="239" w:bottom="476"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Six Months Ended</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June 30, 2007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5"/>
              </w:rPr>
              <w:t>June 30, 2006</w:t>
            </w:r>
            <w:r>
              <w:rPr>
                <w:rFonts w:ascii="Arial" w:cs="Arial" w:eastAsia="Arial" w:hAnsi="Arial"/>
                <w:sz w:val="23"/>
                <w:szCs w:val="23"/>
                <w:b w:val="1"/>
                <w:bCs w:val="1"/>
                <w:color w:val="auto"/>
                <w:w w:val="85"/>
                <w:vertAlign w:val="superscript"/>
              </w:rPr>
              <w:t>(5)</w:t>
            </w:r>
          </w:p>
        </w:tc>
        <w:tc>
          <w:tcPr>
            <w:tcW w:w="120" w:type="dxa"/>
            <w:vAlign w:val="bottom"/>
          </w:tcPr>
          <w:p>
            <w:pPr>
              <w:spacing w:after="0"/>
              <w:rPr>
                <w:sz w:val="22"/>
                <w:szCs w:val="22"/>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June 30, 2007</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June 30, 2006</w:t>
            </w:r>
            <w:r>
              <w:rPr>
                <w:rFonts w:ascii="Arial" w:cs="Arial" w:eastAsia="Arial" w:hAnsi="Arial"/>
                <w:sz w:val="23"/>
                <w:szCs w:val="23"/>
                <w:b w:val="1"/>
                <w:bCs w:val="1"/>
                <w:color w:val="auto"/>
                <w:w w:val="92"/>
                <w:vertAlign w:val="superscript"/>
              </w:rPr>
              <w:t>(5)</w:t>
            </w: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Room Statistics for Wynn Las Vegas:</w:t>
            </w:r>
          </w:p>
        </w:tc>
        <w:tc>
          <w:tcPr>
            <w:tcW w:w="120" w:type="dxa"/>
            <w:vAlign w:val="bottom"/>
            <w:tcBorders>
              <w:top w:val="single" w:sz="8" w:color="auto"/>
            </w:tcBorders>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00" w:type="dxa"/>
            <w:vAlign w:val="bottom"/>
            <w:tcBorders>
              <w:top w:val="single" w:sz="8" w:color="auto"/>
            </w:tcBorders>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0" w:type="dxa"/>
            <w:vAlign w:val="bottom"/>
            <w:tcBorders>
              <w:top w:val="single" w:sz="8" w:color="auto"/>
            </w:tcBorders>
            <w:shd w:val="clear" w:color="auto" w:fill="CCFFCC"/>
          </w:tcPr>
          <w:p>
            <w:pPr>
              <w:spacing w:after="0"/>
              <w:rPr>
                <w:sz w:val="20"/>
                <w:szCs w:val="20"/>
                <w:color w:val="auto"/>
              </w:rPr>
            </w:pPr>
          </w:p>
        </w:tc>
        <w:tc>
          <w:tcPr>
            <w:tcW w:w="124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780" w:type="dxa"/>
            <w:vAlign w:val="bottom"/>
            <w:tcBorders>
              <w:top w:val="single" w:sz="8" w:color="auto"/>
            </w:tcBorders>
            <w:shd w:val="clear" w:color="auto" w:fill="CCFFCC"/>
          </w:tcPr>
          <w:p>
            <w:pPr>
              <w:spacing w:after="0"/>
              <w:rPr>
                <w:sz w:val="20"/>
                <w:szCs w:val="20"/>
                <w:color w:val="auto"/>
              </w:rPr>
            </w:pPr>
          </w:p>
        </w:tc>
        <w:tc>
          <w:tcPr>
            <w:tcW w:w="580" w:type="dxa"/>
            <w:vAlign w:val="bottom"/>
            <w:tcBorders>
              <w:top w:val="single" w:sz="8" w:color="auto"/>
            </w:tcBorders>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Occupancy %</w:t>
            </w:r>
          </w:p>
        </w:tc>
        <w:tc>
          <w:tcPr>
            <w:tcW w:w="1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7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95.7%</w:t>
            </w:r>
          </w:p>
        </w:tc>
      </w:tr>
      <w:tr>
        <w:trPr>
          <w:trHeight w:val="243"/>
        </w:trPr>
        <w:tc>
          <w:tcPr>
            <w:tcW w:w="5160" w:type="dxa"/>
            <w:vAlign w:val="bottom"/>
            <w:shd w:val="clear" w:color="auto" w:fill="CCFFCC"/>
          </w:tcPr>
          <w:p>
            <w:pPr>
              <w:ind w:left="500"/>
              <w:spacing w:after="0" w:line="243" w:lineRule="exact"/>
              <w:rPr>
                <w:sz w:val="20"/>
                <w:szCs w:val="20"/>
                <w:color w:val="auto"/>
              </w:rPr>
            </w:pPr>
            <w:r>
              <w:rPr>
                <w:rFonts w:ascii="Arial" w:cs="Arial" w:eastAsia="Arial" w:hAnsi="Arial"/>
                <w:sz w:val="18"/>
                <w:szCs w:val="18"/>
                <w:color w:val="auto"/>
              </w:rPr>
              <w:t>Average Daily Room Rate (ADR)</w:t>
            </w:r>
            <w:r>
              <w:rPr>
                <w:rFonts w:ascii="Arial" w:cs="Arial" w:eastAsia="Arial" w:hAnsi="Arial"/>
                <w:sz w:val="23"/>
                <w:szCs w:val="23"/>
                <w:color w:val="auto"/>
                <w:vertAlign w:val="superscript"/>
              </w:rPr>
              <w:t>1</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311</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310</w:t>
            </w:r>
          </w:p>
        </w:tc>
        <w:tc>
          <w:tcPr>
            <w:tcW w:w="780" w:type="dxa"/>
            <w:vAlign w:val="bottom"/>
            <w:shd w:val="clear" w:color="auto" w:fill="CCFFCC"/>
          </w:tcPr>
          <w:p>
            <w:pPr>
              <w:jc w:val="right"/>
              <w:ind w:right="5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293</w:t>
            </w:r>
          </w:p>
        </w:tc>
      </w:tr>
      <w:tr>
        <w:trPr>
          <w:trHeight w:val="243"/>
        </w:trPr>
        <w:tc>
          <w:tcPr>
            <w:tcW w:w="5160" w:type="dxa"/>
            <w:vAlign w:val="bottom"/>
          </w:tcPr>
          <w:p>
            <w:pPr>
              <w:ind w:left="500"/>
              <w:spacing w:after="0" w:line="243" w:lineRule="exact"/>
              <w:rPr>
                <w:sz w:val="20"/>
                <w:szCs w:val="20"/>
                <w:color w:val="auto"/>
              </w:rPr>
            </w:pPr>
            <w:r>
              <w:rPr>
                <w:rFonts w:ascii="Arial" w:cs="Arial" w:eastAsia="Arial" w:hAnsi="Arial"/>
                <w:sz w:val="18"/>
                <w:szCs w:val="18"/>
                <w:color w:val="auto"/>
              </w:rPr>
              <w:t>Revenue per available room (REVPAR)</w:t>
            </w:r>
            <w:r>
              <w:rPr>
                <w:rFonts w:ascii="Arial" w:cs="Arial" w:eastAsia="Arial" w:hAnsi="Arial"/>
                <w:sz w:val="23"/>
                <w:szCs w:val="23"/>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301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r>
      <w:tr>
        <w:trPr>
          <w:trHeight w:val="243"/>
        </w:trPr>
        <w:tc>
          <w:tcPr>
            <w:tcW w:w="5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Other information for Wynn Las Vegas: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160" w:type="dxa"/>
            <w:vAlign w:val="bottom"/>
            <w:shd w:val="clear" w:color="auto" w:fill="CCFFCC"/>
          </w:tcPr>
          <w:p>
            <w:pPr>
              <w:ind w:left="500"/>
              <w:spacing w:after="0" w:line="243"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3"/>
                <w:szCs w:val="23"/>
                <w:color w:val="auto"/>
                <w:vertAlign w:val="superscript"/>
              </w:rPr>
              <w:t>3</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10,443</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7,187</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11,568</w:t>
            </w:r>
          </w:p>
        </w:tc>
        <w:tc>
          <w:tcPr>
            <w:tcW w:w="780" w:type="dxa"/>
            <w:vAlign w:val="bottom"/>
            <w:shd w:val="clear" w:color="auto" w:fill="CCFFCC"/>
          </w:tcPr>
          <w:p>
            <w:pPr>
              <w:jc w:val="right"/>
              <w:ind w:right="5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7,291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Table Hold %</w:t>
            </w:r>
          </w:p>
        </w:tc>
        <w:tc>
          <w:tcPr>
            <w:tcW w:w="1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7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r>
      <w:tr>
        <w:trPr>
          <w:trHeight w:val="243"/>
        </w:trPr>
        <w:tc>
          <w:tcPr>
            <w:tcW w:w="5160" w:type="dxa"/>
            <w:vAlign w:val="bottom"/>
            <w:shd w:val="clear" w:color="auto" w:fill="CCFFCC"/>
          </w:tcPr>
          <w:p>
            <w:pPr>
              <w:ind w:left="500"/>
              <w:spacing w:after="0" w:line="243"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3"/>
                <w:szCs w:val="23"/>
                <w:color w:val="auto"/>
                <w:vertAlign w:val="superscript"/>
              </w:rPr>
              <w:t>4</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269</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263</w:t>
            </w:r>
          </w:p>
        </w:tc>
        <w:tc>
          <w:tcPr>
            <w:tcW w:w="780" w:type="dxa"/>
            <w:vAlign w:val="bottom"/>
            <w:shd w:val="clear" w:color="auto" w:fill="CCFFCC"/>
          </w:tcPr>
          <w:p>
            <w:pPr>
              <w:jc w:val="right"/>
              <w:ind w:right="5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250</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Average number of table games</w:t>
            </w:r>
          </w:p>
        </w:tc>
        <w:tc>
          <w:tcPr>
            <w:tcW w:w="1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7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r>
      <w:tr>
        <w:trPr>
          <w:trHeight w:val="243"/>
        </w:trPr>
        <w:tc>
          <w:tcPr>
            <w:tcW w:w="51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Average number of slot machines</w:t>
            </w:r>
          </w:p>
        </w:tc>
        <w:tc>
          <w:tcPr>
            <w:tcW w:w="12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1,976</w:t>
            </w: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1,959</w:t>
            </w:r>
          </w:p>
        </w:tc>
        <w:tc>
          <w:tcPr>
            <w:tcW w:w="12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1,956</w:t>
            </w:r>
          </w:p>
        </w:tc>
        <w:tc>
          <w:tcPr>
            <w:tcW w:w="78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1,955</w:t>
            </w:r>
          </w:p>
        </w:tc>
      </w:tr>
      <w:tr>
        <w:trPr>
          <w:trHeight w:val="243"/>
        </w:trPr>
        <w:tc>
          <w:tcPr>
            <w:tcW w:w="5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Room Statistics for Wynn Macau:</w:t>
            </w: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Occupancy %</w:t>
            </w:r>
          </w:p>
        </w:tc>
        <w:tc>
          <w:tcPr>
            <w:tcW w:w="1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86.2%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85.5%</w:t>
            </w:r>
          </w:p>
        </w:tc>
        <w:tc>
          <w:tcPr>
            <w:tcW w:w="7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3"/>
        </w:trPr>
        <w:tc>
          <w:tcPr>
            <w:tcW w:w="5160" w:type="dxa"/>
            <w:vAlign w:val="bottom"/>
            <w:shd w:val="clear" w:color="auto" w:fill="CCFFCC"/>
          </w:tcPr>
          <w:p>
            <w:pPr>
              <w:ind w:left="500"/>
              <w:spacing w:after="0" w:line="243" w:lineRule="exact"/>
              <w:rPr>
                <w:sz w:val="20"/>
                <w:szCs w:val="20"/>
                <w:color w:val="auto"/>
              </w:rPr>
            </w:pPr>
            <w:r>
              <w:rPr>
                <w:rFonts w:ascii="Arial" w:cs="Arial" w:eastAsia="Arial" w:hAnsi="Arial"/>
                <w:sz w:val="18"/>
                <w:szCs w:val="18"/>
                <w:color w:val="auto"/>
              </w:rPr>
              <w:t>Average Daily Room Rate (ADR)</w:t>
            </w:r>
            <w:r>
              <w:rPr>
                <w:rFonts w:ascii="Arial" w:cs="Arial" w:eastAsia="Arial" w:hAnsi="Arial"/>
                <w:sz w:val="23"/>
                <w:szCs w:val="23"/>
                <w:color w:val="auto"/>
                <w:vertAlign w:val="superscript"/>
              </w:rPr>
              <w:t>1</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258</w:t>
            </w: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252</w:t>
            </w:r>
          </w:p>
        </w:tc>
        <w:tc>
          <w:tcPr>
            <w:tcW w:w="78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N/A</w:t>
            </w:r>
          </w:p>
        </w:tc>
      </w:tr>
      <w:tr>
        <w:trPr>
          <w:trHeight w:val="243"/>
        </w:trPr>
        <w:tc>
          <w:tcPr>
            <w:tcW w:w="5160" w:type="dxa"/>
            <w:vAlign w:val="bottom"/>
          </w:tcPr>
          <w:p>
            <w:pPr>
              <w:ind w:left="500"/>
              <w:spacing w:after="0" w:line="243" w:lineRule="exact"/>
              <w:rPr>
                <w:sz w:val="20"/>
                <w:szCs w:val="20"/>
                <w:color w:val="auto"/>
              </w:rPr>
            </w:pPr>
            <w:r>
              <w:rPr>
                <w:rFonts w:ascii="Arial" w:cs="Arial" w:eastAsia="Arial" w:hAnsi="Arial"/>
                <w:sz w:val="18"/>
                <w:szCs w:val="18"/>
                <w:color w:val="auto"/>
              </w:rPr>
              <w:t>Revenue per available room (REVPAR)</w:t>
            </w:r>
            <w:r>
              <w:rPr>
                <w:rFonts w:ascii="Arial" w:cs="Arial" w:eastAsia="Arial" w:hAnsi="Arial"/>
                <w:sz w:val="23"/>
                <w:szCs w:val="23"/>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c>
          <w:tcPr>
            <w:tcW w:w="7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3"/>
        </w:trPr>
        <w:tc>
          <w:tcPr>
            <w:tcW w:w="5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Other information for Wynn Macau:</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160" w:type="dxa"/>
            <w:vAlign w:val="bottom"/>
            <w:shd w:val="clear" w:color="auto" w:fill="CCFFCC"/>
          </w:tcPr>
          <w:p>
            <w:pPr>
              <w:ind w:left="500"/>
              <w:spacing w:after="0" w:line="243"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3"/>
                <w:szCs w:val="23"/>
                <w:color w:val="auto"/>
                <w:vertAlign w:val="superscript"/>
              </w:rPr>
              <w:t>3</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17,292</w:t>
            </w: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16,356</w:t>
            </w:r>
          </w:p>
        </w:tc>
        <w:tc>
          <w:tcPr>
            <w:tcW w:w="78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N/A</w:t>
            </w:r>
          </w:p>
        </w:tc>
      </w:tr>
      <w:tr>
        <w:trPr>
          <w:trHeight w:val="243"/>
        </w:trPr>
        <w:tc>
          <w:tcPr>
            <w:tcW w:w="5160" w:type="dxa"/>
            <w:vAlign w:val="bottom"/>
          </w:tcPr>
          <w:p>
            <w:pPr>
              <w:ind w:left="500"/>
              <w:spacing w:after="0" w:line="243"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3"/>
                <w:szCs w:val="23"/>
                <w:color w:val="auto"/>
                <w:vertAlign w:val="superscript"/>
              </w:rPr>
              <w:t>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488</w:t>
            </w:r>
          </w:p>
        </w:tc>
        <w:tc>
          <w:tcPr>
            <w:tcW w:w="7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3"/>
        </w:trPr>
        <w:tc>
          <w:tcPr>
            <w:tcW w:w="51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Average number of table games</w:t>
            </w:r>
          </w:p>
        </w:tc>
        <w:tc>
          <w:tcPr>
            <w:tcW w:w="12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251</w:t>
            </w: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246</w:t>
            </w:r>
          </w:p>
        </w:tc>
        <w:tc>
          <w:tcPr>
            <w:tcW w:w="78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N/A</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Average number of slot machines</w:t>
            </w:r>
          </w:p>
        </w:tc>
        <w:tc>
          <w:tcPr>
            <w:tcW w:w="1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445</w:t>
            </w:r>
          </w:p>
        </w:tc>
        <w:tc>
          <w:tcPr>
            <w:tcW w:w="7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bl>
    <w:p>
      <w:pPr>
        <w:spacing w:after="0" w:line="22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Room Rate and is calculated by dividing total room revenue (less service charges, if any) by total rooms occupied.</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by total rooms available.</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net of participation fees and progressive accruals.</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Wynn Macau information for the second quarter of 2006 and first six months of 2006 is not applicable since Wynn Macau opened on September 6, 2006.</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www.wynnresorts.com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www.wynnlasvegas.com</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6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2019-12-12T02:49:32Z</dcterms:created>
  <dcterms:modified xsi:type="dcterms:W3CDTF">2019-12-12T02:49:32Z</dcterms:modified>
</cp:coreProperties>
</file>