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8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81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ind w:left="2880"/>
        <w:spacing w:after="0"/>
        <w:rPr>
          <w:sz w:val="20"/>
          <w:szCs w:val="20"/>
          <w:color w:val="auto"/>
        </w:rPr>
      </w:pPr>
      <w:r>
        <w:rPr>
          <w:rFonts w:ascii="Arial" w:cs="Arial" w:eastAsia="Arial" w:hAnsi="Arial"/>
          <w:sz w:val="22"/>
          <w:szCs w:val="22"/>
          <w:b w:val="1"/>
          <w:bCs w:val="1"/>
          <w:color w:val="auto"/>
        </w:rPr>
        <w:t>Date of Report (Date of earliest event reported): April 9,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819"/>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2900" w:type="dxa"/>
            <w:vAlign w:val="bottom"/>
          </w:tcPr>
          <w:p>
            <w:pPr>
              <w:jc w:val="center"/>
              <w:ind w:right="1266"/>
              <w:spacing w:after="0"/>
              <w:rPr>
                <w:sz w:val="20"/>
                <w:szCs w:val="20"/>
                <w:color w:val="auto"/>
              </w:rPr>
            </w:pPr>
            <w:r>
              <w:rPr>
                <w:rFonts w:ascii="Arial" w:cs="Arial" w:eastAsia="Arial" w:hAnsi="Arial"/>
                <w:sz w:val="18"/>
                <w:szCs w:val="18"/>
                <w:b w:val="1"/>
                <w:bCs w:val="1"/>
                <w:color w:val="auto"/>
                <w:w w:val="87"/>
              </w:rPr>
              <w:t>Nevada</w:t>
            </w:r>
          </w:p>
        </w:tc>
        <w:tc>
          <w:tcPr>
            <w:tcW w:w="3560" w:type="dxa"/>
            <w:vAlign w:val="bottom"/>
          </w:tcPr>
          <w:p>
            <w:pPr>
              <w:ind w:left="1380"/>
              <w:spacing w:after="0"/>
              <w:rPr>
                <w:sz w:val="20"/>
                <w:szCs w:val="20"/>
                <w:color w:val="auto"/>
              </w:rPr>
            </w:pPr>
            <w:r>
              <w:rPr>
                <w:rFonts w:ascii="Arial" w:cs="Arial" w:eastAsia="Arial" w:hAnsi="Arial"/>
                <w:sz w:val="18"/>
                <w:szCs w:val="18"/>
                <w:b w:val="1"/>
                <w:bCs w:val="1"/>
                <w:color w:val="auto"/>
              </w:rPr>
              <w:t>000-50028</w:t>
            </w:r>
          </w:p>
        </w:tc>
        <w:tc>
          <w:tcPr>
            <w:tcW w:w="2480" w:type="dxa"/>
            <w:vAlign w:val="bottom"/>
          </w:tcPr>
          <w:p>
            <w:pPr>
              <w:jc w:val="center"/>
              <w:ind w:left="1366"/>
              <w:spacing w:after="0"/>
              <w:rPr>
                <w:sz w:val="20"/>
                <w:szCs w:val="20"/>
                <w:color w:val="auto"/>
              </w:rPr>
            </w:pPr>
            <w:r>
              <w:rPr>
                <w:rFonts w:ascii="Arial" w:cs="Arial" w:eastAsia="Arial" w:hAnsi="Arial"/>
                <w:sz w:val="18"/>
                <w:szCs w:val="18"/>
                <w:b w:val="1"/>
                <w:bCs w:val="1"/>
                <w:color w:val="auto"/>
                <w:w w:val="87"/>
              </w:rPr>
              <w:t>46-0484987</w:t>
            </w:r>
          </w:p>
        </w:tc>
      </w:tr>
      <w:tr>
        <w:trPr>
          <w:trHeight w:val="149"/>
        </w:trPr>
        <w:tc>
          <w:tcPr>
            <w:tcW w:w="2900" w:type="dxa"/>
            <w:vAlign w:val="bottom"/>
          </w:tcPr>
          <w:p>
            <w:pPr>
              <w:jc w:val="center"/>
              <w:ind w:right="128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3560" w:type="dxa"/>
            <w:vAlign w:val="bottom"/>
          </w:tcPr>
          <w:p>
            <w:pPr>
              <w:ind w:left="138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4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900" w:type="dxa"/>
            <w:vAlign w:val="bottom"/>
          </w:tcPr>
          <w:p>
            <w:pPr>
              <w:jc w:val="center"/>
              <w:ind w:right="1286"/>
              <w:spacing w:after="0"/>
              <w:rPr>
                <w:sz w:val="20"/>
                <w:szCs w:val="20"/>
                <w:color w:val="auto"/>
              </w:rPr>
            </w:pPr>
            <w:r>
              <w:rPr>
                <w:rFonts w:ascii="Arial" w:cs="Arial" w:eastAsia="Arial" w:hAnsi="Arial"/>
                <w:sz w:val="14"/>
                <w:szCs w:val="14"/>
                <w:b w:val="1"/>
                <w:bCs w:val="1"/>
                <w:color w:val="auto"/>
                <w:w w:val="87"/>
              </w:rPr>
              <w:t>of incorporation)</w:t>
            </w:r>
          </w:p>
        </w:tc>
        <w:tc>
          <w:tcPr>
            <w:tcW w:w="3560" w:type="dxa"/>
            <w:vAlign w:val="bottom"/>
          </w:tcPr>
          <w:p>
            <w:pPr>
              <w:ind w:left="138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103505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4" w:lineRule="exact"/>
        <w:rPr>
          <w:sz w:val="24"/>
          <w:szCs w:val="24"/>
          <w:color w:val="auto"/>
        </w:rPr>
      </w:pPr>
    </w:p>
    <w:p>
      <w:pPr>
        <w:jc w:val="center"/>
        <w:ind w:right="-819"/>
        <w:spacing w:after="0"/>
        <w:rPr>
          <w:sz w:val="20"/>
          <w:szCs w:val="20"/>
          <w:color w:val="auto"/>
        </w:rPr>
      </w:pPr>
      <w:r>
        <w:rPr>
          <w:rFonts w:ascii="Arial" w:cs="Arial" w:eastAsia="Arial" w:hAnsi="Arial"/>
          <w:sz w:val="43"/>
          <w:szCs w:val="43"/>
          <w:b w:val="1"/>
          <w:bCs w:val="1"/>
          <w:color w:val="auto"/>
        </w:rPr>
        <w:t>WYNN LAS VEGAS, LLC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600"/>
          </w:cols>
          <w:pgMar w:left="240" w:top="314" w:right="1059" w:bottom="1440" w:gutter="0" w:footer="0" w:header="0"/>
        </w:sectPr>
      </w:pPr>
    </w:p>
    <w:p>
      <w:pPr>
        <w:spacing w:after="0" w:line="273" w:lineRule="exact"/>
        <w:rPr>
          <w:sz w:val="24"/>
          <w:szCs w:val="24"/>
          <w:color w:val="auto"/>
        </w:rPr>
      </w:pPr>
    </w:p>
    <w:p>
      <w:pPr>
        <w:ind w:left="1680"/>
        <w:spacing w:after="0"/>
        <w:rPr>
          <w:sz w:val="20"/>
          <w:szCs w:val="20"/>
          <w:color w:val="auto"/>
        </w:rPr>
      </w:pPr>
      <w:r>
        <w:rPr>
          <w:rFonts w:ascii="Arial" w:cs="Arial" w:eastAsia="Arial" w:hAnsi="Arial"/>
          <w:sz w:val="15"/>
          <w:szCs w:val="15"/>
          <w:b w:val="1"/>
          <w:bCs w:val="1"/>
          <w:color w:val="auto"/>
        </w:rPr>
        <w:t>Nevada</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2200"/>
        <w:spacing w:after="0"/>
        <w:rPr>
          <w:sz w:val="20"/>
          <w:szCs w:val="20"/>
          <w:color w:val="auto"/>
        </w:rPr>
      </w:pPr>
      <w:r>
        <w:rPr>
          <w:rFonts w:ascii="Arial" w:cs="Arial" w:eastAsia="Arial" w:hAnsi="Arial"/>
          <w:sz w:val="15"/>
          <w:szCs w:val="15"/>
          <w:b w:val="1"/>
          <w:bCs w:val="1"/>
          <w:color w:val="auto"/>
        </w:rPr>
        <w:t>333-100768</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88-0494875</w:t>
      </w:r>
    </w:p>
    <w:p>
      <w:pPr>
        <w:spacing w:after="0" w:line="56" w:lineRule="exact"/>
        <w:rPr>
          <w:sz w:val="24"/>
          <w:szCs w:val="24"/>
          <w:color w:val="auto"/>
        </w:rPr>
      </w:pPr>
    </w:p>
    <w:p>
      <w:pPr>
        <w:sectPr>
          <w:pgSz w:w="11900" w:h="16838" w:orient="portrait"/>
          <w:cols w:equalWidth="0" w:num="3">
            <w:col w:w="4700" w:space="720"/>
            <w:col w:w="3040" w:space="720"/>
            <w:col w:w="1420"/>
          </w:cols>
          <w:pgMar w:left="240" w:top="314" w:right="1059" w:bottom="1440" w:gutter="0" w:footer="0" w:header="0"/>
          <w:type w:val="continuous"/>
        </w:sect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740" w:space="720"/>
            <w:col w:w="2880" w:space="720"/>
            <w:col w:w="1540"/>
          </w:cols>
          <w:pgMar w:left="240" w:top="314" w:right="1059" w:bottom="1440" w:gutter="0" w:footer="0" w:header="0"/>
          <w:type w:val="continuous"/>
        </w:sectPr>
      </w:pPr>
    </w:p>
    <w:p>
      <w:pPr>
        <w:jc w:val="center"/>
        <w:ind w:right="980"/>
        <w:spacing w:after="0"/>
        <w:rPr>
          <w:sz w:val="20"/>
          <w:szCs w:val="20"/>
          <w:color w:val="auto"/>
        </w:rPr>
      </w:pPr>
      <w:r>
        <w:rPr>
          <w:rFonts w:ascii="Arial" w:cs="Arial" w:eastAsia="Arial" w:hAnsi="Arial"/>
          <w:sz w:val="15"/>
          <w:szCs w:val="15"/>
          <w:b w:val="1"/>
          <w:bCs w:val="1"/>
          <w:color w:val="auto"/>
        </w:rPr>
        <w:t>3131 Las Vegas Boulevard South</w:t>
      </w:r>
    </w:p>
    <w:p>
      <w:pPr>
        <w:spacing w:after="0" w:line="5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Las Vegas, Nevada</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89109</w:t>
      </w:r>
    </w:p>
    <w:p>
      <w:pPr>
        <w:spacing w:after="0" w:line="56" w:lineRule="exact"/>
        <w:rPr>
          <w:sz w:val="24"/>
          <w:szCs w:val="24"/>
          <w:color w:val="auto"/>
        </w:rPr>
      </w:pPr>
    </w:p>
    <w:p>
      <w:pPr>
        <w:sectPr>
          <w:pgSz w:w="11900" w:h="16838" w:orient="portrait"/>
          <w:cols w:equalWidth="0" w:num="2">
            <w:col w:w="8660" w:space="720"/>
            <w:col w:w="1220"/>
          </w:cols>
          <w:pgMar w:left="240" w:top="314" w:right="1059" w:bottom="1440" w:gutter="0" w:footer="0" w:header="0"/>
          <w:type w:val="continuous"/>
        </w:sectPr>
      </w:pPr>
    </w:p>
    <w:p>
      <w:pPr>
        <w:ind w:left="2200"/>
        <w:spacing w:after="0"/>
        <w:rPr>
          <w:sz w:val="20"/>
          <w:szCs w:val="20"/>
          <w:color w:val="auto"/>
        </w:rPr>
      </w:pPr>
      <w:r>
        <w:rPr>
          <w:rFonts w:ascii="Arial" w:cs="Arial" w:eastAsia="Arial" w:hAnsi="Arial"/>
          <w:sz w:val="11"/>
          <w:szCs w:val="11"/>
          <w:b w:val="1"/>
          <w:bCs w:val="1"/>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8560" w:space="720"/>
            <w:col w:w="1320"/>
          </w:cols>
          <w:pgMar w:left="240" w:top="314" w:right="1059" w:bottom="1440" w:gutter="0" w:footer="0" w:header="0"/>
          <w:type w:val="continuous"/>
        </w:sectPr>
      </w:pPr>
    </w:p>
    <w:p>
      <w:pPr>
        <w:jc w:val="center"/>
        <w:ind w:right="-81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ind w:left="4180"/>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0600"/>
          </w:cols>
          <w:pgMar w:left="240" w:top="314" w:right="1059" w:bottom="1440" w:gutter="0" w:footer="0" w:header="0"/>
          <w:type w:val="continuous"/>
        </w:sectPr>
      </w:pPr>
    </w:p>
    <w:p>
      <w:pPr>
        <w:spacing w:after="0" w:line="160"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240" w:top="314" w:right="105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96"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As disclosed in prior filings of Wynn Resorts, Limited (“WRL”) and Wynn Las Vegas, LLC (“WLV”) with the Securities and Exchange Commission, pursuant to that certain Amended and Restated Agreement of Lease, dated as of March 18, 2010 (the “SW Lease”), by and between Stephen A. Wynn (“Mr. Wynn”), Chairman of the Board of Directors and Chief Executive Officer of WRL, and WLV, Mr. Wynn leases two fairway villas (the “Villas”) as Mr. Wynn’s personal residence. Pursuant to the SW Lease, the rental value of the Villas is redetermined every two years during the term of the SW Lease based upon an independent third-party appraisal. On April 9, 2012, Mr. Wynn and WLV entered into the First Amendment to Amended and Restated Agreement of Lease (the “Amendment”), (a) to reflect that the rental value of the Villas for the two-year period commencing March 1, 2012 will be $440,000 per year, as determined in accordance with the terms of the SW Lease, and (b) to provide that the lease includes Mr. Wynn’s use of warehouse space owned by WLV. The Amendment was approved by the Audit Committee of the Board of Directors of WRL. This description of the Amendment is qualified in its entirety by reference to the Amendment, a copy of which is filed herewith as Exhibit 10.1 and is incorporated herein by reference.</w:t>
      </w:r>
    </w:p>
    <w:p>
      <w:pPr>
        <w:spacing w:after="0" w:line="23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ind w:left="40"/>
              <w:spacing w:after="0"/>
              <w:rPr>
                <w:sz w:val="20"/>
                <w:szCs w:val="20"/>
                <w:color w:val="auto"/>
              </w:rPr>
            </w:pPr>
            <w:r>
              <w:rPr>
                <w:rFonts w:ascii="Arial" w:cs="Arial" w:eastAsia="Arial" w:hAnsi="Arial"/>
                <w:sz w:val="14"/>
                <w:szCs w:val="14"/>
                <w:color w:val="auto"/>
                <w:w w:val="99"/>
              </w:rPr>
              <w:t>Exhibit</w:t>
            </w:r>
          </w:p>
        </w:tc>
        <w:tc>
          <w:tcPr>
            <w:tcW w:w="5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20" w:type="dxa"/>
            <w:vAlign w:val="bottom"/>
          </w:tcPr>
          <w:p>
            <w:pPr>
              <w:spacing w:after="0"/>
              <w:rPr>
                <w:sz w:val="14"/>
                <w:szCs w:val="14"/>
                <w:color w:val="auto"/>
              </w:rPr>
            </w:pPr>
          </w:p>
        </w:tc>
      </w:tr>
      <w:tr>
        <w:trPr>
          <w:trHeight w:val="166"/>
        </w:trPr>
        <w:tc>
          <w:tcPr>
            <w:tcW w:w="480" w:type="dxa"/>
            <w:vAlign w:val="bottom"/>
            <w:tcBorders>
              <w:bottom w:val="single" w:sz="8" w:color="auto"/>
            </w:tcBorders>
          </w:tcPr>
          <w:p>
            <w:pPr>
              <w:ind w:left="20"/>
              <w:spacing w:after="0" w:line="159" w:lineRule="exact"/>
              <w:rPr>
                <w:sz w:val="20"/>
                <w:szCs w:val="20"/>
                <w:color w:val="auto"/>
              </w:rPr>
            </w:pPr>
            <w:r>
              <w:rPr>
                <w:rFonts w:ascii="Arial" w:cs="Arial" w:eastAsia="Arial" w:hAnsi="Arial"/>
                <w:sz w:val="14"/>
                <w:szCs w:val="14"/>
                <w:color w:val="auto"/>
                <w:w w:val="88"/>
              </w:rPr>
              <w:t>Number</w:t>
            </w:r>
          </w:p>
        </w:tc>
        <w:tc>
          <w:tcPr>
            <w:tcW w:w="5420" w:type="dxa"/>
            <w:vAlign w:val="bottom"/>
          </w:tcPr>
          <w:p>
            <w:pPr>
              <w:spacing w:after="0"/>
              <w:rPr>
                <w:sz w:val="14"/>
                <w:szCs w:val="14"/>
                <w:color w:val="auto"/>
              </w:rPr>
            </w:pPr>
          </w:p>
        </w:tc>
        <w:tc>
          <w:tcPr>
            <w:tcW w:w="660" w:type="dxa"/>
            <w:vAlign w:val="bottom"/>
            <w:tcBorders>
              <w:bottom w:val="single" w:sz="8" w:color="auto"/>
            </w:tcBorders>
          </w:tcPr>
          <w:p>
            <w:pPr>
              <w:ind w:left="20"/>
              <w:spacing w:after="0" w:line="159" w:lineRule="exact"/>
              <w:rPr>
                <w:sz w:val="20"/>
                <w:szCs w:val="20"/>
                <w:color w:val="auto"/>
              </w:rPr>
            </w:pPr>
            <w:r>
              <w:rPr>
                <w:rFonts w:ascii="Arial" w:cs="Arial" w:eastAsia="Arial" w:hAnsi="Arial"/>
                <w:sz w:val="14"/>
                <w:szCs w:val="14"/>
                <w:color w:val="auto"/>
                <w:w w:val="88"/>
              </w:rPr>
              <w:t>Description</w:t>
            </w:r>
          </w:p>
        </w:tc>
        <w:tc>
          <w:tcPr>
            <w:tcW w:w="4820" w:type="dxa"/>
            <w:vAlign w:val="bottom"/>
          </w:tcPr>
          <w:p>
            <w:pPr>
              <w:spacing w:after="0"/>
              <w:rPr>
                <w:sz w:val="14"/>
                <w:szCs w:val="14"/>
                <w:color w:val="auto"/>
              </w:rPr>
            </w:pPr>
          </w:p>
        </w:tc>
      </w:tr>
      <w:tr>
        <w:trPr>
          <w:trHeight w:val="316"/>
        </w:trPr>
        <w:tc>
          <w:tcPr>
            <w:tcW w:w="480" w:type="dxa"/>
            <w:vAlign w:val="bottom"/>
          </w:tcPr>
          <w:p>
            <w:pPr>
              <w:jc w:val="right"/>
              <w:ind w:right="86"/>
              <w:spacing w:after="0"/>
              <w:rPr>
                <w:sz w:val="20"/>
                <w:szCs w:val="20"/>
                <w:color w:val="auto"/>
              </w:rPr>
            </w:pPr>
            <w:r>
              <w:rPr>
                <w:rFonts w:ascii="Arial" w:cs="Arial" w:eastAsia="Arial" w:hAnsi="Arial"/>
                <w:sz w:val="18"/>
                <w:szCs w:val="18"/>
                <w:color w:val="auto"/>
                <w:w w:val="85"/>
              </w:rPr>
              <w:t>10.1</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87"/>
              </w:rPr>
              <w:t>First Amendment to Amended and Restated Agreement of Lease, dated as of April 9, 2012, by and between Wynn Las Vegas, LLC and Stephen A.</w:t>
            </w:r>
          </w:p>
        </w:tc>
      </w:tr>
      <w:tr>
        <w:trPr>
          <w:trHeight w:val="222"/>
        </w:trPr>
        <w:tc>
          <w:tcPr>
            <w:tcW w:w="480" w:type="dxa"/>
            <w:vAlign w:val="bottom"/>
          </w:tcPr>
          <w:p>
            <w:pPr>
              <w:spacing w:after="0"/>
              <w:rPr>
                <w:sz w:val="19"/>
                <w:szCs w:val="19"/>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Wynn.</w:t>
            </w:r>
          </w:p>
        </w:tc>
      </w:tr>
    </w:tbl>
    <w:p>
      <w:pPr>
        <w:sectPr>
          <w:pgSz w:w="11900" w:h="16838" w:orient="portrait"/>
          <w:cols w:equalWidth="0" w:num="1">
            <w:col w:w="11380"/>
          </w:cols>
          <w:pgMar w:left="240" w:top="274" w:right="27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April 11,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RESORTS,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Matt Maddox</w:t>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Chief Financial Officer and Treasurer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April 11,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LAS VEGAS,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Wynn Resorts Holdings, LLC, its sole member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Wynn Resorts, Limited, its sole member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Matt Maddox</w:t>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1400"/>
          </w:cols>
          <w:pgMar w:left="240" w:top="274" w:right="2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AGREEMENT OF LEASE</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FIRST AMENDMENT TO AMENDED AND RESTATED AGREEMENT OF LEASE (this “</w:t>
      </w:r>
      <w:r>
        <w:rPr>
          <w:rFonts w:ascii="Arial" w:cs="Arial" w:eastAsia="Arial" w:hAnsi="Arial"/>
          <w:sz w:val="18"/>
          <w:szCs w:val="18"/>
          <w:u w:val="single" w:color="auto"/>
          <w:color w:val="auto"/>
        </w:rPr>
        <w:t>Amendment</w:t>
      </w:r>
      <w:r>
        <w:rPr>
          <w:rFonts w:ascii="Arial" w:cs="Arial" w:eastAsia="Arial" w:hAnsi="Arial"/>
          <w:sz w:val="18"/>
          <w:szCs w:val="18"/>
          <w:color w:val="auto"/>
        </w:rPr>
        <w:t>”) is made as the 9</w:t>
      </w:r>
      <w:r>
        <w:rPr>
          <w:rFonts w:ascii="Arial" w:cs="Arial" w:eastAsia="Arial" w:hAnsi="Arial"/>
          <w:sz w:val="11"/>
          <w:szCs w:val="11"/>
          <w:color w:val="auto"/>
        </w:rPr>
        <w:t>th</w:t>
      </w:r>
      <w:r>
        <w:rPr>
          <w:rFonts w:ascii="Arial" w:cs="Arial" w:eastAsia="Arial" w:hAnsi="Arial"/>
          <w:sz w:val="18"/>
          <w:szCs w:val="18"/>
          <w:color w:val="auto"/>
        </w:rPr>
        <w:t xml:space="preserve"> day of April, 2012, by and between Wynn Las Vegas, LLC (“</w:t>
      </w:r>
      <w:r>
        <w:rPr>
          <w:rFonts w:ascii="Arial" w:cs="Arial" w:eastAsia="Arial" w:hAnsi="Arial"/>
          <w:sz w:val="18"/>
          <w:szCs w:val="18"/>
          <w:u w:val="single" w:color="auto"/>
          <w:color w:val="auto"/>
        </w:rPr>
        <w:t>Lessor</w:t>
      </w:r>
      <w:r>
        <w:rPr>
          <w:rFonts w:ascii="Arial" w:cs="Arial" w:eastAsia="Arial" w:hAnsi="Arial"/>
          <w:sz w:val="18"/>
          <w:szCs w:val="18"/>
          <w:color w:val="auto"/>
        </w:rPr>
        <w:t>”) and Stephen A. Wynn (“</w:t>
      </w:r>
      <w:r>
        <w:rPr>
          <w:rFonts w:ascii="Arial" w:cs="Arial" w:eastAsia="Arial" w:hAnsi="Arial"/>
          <w:sz w:val="18"/>
          <w:szCs w:val="18"/>
          <w:u w:val="single" w:color="auto"/>
          <w:color w:val="auto"/>
        </w:rPr>
        <w:t>Lessee</w:t>
      </w:r>
      <w:r>
        <w:rPr>
          <w:rFonts w:ascii="Arial" w:cs="Arial" w:eastAsia="Arial" w:hAnsi="Arial"/>
          <w:sz w:val="18"/>
          <w:szCs w:val="18"/>
          <w:color w:val="auto"/>
        </w:rPr>
        <w:t>” and, together with Lessor, the “</w:t>
      </w:r>
      <w:r>
        <w:rPr>
          <w:rFonts w:ascii="Arial" w:cs="Arial" w:eastAsia="Arial" w:hAnsi="Arial"/>
          <w:sz w:val="18"/>
          <w:szCs w:val="18"/>
          <w:u w:val="single" w:color="auto"/>
          <w:color w:val="auto"/>
        </w:rPr>
        <w:t>Parties</w:t>
      </w:r>
      <w:r>
        <w:rPr>
          <w:rFonts w:ascii="Arial" w:cs="Arial" w:eastAsia="Arial" w:hAnsi="Arial"/>
          <w:sz w:val="18"/>
          <w:szCs w:val="18"/>
          <w:color w:val="auto"/>
        </w:rPr>
        <w:t>”). Capitalized terms used herein and not otherwise defined shall have the meanings ascribed to them in the Lease (as defined below).</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 The Parties have entered into that certain Amended and Restated Agreement of Lease, dated as of March 18, 2010 (the “</w:t>
      </w:r>
      <w:r>
        <w:rPr>
          <w:rFonts w:ascii="Arial" w:cs="Arial" w:eastAsia="Arial" w:hAnsi="Arial"/>
          <w:sz w:val="18"/>
          <w:szCs w:val="18"/>
          <w:u w:val="single" w:color="auto"/>
          <w:color w:val="auto"/>
        </w:rPr>
        <w:t>Lease</w:t>
      </w:r>
      <w:r>
        <w:rPr>
          <w:rFonts w:ascii="Arial" w:cs="Arial" w:eastAsia="Arial" w:hAnsi="Arial"/>
          <w:sz w:val="18"/>
          <w:szCs w:val="18"/>
          <w:color w:val="auto"/>
        </w:rPr>
        <w:t>”), under which Lessee leases Villas in the Resort.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 Pursuant to Section 3(c) of the Lease, the Parties have determined the Rental Value for the two (2) year period commencing on March 1, 2012.</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the Parties agree as follows:</w:t>
      </w:r>
    </w:p>
    <w:p>
      <w:pPr>
        <w:spacing w:after="0" w:line="171" w:lineRule="exact"/>
        <w:rPr>
          <w:sz w:val="20"/>
          <w:szCs w:val="20"/>
          <w:color w:val="auto"/>
        </w:rPr>
      </w:pPr>
    </w:p>
    <w:p>
      <w:pPr>
        <w:ind w:left="640" w:hanging="176"/>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Amendment to Section 1</w:t>
      </w:r>
      <w:r>
        <w:rPr>
          <w:rFonts w:ascii="Arial" w:cs="Arial" w:eastAsia="Arial" w:hAnsi="Arial"/>
          <w:sz w:val="16"/>
          <w:szCs w:val="16"/>
          <w:color w:val="auto"/>
        </w:rPr>
        <w:t>. The Parties agree that Section 1 of the Lease is amended to include Lessee’s use of warehouse space owned by Lessor.</w:t>
      </w:r>
    </w:p>
    <w:p>
      <w:pPr>
        <w:spacing w:after="0" w:line="194" w:lineRule="exact"/>
        <w:rPr>
          <w:rFonts w:ascii="Arial" w:cs="Arial" w:eastAsia="Arial" w:hAnsi="Arial"/>
          <w:sz w:val="16"/>
          <w:szCs w:val="16"/>
          <w:color w:val="auto"/>
        </w:rPr>
      </w:pPr>
    </w:p>
    <w:p>
      <w:pPr>
        <w:ind w:right="300" w:firstLine="464"/>
        <w:spacing w:after="0" w:line="259" w:lineRule="auto"/>
        <w:tabs>
          <w:tab w:leader="none" w:pos="632"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Rental Value</w:t>
      </w:r>
      <w:r>
        <w:rPr>
          <w:rFonts w:ascii="Arial" w:cs="Arial" w:eastAsia="Arial" w:hAnsi="Arial"/>
          <w:sz w:val="18"/>
          <w:szCs w:val="18"/>
          <w:color w:val="auto"/>
        </w:rPr>
        <w:t>. The Parties agree that for the two (2) year period commencing on March 1, 2012, the Rental Value for the Villas shall be Four Hundred Forty Thousand and No/100ths Dollars ($440,000.00) per year as established by the Opinion of Value, dated February 14, 2012, by John J. Knott II of CB Richard Ellis.</w:t>
      </w:r>
    </w:p>
    <w:p>
      <w:pPr>
        <w:spacing w:after="0" w:line="140" w:lineRule="exact"/>
        <w:rPr>
          <w:rFonts w:ascii="Arial" w:cs="Arial" w:eastAsia="Arial" w:hAnsi="Arial"/>
          <w:sz w:val="18"/>
          <w:szCs w:val="18"/>
          <w:color w:val="auto"/>
        </w:rPr>
      </w:pPr>
    </w:p>
    <w:p>
      <w:pPr>
        <w:ind w:right="200" w:firstLine="464"/>
        <w:spacing w:after="0" w:line="268" w:lineRule="auto"/>
        <w:tabs>
          <w:tab w:leader="none" w:pos="632"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Other Provisions of the Lease</w:t>
      </w:r>
      <w:r>
        <w:rPr>
          <w:rFonts w:ascii="Arial" w:cs="Arial" w:eastAsia="Arial" w:hAnsi="Arial"/>
          <w:sz w:val="18"/>
          <w:szCs w:val="18"/>
          <w:color w:val="auto"/>
        </w:rPr>
        <w:t>. The Parties acknowledge that the Lease is being modified only as stated herein, and agree that nothing else in the Lease shall be affected by this Amendment.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have executed this Amendment as of the day and year first written above.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WYNN LAS VEGAS, LLC,</w:t>
            </w:r>
          </w:p>
        </w:tc>
        <w:tc>
          <w:tcPr>
            <w:tcW w:w="5460" w:type="dxa"/>
            <w:vAlign w:val="bottom"/>
            <w:gridSpan w:val="2"/>
          </w:tcPr>
          <w:p>
            <w:pPr>
              <w:ind w:left="2360"/>
              <w:spacing w:after="0"/>
              <w:rPr>
                <w:sz w:val="20"/>
                <w:szCs w:val="20"/>
                <w:color w:val="auto"/>
              </w:rPr>
            </w:pPr>
            <w:r>
              <w:rPr>
                <w:rFonts w:ascii="Arial" w:cs="Arial" w:eastAsia="Arial" w:hAnsi="Arial"/>
                <w:sz w:val="18"/>
                <w:szCs w:val="18"/>
                <w:b w:val="1"/>
                <w:bCs w:val="1"/>
                <w:color w:val="auto"/>
              </w:rPr>
              <w:t>STEPHEN A. WYNN</w:t>
            </w:r>
          </w:p>
        </w:tc>
      </w:tr>
      <w:tr>
        <w:trPr>
          <w:trHeight w:val="222"/>
        </w:trPr>
        <w:tc>
          <w:tcPr>
            <w:tcW w:w="3700" w:type="dxa"/>
            <w:vAlign w:val="bottom"/>
            <w:gridSpan w:val="2"/>
          </w:tcPr>
          <w:p>
            <w:pPr>
              <w:spacing w:after="0"/>
              <w:rPr>
                <w:sz w:val="20"/>
                <w:szCs w:val="20"/>
                <w:color w:val="auto"/>
              </w:rPr>
            </w:pPr>
            <w:r>
              <w:rPr>
                <w:rFonts w:ascii="Arial" w:cs="Arial" w:eastAsia="Arial" w:hAnsi="Arial"/>
                <w:sz w:val="18"/>
                <w:szCs w:val="18"/>
                <w:color w:val="auto"/>
              </w:rPr>
              <w:t>a Nevada limited liability company</w:t>
            </w:r>
          </w:p>
        </w:tc>
        <w:tc>
          <w:tcPr>
            <w:tcW w:w="238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433"/>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080" w:type="dxa"/>
            <w:vAlign w:val="bottom"/>
          </w:tcPr>
          <w:p>
            <w:pPr>
              <w:spacing w:after="0"/>
              <w:rPr>
                <w:sz w:val="20"/>
                <w:szCs w:val="20"/>
                <w:color w:val="auto"/>
              </w:rPr>
            </w:pPr>
            <w:r>
              <w:rPr>
                <w:rFonts w:ascii="Arial" w:cs="Arial" w:eastAsia="Arial" w:hAnsi="Arial"/>
                <w:sz w:val="18"/>
                <w:szCs w:val="18"/>
                <w:color w:val="auto"/>
              </w:rPr>
              <w:t>/s/ Marilyn Spiegel</w:t>
            </w:r>
          </w:p>
        </w:tc>
        <w:tc>
          <w:tcPr>
            <w:tcW w:w="5460" w:type="dxa"/>
            <w:vAlign w:val="bottom"/>
            <w:gridSpan w:val="2"/>
          </w:tcPr>
          <w:p>
            <w:pPr>
              <w:ind w:left="2380"/>
              <w:spacing w:after="0"/>
              <w:rPr>
                <w:sz w:val="20"/>
                <w:szCs w:val="20"/>
                <w:color w:val="auto"/>
              </w:rPr>
            </w:pPr>
            <w:r>
              <w:rPr>
                <w:rFonts w:ascii="Arial" w:cs="Arial" w:eastAsia="Arial" w:hAnsi="Arial"/>
                <w:sz w:val="18"/>
                <w:szCs w:val="18"/>
                <w:color w:val="auto"/>
              </w:rPr>
              <w:t>/s/ Stephen A. Wynn</w:t>
            </w:r>
          </w:p>
        </w:tc>
      </w:tr>
      <w:tr>
        <w:trPr>
          <w:trHeight w:val="43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0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Marilyn Spiegel</w:t>
            </w:r>
          </w:p>
        </w:tc>
        <w:tc>
          <w:tcPr>
            <w:tcW w:w="2380" w:type="dxa"/>
            <w:vAlign w:val="bottom"/>
          </w:tcPr>
          <w:p>
            <w:pPr>
              <w:spacing w:after="0"/>
              <w:rPr>
                <w:sz w:val="24"/>
                <w:szCs w:val="24"/>
                <w:color w:val="auto"/>
              </w:rPr>
            </w:pPr>
          </w:p>
        </w:tc>
        <w:tc>
          <w:tcPr>
            <w:tcW w:w="3080" w:type="dxa"/>
            <w:vAlign w:val="bottom"/>
            <w:tcBorders>
              <w:top w:val="single" w:sz="8" w:color="auto"/>
            </w:tcBorders>
          </w:tcPr>
          <w:p>
            <w:pPr>
              <w:spacing w:after="0"/>
              <w:rPr>
                <w:sz w:val="24"/>
                <w:szCs w:val="24"/>
                <w:color w:val="auto"/>
              </w:rPr>
            </w:pPr>
          </w:p>
        </w:tc>
      </w:tr>
      <w:tr>
        <w:trPr>
          <w:trHeight w:val="439"/>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w:t>
            </w:r>
          </w:p>
        </w:tc>
        <w:tc>
          <w:tcPr>
            <w:tcW w:w="2380" w:type="dxa"/>
            <w:vAlign w:val="bottom"/>
          </w:tcPr>
          <w:p>
            <w:pPr>
              <w:spacing w:after="0"/>
              <w:rPr>
                <w:sz w:val="24"/>
                <w:szCs w:val="24"/>
                <w:color w:val="auto"/>
              </w:rPr>
            </w:pPr>
          </w:p>
        </w:tc>
        <w:tc>
          <w:tcPr>
            <w:tcW w:w="308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2019-12-09T15:52:44Z</dcterms:created>
  <dcterms:modified xsi:type="dcterms:W3CDTF">2019-12-09T15:52:44Z</dcterms:modified>
</cp:coreProperties>
</file>