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July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spacing w:after="0" w:line="11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9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July 31, 2012, Wynn Resorts (Macau) S.A. (“WRM”), an indirect subsidiary of the Registrant, amended and restated its credit facilities, dated September 14, 2004 (as so amended and restated, the “Amended Common Terms Agreement”), and appointed Bank of China Limited, Macau Branch as intercreditor agent, facilities agent and security agent. The Amended Common Terms Agreement and related agreements took effect on July 31, 2012 and expand availability under WRM’s senior secured bank facility to US$2.3 billion equivalent, consisting of a US$750 million equivalent fully funded senior secured term loan facility and a US$1.55 billion equivalent senior secured revolving credit facility. WRM also has the ability to upsize the total senior secured facilities by an additional US$200 million pursuant to the terms and provisions of the Amended Common Terms Agreement. Borrowings under the Amended Common Terms Agreement, which consist of both Hong Kong Dollar and United States Dollar tranches, will be used to refinance WRM’s existing indebtedness, to fund the design, development, construction and pre-opening expenses of Wynn Cotai (defined below) and for general corporate purposes. WRM anticipates constructing a full-scale integrated resort (“Wynn Cotai”) containing a casino, approximately 2,000 rooms and suites as well as convention, retail, entertainment and food and beverage offerings. WRM continues to work on a final design and schedule for this new project. The total budget for the project is estimated to be in the range of US$3.5 billion to US$4.0 billion.</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term loan facility matures in July 2018, and the revolving credit facility matures in July 2017. The principal amount of the term loan is required to be repaid in two equal installments in July 2017 and July 2018. The senior secured facilities will bear interest for the first six months after closing at LIBOR or HIBOR plus a margin of 2.50% and thereafter will be subject to LIBOR or HIBOR plus a margin of between 1.75% to 2.50% based on WRM’s leverage ratio.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Customary fees and expenses were paid by WRM in connection with the Amended Common Terms Agreement.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Borrowings under the Amended Common Terms Agreement are guaranteed by Palo Real Estate Company Limited (“Palo”), a subsidiary of WRM, and by certain subsidiaries of the Registrant that own equity interests in WRM, and are secured by substantially all of the assets of WRM, the equity interests in WRM and, subject to certain post-closing matters, substantially all of the assets of Palo.</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Amended Common Terms Agreement contains representations, warranties, covenants and events of default customary for casino development financings in Macau.</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lenders and agents under the Amended Common Terms Agreement and certain of their affiliates have performed investment banking, commercial lending and advisory services for WRM, the Registrant, their subsidiaries and their respective affiliates, from time to time, for which they have received customary fees and expenses. These parties may, from time to time, engage in transactions with, and perform services for, WRM, the Registrant, their subsidiaries and their respective affiliates in the ordinary course of their business.</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foregoing description of the Amended Common Terms Agreement does not purport to be complete and is qualified in its entirety by reference to the full text of the agreement, a copy of which will be filed as an exhibit to the Registrant’s Quarterly Report on Form 10-Q for the quarter ended September 30,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 Balance Sheet Arrangement of a Registrant.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herein by reference.</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6"/>
          <w:szCs w:val="16"/>
          <w:color w:val="auto"/>
        </w:rPr>
        <w:t>WYNN RESORTS, LIMITED</w:t>
      </w:r>
    </w:p>
    <w:p>
      <w:pPr>
        <w:spacing w:after="0" w:line="225" w:lineRule="exact"/>
        <w:rPr>
          <w:sz w:val="20"/>
          <w:szCs w:val="20"/>
          <w:color w:val="auto"/>
        </w:rPr>
      </w:pPr>
    </w:p>
    <w:p>
      <w:pPr>
        <w:ind w:left="6040"/>
        <w:spacing w:after="0"/>
        <w:tabs>
          <w:tab w:leader="none" w:pos="6500" w:val="left"/>
        </w:tabs>
        <w:rPr>
          <w:sz w:val="20"/>
          <w:szCs w:val="20"/>
          <w:color w:val="auto"/>
        </w:rPr>
      </w:pPr>
      <w:r>
        <w:rPr>
          <w:rFonts w:ascii="Arial" w:cs="Arial" w:eastAsia="Arial" w:hAnsi="Arial"/>
          <w:sz w:val="18"/>
          <w:szCs w:val="18"/>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2019-12-09T15:27:32Z</dcterms:created>
  <dcterms:modified xsi:type="dcterms:W3CDTF">2019-12-09T15:27:32Z</dcterms:modified>
</cp:coreProperties>
</file>