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983134 10 7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Dennis O. Garris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Alston &amp; Bird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950 F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20004-1404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239-3452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18, 2012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45"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0" w:type="dxa"/>
            <w:vAlign w:val="bottom"/>
          </w:tcPr>
          <w:p>
            <w:pPr>
              <w:ind w:left="3480"/>
              <w:spacing w:after="0"/>
              <w:rPr>
                <w:sz w:val="20"/>
                <w:szCs w:val="20"/>
                <w:color w:val="auto"/>
              </w:rPr>
            </w:pPr>
            <w:r>
              <w:rPr>
                <w:rFonts w:ascii="Arial" w:cs="Arial" w:eastAsia="Arial" w:hAnsi="Arial"/>
                <w:sz w:val="18"/>
                <w:szCs w:val="18"/>
                <w:color w:val="auto"/>
              </w:rPr>
              <w:t>SCHEDULE 13D</w:t>
            </w: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0" w:type="dxa"/>
            <w:vAlign w:val="bottom"/>
            <w:gridSpan w:val="6"/>
          </w:tcPr>
          <w:p>
            <w:pPr>
              <w:spacing w:after="0"/>
              <w:rPr>
                <w:sz w:val="20"/>
                <w:szCs w:val="20"/>
                <w:color w:val="auto"/>
              </w:rPr>
            </w:pPr>
            <w:r>
              <w:rPr>
                <w:rFonts w:ascii="Arial" w:cs="Arial" w:eastAsia="Arial" w:hAnsi="Arial"/>
                <w:sz w:val="18"/>
                <w:szCs w:val="18"/>
                <w:color w:val="auto"/>
              </w:rPr>
              <w:t>CUSIP No. 983134 10 7</w:t>
            </w:r>
          </w:p>
        </w:tc>
        <w:tc>
          <w:tcPr>
            <w:tcW w:w="4840" w:type="dxa"/>
            <w:vAlign w:val="bottom"/>
          </w:tcPr>
          <w:p>
            <w:pPr>
              <w:ind w:left="3580"/>
              <w:spacing w:after="0"/>
              <w:rPr>
                <w:sz w:val="20"/>
                <w:szCs w:val="20"/>
                <w:color w:val="auto"/>
              </w:rPr>
            </w:pPr>
            <w:r>
              <w:rPr>
                <w:rFonts w:ascii="Arial" w:cs="Arial" w:eastAsia="Arial" w:hAnsi="Arial"/>
                <w:sz w:val="18"/>
                <w:szCs w:val="18"/>
                <w:color w:val="auto"/>
                <w:w w:val="82"/>
              </w:rPr>
              <w:t>Page 2 of 6 Pages</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ARUZE USA, INC.</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612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4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50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gridSpan w:val="3"/>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4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500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AF</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93"/>
              </w:rPr>
              <w:t>Check if disclosure of legal proceedings is required pursuant to Items 2(d) or 2(e)</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Nevada, U.S.A.</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0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4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0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4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44,408,300*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tcBorders>
            <w:vMerge w:val="continue"/>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1"/>
              <w:spacing w:after="0" w:line="190"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50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4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5000" w:type="dxa"/>
            <w:vAlign w:val="bottom"/>
            <w:tcBorders>
              <w:bottom w:val="single" w:sz="8" w:color="auto"/>
            </w:tcBorders>
            <w:vMerge w:val="continue"/>
          </w:tcPr>
          <w:p>
            <w:pPr>
              <w:spacing w:after="0"/>
              <w:rPr>
                <w:sz w:val="15"/>
                <w:szCs w:val="15"/>
                <w:color w:val="auto"/>
              </w:rPr>
            </w:pPr>
          </w:p>
        </w:tc>
        <w:tc>
          <w:tcPr>
            <w:tcW w:w="4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1"/>
              <w:spacing w:after="0"/>
              <w:rPr>
                <w:sz w:val="20"/>
                <w:szCs w:val="20"/>
                <w:color w:val="auto"/>
              </w:rPr>
            </w:pPr>
            <w:r>
              <w:rPr>
                <w:rFonts w:ascii="Arial" w:cs="Arial" w:eastAsia="Arial" w:hAnsi="Arial"/>
                <w:sz w:val="18"/>
                <w:szCs w:val="18"/>
                <w:color w:val="auto"/>
                <w:w w:val="97"/>
              </w:rPr>
              <w:t>with:</w:t>
            </w:r>
          </w:p>
        </w:tc>
        <w:tc>
          <w:tcPr>
            <w:tcW w:w="80" w:type="dxa"/>
            <w:vAlign w:val="bottom"/>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50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4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24,549,222*</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44,408,300*</w:t>
            </w: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3"/>
                <w:szCs w:val="23"/>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88"/>
              </w:rPr>
              <w:t>Check if the aggregate amount in Row (11) excludes certain shares (see instructions)</w:t>
            </w:r>
          </w:p>
        </w:tc>
        <w:tc>
          <w:tcPr>
            <w:tcW w:w="48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40" w:type="dxa"/>
            <w:vAlign w:val="bottom"/>
            <w:tcBorders>
              <w:left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4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35.5%**</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CO</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52" w:lineRule="auto"/>
        <w:rPr>
          <w:sz w:val="20"/>
          <w:szCs w:val="20"/>
          <w:color w:val="auto"/>
        </w:rPr>
      </w:pPr>
      <w:r>
        <w:rPr>
          <w:rFonts w:ascii="Arial" w:cs="Arial" w:eastAsia="Arial" w:hAnsi="Arial"/>
          <w:sz w:val="18"/>
          <w:szCs w:val="18"/>
          <w:color w:val="auto"/>
        </w:rPr>
        <w:t>*Includes 10,026,708 shares (the “SAW Shares”) held by Stephen A. Wynn (“Mr. Wynn”) and 9,832,370 shares (the “EW Shares”) held by Elaine P. Wynn (“Ms. Wynn”) that may be deemed to be beneficially owned by the Reporting Persons as a result of that certain amended and restated stockholders agreement, dated as of January 6, 2010 (the “Stockholder Agreement”), among Mr. Wynn, Ms. Wynn and Aruze USA, Inc. The Reporting Persons disclaim beneficial ownership of the SAW Shares and the EW Shares. See Item 4.</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**Based on 124,957,158 shares of common stock outstanding as of November 1, 2011, according to the Issuer’s Form 10-Q filed with the Securities and Exchange Commission on November 9, 2011.</w:t>
      </w:r>
    </w:p>
    <w:p>
      <w:pPr>
        <w:sectPr>
          <w:pgSz w:w="11900" w:h="16838" w:orient="portrait"/>
          <w:cols w:equalWidth="0" w:num="1">
            <w:col w:w="11440"/>
          </w:cols>
          <w:pgMar w:left="240" w:top="280" w:right="2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0" w:type="dxa"/>
            <w:vAlign w:val="bottom"/>
          </w:tcPr>
          <w:p>
            <w:pPr>
              <w:ind w:left="3480"/>
              <w:spacing w:after="0"/>
              <w:rPr>
                <w:sz w:val="20"/>
                <w:szCs w:val="20"/>
                <w:color w:val="auto"/>
              </w:rPr>
            </w:pPr>
            <w:r>
              <w:rPr>
                <w:rFonts w:ascii="Arial" w:cs="Arial" w:eastAsia="Arial" w:hAnsi="Arial"/>
                <w:sz w:val="18"/>
                <w:szCs w:val="18"/>
                <w:color w:val="auto"/>
              </w:rPr>
              <w:t>SCHEDULE 13D</w:t>
            </w: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0" w:type="dxa"/>
            <w:vAlign w:val="bottom"/>
            <w:gridSpan w:val="6"/>
          </w:tcPr>
          <w:p>
            <w:pPr>
              <w:spacing w:after="0"/>
              <w:rPr>
                <w:sz w:val="20"/>
                <w:szCs w:val="20"/>
                <w:color w:val="auto"/>
              </w:rPr>
            </w:pPr>
            <w:r>
              <w:rPr>
                <w:rFonts w:ascii="Arial" w:cs="Arial" w:eastAsia="Arial" w:hAnsi="Arial"/>
                <w:sz w:val="18"/>
                <w:szCs w:val="18"/>
                <w:color w:val="auto"/>
              </w:rPr>
              <w:t>CUSIP No. 983134 10 7</w:t>
            </w:r>
          </w:p>
        </w:tc>
        <w:tc>
          <w:tcPr>
            <w:tcW w:w="4840" w:type="dxa"/>
            <w:vAlign w:val="bottom"/>
          </w:tcPr>
          <w:p>
            <w:pPr>
              <w:ind w:left="3580"/>
              <w:spacing w:after="0"/>
              <w:rPr>
                <w:sz w:val="20"/>
                <w:szCs w:val="20"/>
                <w:color w:val="auto"/>
              </w:rPr>
            </w:pPr>
            <w:r>
              <w:rPr>
                <w:rFonts w:ascii="Arial" w:cs="Arial" w:eastAsia="Arial" w:hAnsi="Arial"/>
                <w:sz w:val="18"/>
                <w:szCs w:val="18"/>
                <w:color w:val="auto"/>
                <w:w w:val="82"/>
              </w:rPr>
              <w:t>Page 3 of 6 Pages</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UNIVERSAL ENTERTAINMENT CORPORATION</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612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4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50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gridSpan w:val="3"/>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4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500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OO</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93"/>
              </w:rPr>
              <w:t>Check if disclosure of legal proceedings is required pursuant to Items 2(d) or 2(e)</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Japan</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0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4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0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4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44,408,300*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tcBorders>
            <w:vMerge w:val="continue"/>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50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4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5000" w:type="dxa"/>
            <w:vAlign w:val="bottom"/>
            <w:tcBorders>
              <w:bottom w:val="single" w:sz="8" w:color="auto"/>
            </w:tcBorders>
            <w:vMerge w:val="continue"/>
          </w:tcPr>
          <w:p>
            <w:pPr>
              <w:spacing w:after="0"/>
              <w:rPr>
                <w:sz w:val="15"/>
                <w:szCs w:val="15"/>
                <w:color w:val="auto"/>
              </w:rPr>
            </w:pPr>
          </w:p>
        </w:tc>
        <w:tc>
          <w:tcPr>
            <w:tcW w:w="4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2"/>
              <w:spacing w:after="0"/>
              <w:rPr>
                <w:sz w:val="20"/>
                <w:szCs w:val="20"/>
                <w:color w:val="auto"/>
              </w:rPr>
            </w:pPr>
            <w:r>
              <w:rPr>
                <w:rFonts w:ascii="Arial" w:cs="Arial" w:eastAsia="Arial" w:hAnsi="Arial"/>
                <w:sz w:val="18"/>
                <w:szCs w:val="18"/>
                <w:color w:val="auto"/>
                <w:w w:val="97"/>
              </w:rPr>
              <w:t>with:</w:t>
            </w:r>
          </w:p>
        </w:tc>
        <w:tc>
          <w:tcPr>
            <w:tcW w:w="80" w:type="dxa"/>
            <w:vAlign w:val="bottom"/>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50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4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24,549,222*</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44,408,300*</w:t>
            </w: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3"/>
                <w:szCs w:val="23"/>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88"/>
              </w:rPr>
              <w:t>Check if the aggregate amount in Row (11) excludes certain shares (see instructions)</w:t>
            </w:r>
          </w:p>
        </w:tc>
        <w:tc>
          <w:tcPr>
            <w:tcW w:w="48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40" w:type="dxa"/>
            <w:vAlign w:val="bottom"/>
            <w:tcBorders>
              <w:left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4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35.5%**</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CO</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52" w:lineRule="auto"/>
        <w:rPr>
          <w:sz w:val="20"/>
          <w:szCs w:val="20"/>
          <w:color w:val="auto"/>
        </w:rPr>
      </w:pPr>
      <w:r>
        <w:rPr>
          <w:rFonts w:ascii="Arial" w:cs="Arial" w:eastAsia="Arial" w:hAnsi="Arial"/>
          <w:sz w:val="18"/>
          <w:szCs w:val="18"/>
          <w:color w:val="auto"/>
        </w:rPr>
        <w:t>*Includes 10,026,708 shares (the “SAW Shares”) held by Stephen A. Wynn (“Mr. Wynn”) and 9,832,370 shares (the “EW Shares”) held by Elaine P. Wynn (“Ms. Wynn”) that may be deemed to be beneficially owned by the Reporting Persons as a result of that certain amended and restated stockholders agreement, dated as of January 6, 2010 (the “Stockholder Agreement”), among Mr. Wynn, Ms. Wynn and Aruze USA, Inc. The Reporting Persons disclaim beneficial ownership of the SAW Shares and the EW Shares. See Item 4.</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**Based on 124,957,158 shares of common stock outstanding as of November 1, 2011, according to the Issuer’s Form 10-Q filed with the Securities and Exchange Commission on November 9, 2011.</w:t>
      </w:r>
    </w:p>
    <w:p>
      <w:pPr>
        <w:sectPr>
          <w:pgSz w:w="11900" w:h="16838" w:orient="portrait"/>
          <w:cols w:equalWidth="0" w:num="1">
            <w:col w:w="11440"/>
          </w:cols>
          <w:pgMar w:left="240" w:top="280" w:right="2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0" w:type="dxa"/>
            <w:vAlign w:val="bottom"/>
          </w:tcPr>
          <w:p>
            <w:pPr>
              <w:ind w:left="3480"/>
              <w:spacing w:after="0"/>
              <w:rPr>
                <w:sz w:val="20"/>
                <w:szCs w:val="20"/>
                <w:color w:val="auto"/>
              </w:rPr>
            </w:pPr>
            <w:r>
              <w:rPr>
                <w:rFonts w:ascii="Arial" w:cs="Arial" w:eastAsia="Arial" w:hAnsi="Arial"/>
                <w:sz w:val="18"/>
                <w:szCs w:val="18"/>
                <w:color w:val="auto"/>
              </w:rPr>
              <w:t>SCHEDULE 13D</w:t>
            </w: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0" w:type="dxa"/>
            <w:vAlign w:val="bottom"/>
            <w:gridSpan w:val="6"/>
          </w:tcPr>
          <w:p>
            <w:pPr>
              <w:spacing w:after="0"/>
              <w:rPr>
                <w:sz w:val="20"/>
                <w:szCs w:val="20"/>
                <w:color w:val="auto"/>
              </w:rPr>
            </w:pPr>
            <w:r>
              <w:rPr>
                <w:rFonts w:ascii="Arial" w:cs="Arial" w:eastAsia="Arial" w:hAnsi="Arial"/>
                <w:sz w:val="18"/>
                <w:szCs w:val="18"/>
                <w:color w:val="auto"/>
              </w:rPr>
              <w:t>CUSIP No. 983134 10 7</w:t>
            </w:r>
          </w:p>
        </w:tc>
        <w:tc>
          <w:tcPr>
            <w:tcW w:w="4840" w:type="dxa"/>
            <w:vAlign w:val="bottom"/>
          </w:tcPr>
          <w:p>
            <w:pPr>
              <w:ind w:left="3580"/>
              <w:spacing w:after="0"/>
              <w:rPr>
                <w:sz w:val="20"/>
                <w:szCs w:val="20"/>
                <w:color w:val="auto"/>
              </w:rPr>
            </w:pPr>
            <w:r>
              <w:rPr>
                <w:rFonts w:ascii="Arial" w:cs="Arial" w:eastAsia="Arial" w:hAnsi="Arial"/>
                <w:sz w:val="18"/>
                <w:szCs w:val="18"/>
                <w:color w:val="auto"/>
                <w:w w:val="82"/>
              </w:rPr>
              <w:t>Page 4 of 6 Pages</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KAZUO OKADA</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612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4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50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gridSpan w:val="3"/>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4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500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PF</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93"/>
              </w:rPr>
              <w:t>Check if disclosure of legal proceedings is required pursuant to Items 2(d) or 2(e)</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Japan</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0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4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0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4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44,408,300*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tcBorders>
            <w:vMerge w:val="continue"/>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50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4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color w:val="auto"/>
              </w:rPr>
              <w:t>*</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5000" w:type="dxa"/>
            <w:vAlign w:val="bottom"/>
            <w:tcBorders>
              <w:bottom w:val="single" w:sz="8" w:color="auto"/>
            </w:tcBorders>
            <w:vMerge w:val="continue"/>
          </w:tcPr>
          <w:p>
            <w:pPr>
              <w:spacing w:after="0"/>
              <w:rPr>
                <w:sz w:val="15"/>
                <w:szCs w:val="15"/>
                <w:color w:val="auto"/>
              </w:rPr>
            </w:pPr>
          </w:p>
        </w:tc>
        <w:tc>
          <w:tcPr>
            <w:tcW w:w="4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2"/>
              <w:spacing w:after="0"/>
              <w:rPr>
                <w:sz w:val="20"/>
                <w:szCs w:val="20"/>
                <w:color w:val="auto"/>
              </w:rPr>
            </w:pPr>
            <w:r>
              <w:rPr>
                <w:rFonts w:ascii="Arial" w:cs="Arial" w:eastAsia="Arial" w:hAnsi="Arial"/>
                <w:sz w:val="18"/>
                <w:szCs w:val="18"/>
                <w:color w:val="auto"/>
                <w:w w:val="97"/>
              </w:rPr>
              <w:t>with:</w:t>
            </w:r>
          </w:p>
        </w:tc>
        <w:tc>
          <w:tcPr>
            <w:tcW w:w="80" w:type="dxa"/>
            <w:vAlign w:val="bottom"/>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50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4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24,549,222*</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44,408,300*</w:t>
            </w: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3"/>
                <w:szCs w:val="23"/>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88"/>
              </w:rPr>
              <w:t>Check if the aggregate amount in Row (11) excludes certain shares (see instructions)</w:t>
            </w:r>
          </w:p>
        </w:tc>
        <w:tc>
          <w:tcPr>
            <w:tcW w:w="48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40" w:type="dxa"/>
            <w:vAlign w:val="bottom"/>
            <w:tcBorders>
              <w:left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4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35.5%**</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52" w:lineRule="auto"/>
        <w:rPr>
          <w:sz w:val="20"/>
          <w:szCs w:val="20"/>
          <w:color w:val="auto"/>
        </w:rPr>
      </w:pPr>
      <w:r>
        <w:rPr>
          <w:rFonts w:ascii="Arial" w:cs="Arial" w:eastAsia="Arial" w:hAnsi="Arial"/>
          <w:sz w:val="18"/>
          <w:szCs w:val="18"/>
          <w:color w:val="auto"/>
        </w:rPr>
        <w:t>*Includes 10,026,708 shares (the “SAW Shares”) held by Stephen A. Wynn (“Mr. Wynn”) and 9,832,370 shares (the “EW Shares”) held by Elaine P. Wynn (“Ms. Wynn”) that may be deemed to be beneficially owned by the Reporting Persons as a result of that certain amended and restated stockholders agreement, dated as of January 6, 2010 (the “Stockholder Agreement”), among Mr. Wynn, Ms. Wynn and Aruze USA, Inc. The Reporting Persons disclaim beneficial ownership of the SAW Shares and the EW Shares. See Item 4.</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**Based on 124,957,158 shares of common stock outstanding as of November 1, 2011, according to the Issuer’s Form 10-Q filed with the Securities and Exchange Commission on November 9, 2011.</w:t>
      </w:r>
    </w:p>
    <w:p>
      <w:pPr>
        <w:sectPr>
          <w:pgSz w:w="11900" w:h="16838" w:orient="portrait"/>
          <w:cols w:equalWidth="0" w:num="1">
            <w:col w:w="11440"/>
          </w:cols>
          <w:pgMar w:left="240" w:top="280"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158" w:lineRule="exact"/>
        <w:rPr>
          <w:sz w:val="20"/>
          <w:szCs w:val="20"/>
          <w:color w:val="auto"/>
        </w:rPr>
      </w:pPr>
    </w:p>
    <w:p>
      <w:pPr>
        <w:spacing w:after="0"/>
        <w:tabs>
          <w:tab w:leader="none" w:pos="10160" w:val="left"/>
        </w:tabs>
        <w:rPr>
          <w:sz w:val="20"/>
          <w:szCs w:val="20"/>
          <w:color w:val="auto"/>
        </w:rPr>
      </w:pPr>
      <w:r>
        <w:rPr>
          <w:rFonts w:ascii="Arial" w:cs="Arial" w:eastAsia="Arial" w:hAnsi="Arial"/>
          <w:sz w:val="18"/>
          <w:szCs w:val="18"/>
          <w:color w:val="auto"/>
        </w:rPr>
        <w:t>CUSIP No. 983134 10 7</w:t>
      </w:r>
      <w:r>
        <w:rPr>
          <w:sz w:val="20"/>
          <w:szCs w:val="20"/>
          <w:color w:val="auto"/>
        </w:rPr>
        <w:tab/>
      </w:r>
      <w:r>
        <w:rPr>
          <w:rFonts w:ascii="Arial" w:cs="Arial" w:eastAsia="Arial" w:hAnsi="Arial"/>
          <w:sz w:val="15"/>
          <w:szCs w:val="15"/>
          <w:color w:val="auto"/>
        </w:rPr>
        <w:t>Page 5 of 6 Pages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Amendment No. 8 to Schedule 13D (“Amendment No. 8”) amends and supplements the statement on Schedule 13D initially filed with the Securities and Exchange Commission (the “SEC”) on November 13, 2002 (the “Original Filing”), as amended by Amendment No. 1 filed on November 14, 2006, by Amendment No. 2 filed on August 3, 2009, by Amendment No. 3 filed on August 18, 2009, by Amendment No. 4 filed on January 6, 2010, by Amendment No. 5 filed on December 3, 2010, by Amendment No. 6 filed on December 20, 2010, and by Amendment No. 7 filed on January 11, 2012 by Aruze, USA, Inc., Universal Entertainment Corporation and Kazuo Okada (collectively the “Reporting Persons”). Information reported in the Original Filing, as amended, remains in effect except to the extent that it is expressly amended, restated or superseded by information contained in this Amendment No. 8. Capitalized terms used and not defined in this Amendment No. 8 have the meanings set forth in the Original Filing, as amended.</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Amendment No. 8 is being filed jointly pursuant to Rule 13d-1(k)(1) under the Securities Exchange Act of 1934, as amended (the “Exchange Act”), by the Reporting Persons.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as follows: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18, 2011, Aruze USA, Inc., submitted nominees to the Nominating and Corporate Governance Committee of the Company (the “Committee”) to be considered for nomination by the Committee for election as Class I directors of the Company and included in the Company’s proxy statement relating to the Company’s 2012 annual meeting of the stockholders (the “2012 Annual Meeting”). Aruze submitted its candidates to the Committee pursuant to the Company’s corporate governance policies and the Committee’s procedures set forth in the Company’s proxy statement for its 2011 annual meeting of the stockholders. Aruze is submitting these candidates for nomination to the Company’s Board of Directors in order to strengthen the Board and to provide strong, independent directors to enhance the Company’s corporate governance and help lead the Company in its future success.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Aruze is party to the Amended and Restated Stockholders Agreement, dated January 6, 2010 among Aruze, Stephen A. Wynn (“Mr. Wynn”) and Elaine P. Wynn (“Ms. Wynn”) (the “Stockholders Agreement”). Pursuant to Section 2(a) of the Stockholders Agreement, Mr. Wynn is required to endorse and vote his shares and Ms. Wynn’s shares in favor of nominees designated by Aruze that represent a minority of the Board. The Stockholders Agreement is filed as an exhibit to Amendment No. 4 to the Reporting Persons’ Schedule 13D.</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There are four Class I directors whose terms expire this year. Aruze is designating three candidates to be considered for nomination by the Company as Class I directors for election at the 2012 Annual Meeting. Ms. Wynn is currently a Class I director. Pursuant to the Stockholders Agreement, Mr. Wynn is required to endorse Ms. Wynn as a nominee, subject to limited exceptions. In the event Ms. Wynn decides not to stand for reelection, Aruze has designated a fourth nominee in its slate of directors. Each of the Aruze nominees are independent of the Company, Aruze and its affiliates (including the Company founder and board member, Mr. Kazuo Okada) and each would qualify as independent under Rule 5605 of the Nasdaq listing standards.</w:t>
      </w:r>
    </w:p>
    <w:p>
      <w:pPr>
        <w:spacing w:after="0" w:line="83" w:lineRule="exact"/>
        <w:rPr>
          <w:sz w:val="20"/>
          <w:szCs w:val="20"/>
          <w:color w:val="auto"/>
        </w:rPr>
      </w:pPr>
    </w:p>
    <w:p>
      <w:pPr>
        <w:ind w:right="3440"/>
        <w:spacing w:after="0" w:line="414" w:lineRule="auto"/>
        <w:rPr>
          <w:sz w:val="20"/>
          <w:szCs w:val="20"/>
          <w:color w:val="auto"/>
        </w:rPr>
      </w:pPr>
      <w:r>
        <w:rPr>
          <w:rFonts w:ascii="Arial" w:cs="Arial" w:eastAsia="Arial" w:hAnsi="Arial"/>
          <w:sz w:val="18"/>
          <w:szCs w:val="18"/>
          <w:b w:val="1"/>
          <w:bCs w:val="1"/>
          <w:color w:val="auto"/>
        </w:rPr>
        <w:t xml:space="preserve">Item 6. Contracts, Arrangements, Understandings or Relationships with Respect to Securities of the Issuer </w:t>
      </w:r>
      <w:r>
        <w:rPr>
          <w:rFonts w:ascii="Arial" w:cs="Arial" w:eastAsia="Arial" w:hAnsi="Arial"/>
          <w:sz w:val="18"/>
          <w:szCs w:val="18"/>
          <w:color w:val="auto"/>
        </w:rPr>
        <w:t xml:space="preserve">Information from Item 4 is incorporated by reference into Item 6. </w:t>
      </w:r>
      <w:r>
        <w:rPr>
          <w:rFonts w:ascii="Arial" w:cs="Arial" w:eastAsia="Arial" w:hAnsi="Arial"/>
          <w:sz w:val="18"/>
          <w:szCs w:val="18"/>
          <w:b w:val="1"/>
          <w:bCs w:val="1"/>
          <w:color w:val="auto"/>
        </w:rPr>
        <w:t>Item 7. Material to Be Filed as Exhibits</w:t>
      </w:r>
    </w:p>
    <w:p>
      <w:pPr>
        <w:spacing w:after="0" w:line="2" w:lineRule="exact"/>
        <w:rPr>
          <w:sz w:val="20"/>
          <w:szCs w:val="20"/>
          <w:color w:val="auto"/>
        </w:rPr>
      </w:pPr>
    </w:p>
    <w:p>
      <w:pPr>
        <w:ind w:left="920" w:right="580" w:hanging="904"/>
        <w:spacing w:after="0" w:line="268" w:lineRule="auto"/>
        <w:tabs>
          <w:tab w:leader="none" w:pos="900" w:val="left"/>
        </w:tabs>
        <w:rPr>
          <w:sz w:val="20"/>
          <w:szCs w:val="20"/>
          <w:color w:val="auto"/>
        </w:rPr>
      </w:pPr>
      <w:r>
        <w:rPr>
          <w:rFonts w:ascii="Arial" w:cs="Arial" w:eastAsia="Arial" w:hAnsi="Arial"/>
          <w:sz w:val="18"/>
          <w:szCs w:val="18"/>
          <w:color w:val="auto"/>
        </w:rPr>
        <w:t>Exhibit 1</w:t>
        <w:tab/>
        <w:t>Joint Filing Agreement, dated January 11, 2012 among Aruze USA, Inc., Universal Entertainment Corporation and Kazuo Okada, which was included as Exhibit 2 to Amendment 7 and filed with the SEC on January 11, 2012.</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158" w:lineRule="exact"/>
        <w:rPr>
          <w:sz w:val="20"/>
          <w:szCs w:val="20"/>
          <w:color w:val="auto"/>
        </w:rPr>
      </w:pPr>
    </w:p>
    <w:p>
      <w:pPr>
        <w:spacing w:after="0"/>
        <w:tabs>
          <w:tab w:leader="none" w:pos="10160" w:val="left"/>
        </w:tabs>
        <w:rPr>
          <w:sz w:val="20"/>
          <w:szCs w:val="20"/>
          <w:color w:val="auto"/>
        </w:rPr>
      </w:pPr>
      <w:r>
        <w:rPr>
          <w:rFonts w:ascii="Arial" w:cs="Arial" w:eastAsia="Arial" w:hAnsi="Arial"/>
          <w:sz w:val="18"/>
          <w:szCs w:val="18"/>
          <w:color w:val="auto"/>
        </w:rPr>
        <w:t>CUSIP No. 983134 10 7</w:t>
      </w:r>
      <w:r>
        <w:rPr>
          <w:sz w:val="20"/>
          <w:szCs w:val="20"/>
          <w:color w:val="auto"/>
        </w:rPr>
        <w:tab/>
      </w:r>
      <w:r>
        <w:rPr>
          <w:rFonts w:ascii="Arial" w:cs="Arial" w:eastAsia="Arial" w:hAnsi="Arial"/>
          <w:sz w:val="15"/>
          <w:szCs w:val="15"/>
          <w:color w:val="auto"/>
        </w:rPr>
        <w:t>Page 6 of 6 Pages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amended statement is true, complete and correct.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Date: January 18, 2012</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ARUZE USA, INC.</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10795</wp:posOffset>
            </wp:positionV>
            <wp:extent cx="2864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Kazuo Okada</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Its: President</w:t>
      </w:r>
    </w:p>
    <w:p>
      <w:pPr>
        <w:spacing w:after="0" w:line="17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UNIVERSAL ENTERTAINMENT CORPORATION</w:t>
      </w:r>
    </w:p>
    <w:p>
      <w:pPr>
        <w:spacing w:after="0" w:line="18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10795</wp:posOffset>
            </wp:positionV>
            <wp:extent cx="2864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Kazuo Okada</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Its: Chairman and Director</w:t>
      </w:r>
    </w:p>
    <w:p>
      <w:pPr>
        <w:spacing w:after="0" w:line="17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10795</wp:posOffset>
            </wp:positionV>
            <wp:extent cx="2864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Kazuo Okada, Individually</w:t>
      </w:r>
    </w:p>
    <w:p>
      <w:pPr>
        <w:sectPr>
          <w:pgSz w:w="11900" w:h="16838" w:orient="portrait"/>
          <w:cols w:equalWidth="0" w:num="1">
            <w:col w:w="11420"/>
          </w:cols>
          <w:pgMar w:left="240" w:top="2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6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r>
      <w:tr>
        <w:trPr>
          <w:trHeight w:val="319"/>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1040" w:type="dxa"/>
            <w:vAlign w:val="bottom"/>
          </w:tcPr>
          <w:p>
            <w:pPr>
              <w:spacing w:after="0"/>
              <w:rPr>
                <w:sz w:val="24"/>
                <w:szCs w:val="24"/>
                <w:color w:val="auto"/>
              </w:rPr>
            </w:pPr>
          </w:p>
        </w:tc>
        <w:tc>
          <w:tcPr>
            <w:tcW w:w="9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1040" w:type="dxa"/>
            <w:vAlign w:val="bottom"/>
          </w:tcPr>
          <w:p>
            <w:pPr>
              <w:spacing w:after="0"/>
              <w:rPr>
                <w:sz w:val="16"/>
                <w:szCs w:val="16"/>
                <w:color w:val="auto"/>
              </w:rPr>
            </w:pPr>
          </w:p>
        </w:tc>
        <w:tc>
          <w:tcPr>
            <w:tcW w:w="9660" w:type="dxa"/>
            <w:vAlign w:val="bottom"/>
          </w:tcPr>
          <w:p>
            <w:pPr>
              <w:spacing w:after="0" w:line="195" w:lineRule="exact"/>
              <w:rPr>
                <w:sz w:val="20"/>
                <w:szCs w:val="20"/>
                <w:color w:val="auto"/>
              </w:rPr>
            </w:pPr>
            <w:r>
              <w:rPr>
                <w:rFonts w:ascii="Arial" w:cs="Arial" w:eastAsia="Arial" w:hAnsi="Arial"/>
                <w:sz w:val="18"/>
                <w:szCs w:val="18"/>
                <w:color w:val="auto"/>
                <w:w w:val="89"/>
              </w:rPr>
              <w:t>Joint Filing Agreement, dated January 11, 2012 among Aruze USA, Inc., Universal Entertainment Corporation and Kazuo Okada, which</w:t>
            </w:r>
          </w:p>
        </w:tc>
      </w:tr>
      <w:tr>
        <w:trPr>
          <w:trHeight w:val="222"/>
        </w:trPr>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was included as Exhibit 2 to Amendment 7 and filed with the SEC on January 11, 2012.</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2019-12-09T15:27:33Z</dcterms:created>
  <dcterms:modified xsi:type="dcterms:W3CDTF">2019-12-09T15:27:33Z</dcterms:modified>
</cp:coreProperties>
</file>