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6">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120" w:type="dxa"/>
            <w:vAlign w:val="bottom"/>
            <w:gridSpan w:val="5"/>
          </w:tcPr>
          <w:p>
            <w:pPr>
              <w:jc w:val="center"/>
              <w:ind w:left="292"/>
              <w:spacing w:after="0"/>
              <w:rPr>
                <w:sz w:val="20"/>
                <w:szCs w:val="20"/>
                <w:color w:val="auto"/>
              </w:rPr>
            </w:pPr>
            <w:r>
              <w:rPr>
                <w:rFonts w:ascii="Arial" w:cs="Arial" w:eastAsia="Arial" w:hAnsi="Arial"/>
                <w:sz w:val="18"/>
                <w:szCs w:val="18"/>
                <w:b w:val="1"/>
                <w:bCs w:val="1"/>
                <w:color w:val="auto"/>
                <w:w w:val="98"/>
              </w:rPr>
              <w:t>Filed Pursuant to Rule 424(b)(2)</w:t>
            </w:r>
          </w:p>
        </w:tc>
      </w:tr>
      <w:tr>
        <w:trPr>
          <w:trHeight w:val="233"/>
        </w:trPr>
        <w:tc>
          <w:tcPr>
            <w:tcW w:w="3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120" w:type="dxa"/>
            <w:vAlign w:val="bottom"/>
            <w:gridSpan w:val="5"/>
          </w:tcPr>
          <w:p>
            <w:pPr>
              <w:jc w:val="center"/>
              <w:ind w:left="312"/>
              <w:spacing w:after="0"/>
              <w:rPr>
                <w:sz w:val="20"/>
                <w:szCs w:val="20"/>
                <w:color w:val="auto"/>
              </w:rPr>
            </w:pPr>
            <w:r>
              <w:rPr>
                <w:rFonts w:ascii="Arial" w:cs="Arial" w:eastAsia="Arial" w:hAnsi="Arial"/>
                <w:sz w:val="18"/>
                <w:szCs w:val="18"/>
                <w:b w:val="1"/>
                <w:bCs w:val="1"/>
                <w:color w:val="auto"/>
                <w:w w:val="97"/>
              </w:rPr>
              <w:t>Registration Number 333-146360</w:t>
            </w:r>
          </w:p>
        </w:tc>
      </w:tr>
      <w:tr>
        <w:trPr>
          <w:trHeight w:val="365"/>
        </w:trPr>
        <w:tc>
          <w:tcPr>
            <w:tcW w:w="3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980" w:type="dxa"/>
            <w:vAlign w:val="bottom"/>
            <w:gridSpan w:val="3"/>
          </w:tcPr>
          <w:p>
            <w:pPr>
              <w:ind w:left="380"/>
              <w:spacing w:after="0"/>
              <w:rPr>
                <w:sz w:val="20"/>
                <w:szCs w:val="20"/>
                <w:color w:val="auto"/>
              </w:rPr>
            </w:pPr>
            <w:r>
              <w:rPr>
                <w:rFonts w:ascii="Arial" w:cs="Arial" w:eastAsia="Arial" w:hAnsi="Arial"/>
                <w:sz w:val="18"/>
                <w:szCs w:val="18"/>
                <w:b w:val="1"/>
                <w:bCs w:val="1"/>
                <w:color w:val="auto"/>
              </w:rPr>
              <w:t>CALCULATION OF REGISTRATION FEE</w:t>
            </w: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23"/>
        </w:trPr>
        <w:tc>
          <w:tcPr>
            <w:tcW w:w="3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5"/>
              </w:rPr>
              <w:t>Proposed</w:t>
            </w: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49"/>
        </w:trPr>
        <w:tc>
          <w:tcPr>
            <w:tcW w:w="3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Maximum</w:t>
            </w:r>
          </w:p>
        </w:tc>
        <w:tc>
          <w:tcPr>
            <w:tcW w:w="56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Proposed</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9"/>
        </w:trPr>
        <w:tc>
          <w:tcPr>
            <w:tcW w:w="3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Offering</w:t>
            </w:r>
          </w:p>
        </w:tc>
        <w:tc>
          <w:tcPr>
            <w:tcW w:w="56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Maximum</w:t>
            </w:r>
          </w:p>
        </w:tc>
        <w:tc>
          <w:tcPr>
            <w:tcW w:w="2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Amount of</w:t>
            </w:r>
          </w:p>
        </w:tc>
      </w:tr>
      <w:tr>
        <w:trPr>
          <w:trHeight w:val="149"/>
        </w:trPr>
        <w:tc>
          <w:tcPr>
            <w:tcW w:w="3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Amount to be</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56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Aggregate</w:t>
            </w:r>
          </w:p>
        </w:tc>
        <w:tc>
          <w:tcPr>
            <w:tcW w:w="2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Registration</w:t>
            </w:r>
          </w:p>
        </w:tc>
      </w:tr>
      <w:tr>
        <w:trPr>
          <w:trHeight w:val="165"/>
        </w:trPr>
        <w:tc>
          <w:tcPr>
            <w:tcW w:w="3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3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Registered (1)</w:t>
            </w:r>
          </w:p>
        </w:tc>
        <w:tc>
          <w:tcPr>
            <w:tcW w:w="5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per Share</w:t>
            </w:r>
          </w:p>
        </w:tc>
        <w:tc>
          <w:tcPr>
            <w:tcW w:w="5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Offering Price</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Fee</w:t>
            </w:r>
          </w:p>
        </w:tc>
      </w:tr>
      <w:tr>
        <w:trPr>
          <w:trHeight w:val="208"/>
        </w:trPr>
        <w:tc>
          <w:tcPr>
            <w:tcW w:w="3680" w:type="dxa"/>
            <w:vAlign w:val="bottom"/>
            <w:gridSpan w:val="2"/>
          </w:tcPr>
          <w:p>
            <w:pPr>
              <w:spacing w:after="0"/>
              <w:rPr>
                <w:sz w:val="20"/>
                <w:szCs w:val="20"/>
                <w:color w:val="auto"/>
              </w:rPr>
            </w:pPr>
            <w:r>
              <w:rPr>
                <w:rFonts w:ascii="Arial" w:cs="Arial" w:eastAsia="Arial" w:hAnsi="Arial"/>
                <w:sz w:val="18"/>
                <w:szCs w:val="18"/>
                <w:color w:val="auto"/>
              </w:rPr>
              <w:t>Common Stock, par value $0.01 per share</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9,200,000</w:t>
            </w:r>
          </w:p>
        </w:tc>
        <w:tc>
          <w:tcPr>
            <w:tcW w:w="5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$ 43.50</w:t>
            </w:r>
          </w:p>
        </w:tc>
        <w:tc>
          <w:tcPr>
            <w:tcW w:w="1940" w:type="dxa"/>
            <w:vAlign w:val="bottom"/>
            <w:gridSpan w:val="3"/>
          </w:tcPr>
          <w:p>
            <w:pPr>
              <w:jc w:val="center"/>
              <w:ind w:left="192"/>
              <w:spacing w:after="0"/>
              <w:rPr>
                <w:sz w:val="20"/>
                <w:szCs w:val="20"/>
                <w:color w:val="auto"/>
              </w:rPr>
            </w:pPr>
            <w:r>
              <w:rPr>
                <w:rFonts w:ascii="Arial" w:cs="Arial" w:eastAsia="Arial" w:hAnsi="Arial"/>
                <w:sz w:val="18"/>
                <w:szCs w:val="18"/>
                <w:color w:val="auto"/>
                <w:w w:val="95"/>
              </w:rPr>
              <w:t>$ 400,200,000</w:t>
            </w:r>
          </w:p>
        </w:tc>
        <w:tc>
          <w:tcPr>
            <w:tcW w:w="1180" w:type="dxa"/>
            <w:vAlign w:val="bottom"/>
            <w:gridSpan w:val="2"/>
          </w:tcPr>
          <w:p>
            <w:pPr>
              <w:jc w:val="center"/>
              <w:ind w:left="192"/>
              <w:spacing w:after="0"/>
              <w:rPr>
                <w:sz w:val="20"/>
                <w:szCs w:val="20"/>
                <w:color w:val="auto"/>
              </w:rPr>
            </w:pPr>
            <w:r>
              <w:rPr>
                <w:rFonts w:ascii="Arial" w:cs="Arial" w:eastAsia="Arial" w:hAnsi="Arial"/>
                <w:sz w:val="18"/>
                <w:szCs w:val="18"/>
                <w:color w:val="auto"/>
                <w:w w:val="99"/>
              </w:rPr>
              <w:t>$15,727.86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89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1"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Reflects the potential issuance of additional shares of common stock pursuant to an over-allotment option.</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September 27,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2992755" cy="128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92755"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Wynn Resorts, Limited</w:t>
      </w:r>
    </w:p>
    <w:p>
      <w:pPr>
        <w:spacing w:after="0" w:line="15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8,000,000 Shares</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Common Stock</w:t>
      </w:r>
    </w:p>
    <w:p>
      <w:pPr>
        <w:spacing w:after="0" w:line="239"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This is a public offering of common stock of Wynn Resorts, Limited. We are offering 8,000,000 shares of our common stock. Our common stock is quoted on the Nasdaq Global Select Market under the symbol “WYNN.” On November 13, 2008, the last reported sale price of our common stock was $44.76 per share.</w:t>
      </w:r>
    </w:p>
    <w:p>
      <w:pPr>
        <w:spacing w:after="0" w:line="226" w:lineRule="exact"/>
        <w:rPr>
          <w:sz w:val="20"/>
          <w:szCs w:val="20"/>
          <w:color w:val="auto"/>
        </w:rPr>
      </w:pPr>
    </w:p>
    <w:p>
      <w:pPr>
        <w:ind w:right="420"/>
        <w:spacing w:after="0" w:line="261"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Investing in our common stock involves </w:t>
      </w:r>
      <w:hyperlink w:anchor="page5">
        <w:r>
          <w:rPr>
            <w:rFonts w:ascii="Arial" w:cs="Arial" w:eastAsia="Arial" w:hAnsi="Arial"/>
            <w:sz w:val="22"/>
            <w:szCs w:val="22"/>
            <w:b w:val="1"/>
            <w:bCs w:val="1"/>
            <w:u w:val="single" w:color="auto"/>
            <w:color w:val="0000EE"/>
          </w:rPr>
          <w:t>risks</w:t>
        </w:r>
        <w:r>
          <w:rPr>
            <w:rFonts w:ascii="Arial" w:cs="Arial" w:eastAsia="Arial" w:hAnsi="Arial"/>
            <w:sz w:val="22"/>
            <w:szCs w:val="22"/>
            <w:b w:val="1"/>
            <w:bCs w:val="1"/>
            <w:u w:val="single" w:color="auto"/>
            <w:color w:val="auto"/>
          </w:rPr>
          <w:t xml:space="preserve"> </w:t>
        </w:r>
      </w:hyperlink>
      <w:r>
        <w:rPr>
          <w:rFonts w:ascii="Arial" w:cs="Arial" w:eastAsia="Arial" w:hAnsi="Arial"/>
          <w:sz w:val="22"/>
          <w:szCs w:val="22"/>
          <w:b w:val="1"/>
          <w:bCs w:val="1"/>
          <w:color w:val="auto"/>
        </w:rPr>
        <w:t>that are described beginning on page S-3 and in our periodic reports filed with the Securities and Exchange Commission.</w:t>
      </w:r>
    </w:p>
    <w:p>
      <w:pPr>
        <w:spacing w:after="0" w:line="112" w:lineRule="exact"/>
        <w:rPr>
          <w:sz w:val="20"/>
          <w:szCs w:val="20"/>
          <w:color w:val="auto"/>
        </w:rPr>
      </w:pPr>
    </w:p>
    <w:p>
      <w:pPr>
        <w:ind w:right="200"/>
        <w:spacing w:after="0" w:line="249" w:lineRule="auto"/>
        <w:rPr>
          <w:sz w:val="20"/>
          <w:szCs w:val="20"/>
          <w:color w:val="auto"/>
        </w:rPr>
      </w:pPr>
      <w:r>
        <w:rPr>
          <w:rFonts w:ascii="Arial" w:cs="Arial" w:eastAsia="Arial" w:hAnsi="Arial"/>
          <w:sz w:val="18"/>
          <w:szCs w:val="18"/>
          <w:b w:val="1"/>
          <w:bCs w:val="1"/>
          <w:color w:val="auto"/>
        </w:rPr>
        <w:t>None of the Securities and Exchange Commission, the Nevada Gaming Commission, the Nevada State Gaming Control Board,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440" w:type="dxa"/>
            <w:vAlign w:val="bottom"/>
          </w:tcPr>
          <w:p>
            <w:pPr>
              <w:spacing w:after="0"/>
              <w:rPr>
                <w:sz w:val="14"/>
                <w:szCs w:val="14"/>
                <w:color w:val="auto"/>
              </w:rPr>
            </w:pPr>
          </w:p>
        </w:tc>
        <w:tc>
          <w:tcPr>
            <w:tcW w:w="2880" w:type="dxa"/>
            <w:vAlign w:val="bottom"/>
            <w:gridSpan w:val="3"/>
          </w:tcPr>
          <w:p>
            <w:pPr>
              <w:ind w:left="2220"/>
              <w:spacing w:after="0"/>
              <w:rPr>
                <w:sz w:val="20"/>
                <w:szCs w:val="20"/>
                <w:color w:val="auto"/>
              </w:rPr>
            </w:pPr>
            <w:r>
              <w:rPr>
                <w:rFonts w:ascii="Arial" w:cs="Arial" w:eastAsia="Arial" w:hAnsi="Arial"/>
                <w:sz w:val="14"/>
                <w:szCs w:val="14"/>
                <w:b w:val="1"/>
                <w:bCs w:val="1"/>
                <w:color w:val="auto"/>
                <w:w w:val="97"/>
              </w:rPr>
              <w:t>Per Share</w:t>
            </w:r>
          </w:p>
        </w:tc>
        <w:tc>
          <w:tcPr>
            <w:tcW w:w="2100" w:type="dxa"/>
            <w:vAlign w:val="bottom"/>
            <w:gridSpan w:val="3"/>
          </w:tcPr>
          <w:p>
            <w:pPr>
              <w:ind w:left="920"/>
              <w:spacing w:after="0"/>
              <w:rPr>
                <w:sz w:val="20"/>
                <w:szCs w:val="20"/>
                <w:color w:val="auto"/>
              </w:rPr>
            </w:pPr>
            <w:r>
              <w:rPr>
                <w:rFonts w:ascii="Arial" w:cs="Arial" w:eastAsia="Arial" w:hAnsi="Arial"/>
                <w:sz w:val="14"/>
                <w:szCs w:val="14"/>
                <w:b w:val="1"/>
                <w:bCs w:val="1"/>
                <w:color w:val="auto"/>
              </w:rPr>
              <w:t>Total</w:t>
            </w:r>
          </w:p>
        </w:tc>
      </w:tr>
      <w:tr>
        <w:trPr>
          <w:trHeight w:val="61"/>
        </w:trPr>
        <w:tc>
          <w:tcPr>
            <w:tcW w:w="644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1040" w:type="dxa"/>
            <w:vAlign w:val="bottom"/>
            <w:tcBorders>
              <w:top w:val="single" w:sz="8" w:color="auto"/>
            </w:tcBorders>
          </w:tcPr>
          <w:p>
            <w:pPr>
              <w:spacing w:after="0"/>
              <w:rPr>
                <w:sz w:val="5"/>
                <w:szCs w:val="5"/>
                <w:color w:val="auto"/>
              </w:rPr>
            </w:pPr>
          </w:p>
        </w:tc>
      </w:tr>
      <w:tr>
        <w:trPr>
          <w:trHeight w:val="203"/>
        </w:trPr>
        <w:tc>
          <w:tcPr>
            <w:tcW w:w="6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2380" w:type="dxa"/>
            <w:vAlign w:val="bottom"/>
            <w:gridSpan w:val="2"/>
            <w:shd w:val="clear" w:color="auto" w:fill="CCEEFF"/>
          </w:tcPr>
          <w:p>
            <w:pPr>
              <w:ind w:left="222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43.50</w:t>
            </w:r>
          </w:p>
        </w:tc>
        <w:tc>
          <w:tcPr>
            <w:tcW w:w="1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348,000,000</w:t>
            </w:r>
          </w:p>
        </w:tc>
      </w:tr>
      <w:tr>
        <w:trPr>
          <w:trHeight w:val="203"/>
        </w:trPr>
        <w:tc>
          <w:tcPr>
            <w:tcW w:w="644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w:t>
            </w:r>
          </w:p>
        </w:tc>
        <w:tc>
          <w:tcPr>
            <w:tcW w:w="2380" w:type="dxa"/>
            <w:vAlign w:val="bottom"/>
            <w:gridSpan w:val="2"/>
          </w:tcPr>
          <w:p>
            <w:pPr>
              <w:ind w:left="222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0.00</w:t>
            </w:r>
          </w:p>
        </w:tc>
        <w:tc>
          <w:tcPr>
            <w:tcW w:w="1060" w:type="dxa"/>
            <w:vAlign w:val="bottom"/>
            <w:gridSpan w:val="2"/>
          </w:tcPr>
          <w:p>
            <w:pPr>
              <w:ind w:left="92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0.00</w:t>
            </w:r>
          </w:p>
        </w:tc>
      </w:tr>
      <w:tr>
        <w:trPr>
          <w:trHeight w:val="203"/>
        </w:trPr>
        <w:tc>
          <w:tcPr>
            <w:tcW w:w="6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to Wynn Resorts, Limited (before expenses)</w:t>
            </w:r>
          </w:p>
        </w:tc>
        <w:tc>
          <w:tcPr>
            <w:tcW w:w="2380" w:type="dxa"/>
            <w:vAlign w:val="bottom"/>
            <w:gridSpan w:val="2"/>
            <w:shd w:val="clear" w:color="auto" w:fill="CCEEFF"/>
          </w:tcPr>
          <w:p>
            <w:pPr>
              <w:ind w:left="222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43.50</w:t>
            </w:r>
          </w:p>
        </w:tc>
        <w:tc>
          <w:tcPr>
            <w:tcW w:w="1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348,000,000</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have granted the underwriters the right to purchase up to 1,200,000 additional shares of common stock to cover over-allotments.</w:t>
      </w:r>
    </w:p>
    <w:p>
      <w:pPr>
        <w:spacing w:after="0" w:line="158"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In connection with this offering, we have agreed to pay the underwriters aggregate fees of $3,750,000, plus up to an additional $1,750,000 if the over-allotment option is exercised.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7160" w:type="dxa"/>
            <w:vAlign w:val="bottom"/>
          </w:tcPr>
          <w:p>
            <w:pPr>
              <w:ind w:left="280"/>
              <w:spacing w:after="0"/>
              <w:rPr>
                <w:sz w:val="20"/>
                <w:szCs w:val="20"/>
                <w:color w:val="auto"/>
              </w:rPr>
            </w:pPr>
            <w:r>
              <w:rPr>
                <w:rFonts w:ascii="Arial" w:cs="Arial" w:eastAsia="Arial" w:hAnsi="Arial"/>
                <w:sz w:val="18"/>
                <w:szCs w:val="18"/>
                <w:i w:val="1"/>
                <w:iCs w:val="1"/>
                <w:color w:val="auto"/>
              </w:rPr>
              <w:t>Joint Book-Running Managers</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424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20" w:type="dxa"/>
            <w:vAlign w:val="bottom"/>
            <w:vMerge w:val="continue"/>
          </w:tcPr>
          <w:p>
            <w:pPr>
              <w:spacing w:after="0"/>
              <w:rPr>
                <w:sz w:val="24"/>
                <w:szCs w:val="24"/>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32"/>
                <w:szCs w:val="32"/>
                <w:b w:val="1"/>
                <w:bCs w:val="1"/>
                <w:color w:val="auto"/>
              </w:rPr>
              <w:t>Deutsche Bank Securities</w:t>
            </w:r>
          </w:p>
        </w:tc>
        <w:tc>
          <w:tcPr>
            <w:tcW w:w="7160" w:type="dxa"/>
            <w:vAlign w:val="bottom"/>
            <w:shd w:val="clear" w:color="auto" w:fill="CCEEFF"/>
          </w:tcPr>
          <w:p>
            <w:pPr>
              <w:ind w:left="2260"/>
              <w:spacing w:after="0"/>
              <w:rPr>
                <w:sz w:val="20"/>
                <w:szCs w:val="20"/>
                <w:color w:val="auto"/>
              </w:rPr>
            </w:pPr>
            <w:r>
              <w:rPr>
                <w:rFonts w:ascii="Arial" w:cs="Arial" w:eastAsia="Arial" w:hAnsi="Arial"/>
                <w:sz w:val="32"/>
                <w:szCs w:val="32"/>
                <w:b w:val="1"/>
                <w:bCs w:val="1"/>
                <w:color w:val="auto"/>
              </w:rPr>
              <w:t>Banc of America Securities LLC</w:t>
            </w:r>
          </w:p>
        </w:tc>
        <w:tc>
          <w:tcPr>
            <w:tcW w:w="0" w:type="dxa"/>
            <w:vAlign w:val="bottom"/>
          </w:tcPr>
          <w:p>
            <w:pPr>
              <w:spacing w:after="0"/>
              <w:rPr>
                <w:sz w:val="1"/>
                <w:szCs w:val="1"/>
                <w:color w:val="auto"/>
              </w:rPr>
            </w:pPr>
          </w:p>
        </w:tc>
      </w:tr>
    </w:tbl>
    <w:p>
      <w:pPr>
        <w:spacing w:after="0" w:line="3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date of this prospectus supplement is November 13, 2008</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60" w:firstLine="456"/>
        <w:spacing w:after="0" w:line="239" w:lineRule="auto"/>
        <w:rPr>
          <w:sz w:val="20"/>
          <w:szCs w:val="20"/>
          <w:color w:val="auto"/>
        </w:rPr>
      </w:pPr>
      <w:r>
        <w:rPr>
          <w:rFonts w:ascii="Arial" w:cs="Arial" w:eastAsia="Arial" w:hAnsi="Arial"/>
          <w:sz w:val="18"/>
          <w:szCs w:val="18"/>
          <w:color w:val="auto"/>
        </w:rPr>
        <w:t>Unless the context otherwise requires or unless otherwise specified, all references in this prospectus to “Wynn Resorts,” “the Company,” “we,” “us” or “our,” or similar terms, refer to Wynn Resorts, Limited and its consolidated subsidiaries.</w:t>
      </w:r>
    </w:p>
    <w:p>
      <w:pPr>
        <w:spacing w:after="0" w:line="29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 SUPPLEMENT</w:t>
      </w:r>
    </w:p>
    <w:p>
      <w:pPr>
        <w:spacing w:after="0" w:line="180"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This prospectus supplement is a supplement to the accompanying prospectus that is also a part of this document. The accompanying prospectus is part of a registration statement that we filed with the Securities and Exchange Commission (the “SEC”) using a shelf registration process. Under the shelf registration process, from time to time, we may offer shares of common stock. In the accompanying prospectus, we provide you with a general description of the shares of our common stock that we may offer under the prospectus. In this prospectus supplement, we provide you with specific information about the terms of this offering. Both this prospectus supplement and the prospectus include, or incorporate by reference, important information about us, our common stock and other information you should know before investing. This prospectus supplement also adds to, updates and changes information contained in the prospectus. If any specific statement that we make in this prospectus supplement is inconsistent with the statements made in the accompanying prospectus, the statements made in the accompanying prospectus are deemed modified or superseded by the statements made in this prospectus supplement. You should read both this prospectus supplement and the prospectus, as well as the additional information described under “Where You Can Find More Information” in the accompanying prospectus before investing in our common stock.</w:t>
      </w:r>
    </w:p>
    <w:p>
      <w:pPr>
        <w:spacing w:after="0" w:line="1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80"/>
          </w:cols>
          <w:pgMar w:left="240" w:top="459" w:right="3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RECENT DEVELOPMENTS</w:t>
      </w:r>
    </w:p>
    <w:p>
      <w:pPr>
        <w:spacing w:after="0" w:line="180"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Standard &amp; Poor’s, a division of The McGraw-Hill Companies, has announced that, effective as of the close of trading on November 13, 2008, our common stock will be added to the S&amp;P 500 Index. Index funds whose portfolios are primarily based on stocks included in the S&amp;P 500 may be required to purchase shares of our common stock as a result of the inclusion of our common stock in the index. We are conducting this offering in connection with the decision of Standard &amp; Poor’s to add our common stock to the index.</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80"/>
          </w:cols>
          <w:pgMar w:left="240" w:top="459" w:right="3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right="20" w:firstLine="456"/>
        <w:spacing w:after="0" w:line="241" w:lineRule="auto"/>
        <w:rPr>
          <w:sz w:val="20"/>
          <w:szCs w:val="20"/>
          <w:color w:val="auto"/>
        </w:rPr>
      </w:pPr>
      <w:r>
        <w:rPr>
          <w:rFonts w:ascii="Arial" w:cs="Arial" w:eastAsia="Arial" w:hAnsi="Arial"/>
          <w:sz w:val="18"/>
          <w:szCs w:val="18"/>
          <w:i w:val="1"/>
          <w:iCs w:val="1"/>
          <w:color w:val="auto"/>
        </w:rPr>
        <w:t>Before deciding to invest in our common stock, you should carefully consider each of the following risk factors and all of the other information set forth in this prospectus supplement and in the accompanying prospectus and incorporated in this prospectus supplement and in the accompanying prospectus by reference, including in Item 1A and the section entitled “Management’s Discussion and Analysis of Financial Condition and Results of Operations” in our Annual Report on Form 10-K for the year ended December 31, 2007 and in our Quarterly Report on Form 10-Q for the quarter ended September 30, 2008.</w:t>
      </w:r>
    </w:p>
    <w:p>
      <w:pPr>
        <w:spacing w:after="0" w:line="136" w:lineRule="exact"/>
        <w:rPr>
          <w:sz w:val="20"/>
          <w:szCs w:val="20"/>
          <w:color w:val="auto"/>
        </w:rPr>
      </w:pPr>
    </w:p>
    <w:p>
      <w:pPr>
        <w:ind w:right="20" w:firstLine="456"/>
        <w:spacing w:after="0" w:line="243" w:lineRule="auto"/>
        <w:rPr>
          <w:sz w:val="20"/>
          <w:szCs w:val="20"/>
          <w:color w:val="auto"/>
        </w:rPr>
      </w:pPr>
      <w:r>
        <w:rPr>
          <w:rFonts w:ascii="Arial" w:cs="Arial" w:eastAsia="Arial" w:hAnsi="Arial"/>
          <w:sz w:val="18"/>
          <w:szCs w:val="18"/>
          <w:i w:val="1"/>
          <w:iCs w:val="1"/>
          <w:color w:val="auto"/>
        </w:rPr>
        <w:t>The risks and uncertainties described below and incorporated by reference herein are not the only ones we face. Additional risks and uncertainties not presently known to us or that we currently deem immaterial may also impair our business operations. If any of these risks actually occurs, our business, financial condition, cash flow and results of operations could be materially adversely affected. In that case, the value of our common stock could decline substantially.</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the Offering</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The price of our common stock may fluctuate significantly, which may make it difficult for you to resell the common stock issuable when you want or at prices you find attractive.</w:t>
      </w:r>
    </w:p>
    <w:p>
      <w:pPr>
        <w:spacing w:after="0" w:line="134" w:lineRule="exact"/>
        <w:rPr>
          <w:sz w:val="20"/>
          <w:szCs w:val="20"/>
          <w:color w:val="auto"/>
        </w:rPr>
      </w:pPr>
    </w:p>
    <w:p>
      <w:pPr>
        <w:jc w:val="both"/>
        <w:ind w:right="200" w:firstLine="456"/>
        <w:spacing w:after="0" w:line="238" w:lineRule="auto"/>
        <w:rPr>
          <w:sz w:val="20"/>
          <w:szCs w:val="20"/>
          <w:color w:val="auto"/>
        </w:rPr>
      </w:pPr>
      <w:r>
        <w:rPr>
          <w:rFonts w:ascii="Arial" w:cs="Arial" w:eastAsia="Arial" w:hAnsi="Arial"/>
          <w:sz w:val="18"/>
          <w:szCs w:val="18"/>
          <w:color w:val="auto"/>
        </w:rPr>
        <w:t>The price of shares of our common stock on the Nasdaq Global Select Market constantly changes. We expect that the market price of our common stock will continue to fluctuate. Holders of our common stock will be subject to the risk of volatility and depressed prices of our common stock.</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stock price can fluctuate as a result of a variety of factors, many of which are beyond our control. These factors include:</w:t>
      </w:r>
    </w:p>
    <w:p>
      <w:pPr>
        <w:spacing w:after="0" w:line="77" w:lineRule="exact"/>
        <w:rPr>
          <w:sz w:val="20"/>
          <w:szCs w:val="20"/>
          <w:color w:val="auto"/>
        </w:rPr>
      </w:pPr>
    </w:p>
    <w:p>
      <w:pPr>
        <w:ind w:left="780" w:right="520" w:hanging="326"/>
        <w:spacing w:after="0" w:line="299" w:lineRule="auto"/>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tourism trends given the current general domestic and international economic conditions that are causing uncertainty among some consumers, uncertain effects of volatility in financial markets globally and from governmental intervention in the financial markets;</w:t>
      </w:r>
    </w:p>
    <w:p>
      <w:pPr>
        <w:spacing w:after="0" w:line="27" w:lineRule="exact"/>
        <w:rPr>
          <w:rFonts w:ascii="Arial" w:cs="Arial" w:eastAsia="Arial" w:hAnsi="Arial"/>
          <w:sz w:val="16"/>
          <w:szCs w:val="16"/>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macroeconomic conditions;</w:t>
      </w:r>
    </w:p>
    <w:p>
      <w:pPr>
        <w:spacing w:after="0" w:line="76" w:lineRule="exact"/>
        <w:rPr>
          <w:rFonts w:ascii="Arial" w:cs="Arial" w:eastAsia="Arial" w:hAnsi="Arial"/>
          <w:sz w:val="18"/>
          <w:szCs w:val="18"/>
          <w:color w:val="auto"/>
        </w:rPr>
      </w:pPr>
    </w:p>
    <w:p>
      <w:pPr>
        <w:ind w:left="780" w:right="420" w:hanging="326"/>
        <w:spacing w:after="0" w:line="239"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conditions precedent to funding under the agreements governing the disbursement of the proceeds of certain of our debt and equity offerings and borrowings under the Wynn Las Vegas credit facilities and the Wynn Macau credit facilities;</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completion of Encore at Wynn Las Vegas on time and within budget;</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completion of Encore at Wynn Macau on time and within budget;</w:t>
      </w:r>
    </w:p>
    <w:p>
      <w:pPr>
        <w:spacing w:after="0" w:line="76" w:lineRule="exact"/>
        <w:rPr>
          <w:rFonts w:ascii="Arial" w:cs="Arial" w:eastAsia="Arial" w:hAnsi="Arial"/>
          <w:sz w:val="18"/>
          <w:szCs w:val="18"/>
          <w:color w:val="auto"/>
        </w:rPr>
      </w:pPr>
    </w:p>
    <w:p>
      <w:pPr>
        <w:ind w:left="780" w:right="80" w:hanging="326"/>
        <w:spacing w:after="0" w:line="239"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intention to fund a substantial portion of the development and construction costs of Encore at Wynn Las Vegas with anticipated cash flows generated at Wynn Las Vegas;</w:t>
      </w:r>
    </w:p>
    <w:p>
      <w:pPr>
        <w:spacing w:after="0" w:line="73" w:lineRule="exact"/>
        <w:rPr>
          <w:rFonts w:ascii="Arial" w:cs="Arial" w:eastAsia="Arial" w:hAnsi="Arial"/>
          <w:sz w:val="18"/>
          <w:szCs w:val="18"/>
          <w:color w:val="auto"/>
        </w:rPr>
      </w:pPr>
    </w:p>
    <w:p>
      <w:pPr>
        <w:ind w:left="780" w:right="640" w:hanging="326"/>
        <w:spacing w:after="0" w:line="239"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doing business internationally (including the risks associated with developing gaming regulatory frameworks and recent visitation restrictions to Macau);</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limited number of properties for all of our cash flow;</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76" w:lineRule="exact"/>
        <w:rPr>
          <w:rFonts w:ascii="Arial" w:cs="Arial" w:eastAsia="Arial" w:hAnsi="Arial"/>
          <w:sz w:val="18"/>
          <w:szCs w:val="18"/>
          <w:color w:val="auto"/>
        </w:rPr>
      </w:pPr>
    </w:p>
    <w:p>
      <w:pPr>
        <w:ind w:left="780" w:right="340" w:hanging="326"/>
        <w:spacing w:after="0" w:line="23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such as avian flu, or the impact of a natural disaster may have on the travel and leisure industry;</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consequences of the war in Iraq and other military conflicts in the Middle East and any future security alerts and/or terrorist attacks;</w:t>
      </w:r>
    </w:p>
    <w:p>
      <w:pPr>
        <w:spacing w:after="0" w:line="99" w:lineRule="exact"/>
        <w:rPr>
          <w:rFonts w:ascii="Arial" w:cs="Arial" w:eastAsia="Arial" w:hAnsi="Arial"/>
          <w:sz w:val="16"/>
          <w:szCs w:val="16"/>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legal proceedings; and</w:t>
      </w:r>
    </w:p>
    <w:p>
      <w:pPr>
        <w:spacing w:after="0" w:line="76" w:lineRule="exact"/>
        <w:rPr>
          <w:rFonts w:ascii="Arial" w:cs="Arial" w:eastAsia="Arial" w:hAnsi="Arial"/>
          <w:sz w:val="18"/>
          <w:szCs w:val="18"/>
          <w:color w:val="auto"/>
        </w:rPr>
      </w:pPr>
    </w:p>
    <w:p>
      <w:pPr>
        <w:ind w:left="780" w:right="120" w:hanging="326"/>
        <w:spacing w:after="0" w:line="23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described under “Risk Factors,” “Forward-Looking Statements” and “Management’s Discussion and Analysis of Financial Condition and Results of Operations” in our Annual Report on Form 10-K and our Quarterly Reports on Form 10-Q and otherwise in our filings with the SEC.</w:t>
      </w:r>
    </w:p>
    <w:p>
      <w:pPr>
        <w:spacing w:after="0" w:line="154"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General market fluctuations, industry factors and general economic and geopolitical conditions and events, such as economic slowdowns or recessions, consumer confidence in the economy, recent terrorist attacks and ongoing military conflicts, also could cause our stock price to decrease.</w:t>
      </w:r>
    </w:p>
    <w:p>
      <w:pPr>
        <w:spacing w:after="0" w:line="154" w:lineRule="exact"/>
        <w:rPr>
          <w:sz w:val="20"/>
          <w:szCs w:val="20"/>
          <w:color w:val="auto"/>
        </w:rPr>
      </w:pPr>
    </w:p>
    <w:p>
      <w:pPr>
        <w:ind w:right="120" w:firstLine="456"/>
        <w:spacing w:after="0" w:line="236" w:lineRule="auto"/>
        <w:rPr>
          <w:sz w:val="20"/>
          <w:szCs w:val="20"/>
          <w:color w:val="auto"/>
        </w:rPr>
      </w:pPr>
      <w:r>
        <w:rPr>
          <w:rFonts w:ascii="Arial" w:cs="Arial" w:eastAsia="Arial" w:hAnsi="Arial"/>
          <w:sz w:val="18"/>
          <w:szCs w:val="18"/>
          <w:color w:val="auto"/>
        </w:rPr>
        <w:t>In addition, the stock market in general has experienced extreme volatility that has often been unrelated to the operating performance of a particular company. Recently, the volatility has reached unprecedented levels. In some cases, the markets have produced downward pressure on stock prices and credit availability for certain issuers without regard to those issuers’ underlying financial strength. Such continued volatility could materially and adversely affect our ability to access capital, as well as our business, financial condition and results of operations, and the market price of our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could cause the market price of our common stock to decline.</w:t>
      </w:r>
    </w:p>
    <w:p>
      <w:pPr>
        <w:spacing w:after="0" w:line="9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As of the date of this prospectus, our officers and directors beneficially own 50.8 million shares of common stock. We and Stephen A. Wynn, our Chairman of the Board and Chief Executive Officer and one of our principal stockholders, and Aruze USA, Inc., another of our principal stockholders, have agreed with the underwriters, subject to certain exceptions, not to directly or indirectly offer, sell, pledge, contract to sell, sell any option or contract to purchase, purchase any option or contract to sell, grant any option, right or warrant to purchase, lend or otherwise transfer or dispose of any shares of our common stock or securities convertible into or exchangeable for shares of our common stock, or enter into any hedging transaction relating to the common stock, during the period from the date of this prospectus until 30 days after the date of this prospectus, except with the prior written consent of the underwriters. Upon the expiration of the 30-day lockup period, Stephen A. Wynn and Aruze USA, Inc. will be able to sell</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these shares into the public market. In addition, as of November 12, 2008, there were 2.8 million shares of our common stock reserved and subject to issuance upon exercise of outstanding vested and unvested options and 943,500 unvested restricted shares had been issued.</w:t>
      </w:r>
    </w:p>
    <w:p>
      <w:pPr>
        <w:spacing w:after="0" w:line="155" w:lineRule="exact"/>
        <w:rPr>
          <w:sz w:val="20"/>
          <w:szCs w:val="20"/>
          <w:color w:val="auto"/>
        </w:rPr>
      </w:pPr>
    </w:p>
    <w:p>
      <w:pPr>
        <w:ind w:right="80" w:firstLine="456"/>
        <w:spacing w:after="0" w:line="237" w:lineRule="auto"/>
        <w:rPr>
          <w:sz w:val="20"/>
          <w:szCs w:val="20"/>
          <w:color w:val="auto"/>
        </w:rPr>
      </w:pPr>
      <w:r>
        <w:rPr>
          <w:rFonts w:ascii="Arial" w:cs="Arial" w:eastAsia="Arial" w:hAnsi="Arial"/>
          <w:sz w:val="18"/>
          <w:szCs w:val="18"/>
          <w:color w:val="auto"/>
        </w:rPr>
        <w:t>We cannot predict the effect, if any, that the future issuance or market sales of shares of our common stock will have on the market price of our common stock prevailing from time to time. Sales of substantial amounts of our common stock, or the perception that such sales are likely to occur, could materially adversely affect the prevailing market price for our common stock and could impair our future ability to raise capital through an offering of equity or equity-linked securities.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80"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We intend to use the proceeds from the sale of the common stock in this offering for general corporate purposes, including repayment of any of our debt or debt of our subsidiaries.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PRICE RANGE OF COMMON STOCK AND DIVIDEND POLICY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99" w:lineRule="exact"/>
        <w:rPr>
          <w:sz w:val="20"/>
          <w:szCs w:val="20"/>
          <w:color w:val="auto"/>
        </w:rPr>
      </w:pPr>
    </w:p>
    <w:p>
      <w:pPr>
        <w:ind w:right="200" w:firstLine="456"/>
        <w:spacing w:after="0" w:line="238" w:lineRule="auto"/>
        <w:rPr>
          <w:sz w:val="20"/>
          <w:szCs w:val="20"/>
          <w:color w:val="auto"/>
        </w:rPr>
      </w:pPr>
      <w:r>
        <w:rPr>
          <w:rFonts w:ascii="Arial" w:cs="Arial" w:eastAsia="Arial" w:hAnsi="Arial"/>
          <w:sz w:val="18"/>
          <w:szCs w:val="18"/>
          <w:color w:val="auto"/>
        </w:rPr>
        <w:t>Our common stock began trading on the Nasdaq under the symbol “WYNN” on October 25, 2002, at a price of $13.00 per share. Our common stock currently trades on the Nasdaq Global Select Market. The following table sets forth the high and low sale prices for the indicated periods as reported on the Nasdaq Global Select Market.</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00" w:type="dxa"/>
            <w:vAlign w:val="bottom"/>
            <w:shd w:val="clear" w:color="auto" w:fill="CCEEFF"/>
          </w:tcPr>
          <w:p>
            <w:pPr>
              <w:jc w:val="right"/>
              <w:ind w:right="5832"/>
              <w:spacing w:after="0" w:line="196" w:lineRule="exact"/>
              <w:rPr>
                <w:sz w:val="20"/>
                <w:szCs w:val="20"/>
                <w:color w:val="auto"/>
              </w:rPr>
            </w:pPr>
            <w:r>
              <w:rPr>
                <w:rFonts w:ascii="Arial" w:cs="Arial" w:eastAsia="Arial" w:hAnsi="Arial"/>
                <w:sz w:val="18"/>
                <w:szCs w:val="18"/>
                <w:b w:val="1"/>
                <w:bCs w:val="1"/>
                <w:color w:val="auto"/>
                <w:w w:val="89"/>
              </w:rPr>
              <w:t>2006</w:t>
            </w:r>
          </w:p>
        </w:tc>
        <w:tc>
          <w:tcPr>
            <w:tcW w:w="23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Pr>
          <w:p>
            <w:pPr>
              <w:ind w:left="420"/>
              <w:spacing w:after="0" w:line="202" w:lineRule="exact"/>
              <w:rPr>
                <w:sz w:val="20"/>
                <w:szCs w:val="20"/>
                <w:color w:val="auto"/>
              </w:rPr>
            </w:pPr>
            <w:r>
              <w:rPr>
                <w:rFonts w:ascii="Arial" w:cs="Arial" w:eastAsia="Arial" w:hAnsi="Arial"/>
                <w:sz w:val="18"/>
                <w:szCs w:val="18"/>
                <w:color w:val="auto"/>
              </w:rPr>
              <w:t>First Quarter</w:t>
            </w:r>
          </w:p>
        </w:tc>
        <w:tc>
          <w:tcPr>
            <w:tcW w:w="2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78.75</w:t>
            </w:r>
          </w:p>
        </w:tc>
        <w:tc>
          <w:tcPr>
            <w:tcW w:w="52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52.44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Second Quarter</w:t>
            </w: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80.19</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Pr>
          <w:p>
            <w:pPr>
              <w:ind w:left="420"/>
              <w:spacing w:after="0" w:line="202" w:lineRule="exact"/>
              <w:rPr>
                <w:sz w:val="20"/>
                <w:szCs w:val="20"/>
                <w:color w:val="auto"/>
              </w:rPr>
            </w:pPr>
            <w:r>
              <w:rPr>
                <w:rFonts w:ascii="Arial" w:cs="Arial" w:eastAsia="Arial" w:hAnsi="Arial"/>
                <w:sz w:val="18"/>
                <w:szCs w:val="18"/>
                <w:color w:val="auto"/>
              </w:rPr>
              <w:t>Third Quarter</w:t>
            </w: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78.86</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60.82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Fourth Quarter</w:t>
            </w: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98.45</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66.52</w:t>
            </w:r>
          </w:p>
        </w:tc>
        <w:tc>
          <w:tcPr>
            <w:tcW w:w="0" w:type="dxa"/>
            <w:vAlign w:val="bottom"/>
          </w:tcPr>
          <w:p>
            <w:pPr>
              <w:spacing w:after="0"/>
              <w:rPr>
                <w:sz w:val="1"/>
                <w:szCs w:val="1"/>
                <w:color w:val="auto"/>
              </w:rPr>
            </w:pPr>
          </w:p>
        </w:tc>
      </w:tr>
      <w:tr>
        <w:trPr>
          <w:trHeight w:val="311"/>
        </w:trPr>
        <w:tc>
          <w:tcPr>
            <w:tcW w:w="6320" w:type="dxa"/>
            <w:vAlign w:val="bottom"/>
            <w:gridSpan w:val="2"/>
          </w:tcPr>
          <w:p>
            <w:pPr>
              <w:jc w:val="right"/>
              <w:ind w:right="5832"/>
              <w:spacing w:after="0"/>
              <w:rPr>
                <w:sz w:val="20"/>
                <w:szCs w:val="20"/>
                <w:color w:val="auto"/>
              </w:rPr>
            </w:pPr>
            <w:r>
              <w:rPr>
                <w:rFonts w:ascii="Arial" w:cs="Arial" w:eastAsia="Arial" w:hAnsi="Arial"/>
                <w:sz w:val="18"/>
                <w:szCs w:val="18"/>
                <w:b w:val="1"/>
                <w:bCs w:val="1"/>
                <w:color w:val="auto"/>
                <w:w w:val="94"/>
              </w:rPr>
              <w:t>2007</w:t>
            </w: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First Quarter</w:t>
            </w:r>
          </w:p>
        </w:tc>
        <w:tc>
          <w:tcPr>
            <w:tcW w:w="2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w w:val="94"/>
              </w:rPr>
              <w:t>114.60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Pr>
          <w:p>
            <w:pPr>
              <w:ind w:left="420"/>
              <w:spacing w:after="0" w:line="202" w:lineRule="exact"/>
              <w:rPr>
                <w:sz w:val="20"/>
                <w:szCs w:val="20"/>
                <w:color w:val="auto"/>
              </w:rPr>
            </w:pPr>
            <w:r>
              <w:rPr>
                <w:rFonts w:ascii="Arial" w:cs="Arial" w:eastAsia="Arial" w:hAnsi="Arial"/>
                <w:sz w:val="18"/>
                <w:szCs w:val="18"/>
                <w:color w:val="auto"/>
              </w:rPr>
              <w:t>Second Quarter</w:t>
            </w: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w w:val="94"/>
              </w:rPr>
              <w:t>107.98</w:t>
            </w: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85.53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Third Quarter</w:t>
            </w: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w w:val="94"/>
              </w:rPr>
              <w:t>168.80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88.41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Fourth Quarter</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176.14</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110.50</w:t>
            </w: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00" w:type="dxa"/>
            <w:vAlign w:val="bottom"/>
            <w:shd w:val="clear" w:color="auto" w:fill="CCEEFF"/>
          </w:tcPr>
          <w:p>
            <w:pPr>
              <w:jc w:val="right"/>
              <w:ind w:right="5832"/>
              <w:spacing w:after="0" w:line="202" w:lineRule="exact"/>
              <w:rPr>
                <w:sz w:val="20"/>
                <w:szCs w:val="20"/>
                <w:color w:val="auto"/>
              </w:rPr>
            </w:pPr>
            <w:r>
              <w:rPr>
                <w:rFonts w:ascii="Arial" w:cs="Arial" w:eastAsia="Arial" w:hAnsi="Arial"/>
                <w:sz w:val="18"/>
                <w:szCs w:val="18"/>
                <w:b w:val="1"/>
                <w:bCs w:val="1"/>
                <w:color w:val="auto"/>
                <w:w w:val="89"/>
              </w:rPr>
              <w:t>2008</w:t>
            </w: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Pr>
          <w:p>
            <w:pPr>
              <w:ind w:left="420"/>
              <w:spacing w:after="0" w:line="202" w:lineRule="exact"/>
              <w:rPr>
                <w:sz w:val="20"/>
                <w:szCs w:val="20"/>
                <w:color w:val="auto"/>
              </w:rPr>
            </w:pPr>
            <w:r>
              <w:rPr>
                <w:rFonts w:ascii="Arial" w:cs="Arial" w:eastAsia="Arial" w:hAnsi="Arial"/>
                <w:sz w:val="18"/>
                <w:szCs w:val="18"/>
                <w:color w:val="auto"/>
              </w:rPr>
              <w:t>First Quarter</w:t>
            </w:r>
          </w:p>
        </w:tc>
        <w:tc>
          <w:tcPr>
            <w:tcW w:w="2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w w:val="94"/>
              </w:rPr>
              <w:t>124.77</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90.90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Second Quarter</w:t>
            </w: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w w:val="94"/>
              </w:rPr>
              <w:t>116.54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Pr>
          <w:p>
            <w:pPr>
              <w:ind w:left="420"/>
              <w:spacing w:after="0" w:line="202" w:lineRule="exact"/>
              <w:rPr>
                <w:sz w:val="20"/>
                <w:szCs w:val="20"/>
                <w:color w:val="auto"/>
              </w:rPr>
            </w:pPr>
            <w:r>
              <w:rPr>
                <w:rFonts w:ascii="Arial" w:cs="Arial" w:eastAsia="Arial" w:hAnsi="Arial"/>
                <w:sz w:val="18"/>
                <w:szCs w:val="18"/>
                <w:color w:val="auto"/>
              </w:rPr>
              <w:t>Third Quarter</w:t>
            </w: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w w:val="94"/>
              </w:rPr>
              <w:t>119.74</w:t>
            </w: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69.27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Fourth Quarter (through November 13, 2008)</w:t>
            </w: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80.19</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32.88</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November 13, 2008, the last sales price of our common stock, as reported on the Nasdaq Global Select Market, was $44.76 per share.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approximately 203 holders of record of our common stock as of November 11, 2008.</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November 13, 2006, our Board of Directors declared a cash distribution of $6.00 per common share which was paid on December 4,</w:t>
      </w:r>
    </w:p>
    <w:p>
      <w:pPr>
        <w:spacing w:after="0"/>
        <w:rPr>
          <w:sz w:val="20"/>
          <w:szCs w:val="20"/>
          <w:color w:val="auto"/>
        </w:rPr>
      </w:pPr>
      <w:r>
        <w:rPr>
          <w:rFonts w:ascii="Arial" w:cs="Arial" w:eastAsia="Arial" w:hAnsi="Arial"/>
          <w:sz w:val="16"/>
          <w:szCs w:val="16"/>
          <w:color w:val="auto"/>
        </w:rPr>
        <w:t>2006. On November 20, 2007 our Board of Directors declared a cash distribution of $6.00 per common share which was paid on December 10,</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2007.</w:t>
      </w:r>
    </w:p>
    <w:p>
      <w:pPr>
        <w:spacing w:after="0" w:line="158"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We are a holding company and, as a result, our ability to pay dividends is dependent on our subsidiaries’ ability to provide funds to us. Additionally, we are the borrower under an aggregate $1.0 billion delayed-draw term loan credit facility dated as of June 21, 2007, as amended, that imposes (i) restrictions on our ability to make “restricted payments,” as defined in the facility, or to incur obligations to make such restricted payments and (ii) restrictions and prepayment obligations with respect to dispositions and distributions of equity interests and other funds from our subsidiaries. Restrictions imposed by our subsidiaries’ debt instruments significantly restrict certain key subsidiaries holding a majority of our assets, including Wynn Las Vegas, LLC and Wynn Macau, S.A. from making dividends or distributions to Wynn Resorts. Specifically, Wynn Las Vegas, LLC and certain of its subsidiaries are restricted under the indenture governing our first mortgage notes from making certain “restricted payments,” as</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defined in the indenture. These restricted payments include the payment of dividends or distributions to any direct or indirect holders of equity interests of Wynn Las Vegas, LLC. These restricted payments cannot be made unless certain financial and non-financial criteria have been satisfied. In addition, the terms of the other loan agreements of Wynn Las Vegas, LLC and Wynn Macau, S.A. contain similar restrictions.</w:t>
      </w:r>
    </w:p>
    <w:p>
      <w:pPr>
        <w:spacing w:after="0" w:line="11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0960"/>
          </w:cols>
          <w:pgMar w:left="240" w:top="459" w:right="6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80" w:lineRule="exact"/>
        <w:rPr>
          <w:sz w:val="20"/>
          <w:szCs w:val="20"/>
          <w:color w:val="auto"/>
        </w:rPr>
      </w:pPr>
    </w:p>
    <w:p>
      <w:pPr>
        <w:jc w:val="both"/>
        <w:ind w:right="100" w:firstLine="456"/>
        <w:spacing w:after="0" w:line="238" w:lineRule="auto"/>
        <w:rPr>
          <w:sz w:val="20"/>
          <w:szCs w:val="20"/>
          <w:color w:val="auto"/>
        </w:rPr>
      </w:pPr>
      <w:r>
        <w:rPr>
          <w:rFonts w:ascii="Arial" w:cs="Arial" w:eastAsia="Arial" w:hAnsi="Arial"/>
          <w:sz w:val="18"/>
          <w:szCs w:val="18"/>
          <w:color w:val="auto"/>
        </w:rPr>
        <w:t>Subject to the terms and conditions of the underwriting agreement, Deutsche Bank Securities Inc. and Banc of America Securities LLC have severally agreed to purchase from us the number of shares of common stock set forth opposite the underwriter’s name at the public offering price set forth on the cover page of this prospectus supplement.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040" w:type="dxa"/>
            <w:vAlign w:val="bottom"/>
          </w:tcPr>
          <w:p>
            <w:pPr>
              <w:jc w:val="right"/>
              <w:ind w:right="102"/>
              <w:spacing w:after="0"/>
              <w:rPr>
                <w:sz w:val="20"/>
                <w:szCs w:val="20"/>
                <w:color w:val="auto"/>
              </w:rPr>
            </w:pPr>
            <w:r>
              <w:rPr>
                <w:rFonts w:ascii="Arial" w:cs="Arial" w:eastAsia="Arial" w:hAnsi="Arial"/>
                <w:sz w:val="14"/>
                <w:szCs w:val="14"/>
                <w:b w:val="1"/>
                <w:bCs w:val="1"/>
                <w:color w:val="auto"/>
              </w:rPr>
              <w:t>Number of</w:t>
            </w:r>
          </w:p>
        </w:tc>
      </w:tr>
      <w:tr>
        <w:trPr>
          <w:trHeight w:val="165"/>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Underwriter</w:t>
            </w:r>
          </w:p>
        </w:tc>
        <w:tc>
          <w:tcPr>
            <w:tcW w:w="9540" w:type="dxa"/>
            <w:vAlign w:val="bottom"/>
          </w:tcPr>
          <w:p>
            <w:pPr>
              <w:spacing w:after="0"/>
              <w:rPr>
                <w:sz w:val="14"/>
                <w:szCs w:val="14"/>
                <w:color w:val="auto"/>
              </w:rPr>
            </w:pPr>
          </w:p>
        </w:tc>
        <w:tc>
          <w:tcPr>
            <w:tcW w:w="10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Shares</w:t>
            </w:r>
          </w:p>
        </w:tc>
      </w:tr>
      <w:tr>
        <w:trPr>
          <w:trHeight w:val="196"/>
        </w:trPr>
        <w:tc>
          <w:tcPr>
            <w:tcW w:w="103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Deutsche Bank Securities Inc.</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4,000,000</w:t>
            </w:r>
          </w:p>
        </w:tc>
      </w:tr>
      <w:tr>
        <w:trPr>
          <w:trHeight w:val="214"/>
        </w:trPr>
        <w:tc>
          <w:tcPr>
            <w:tcW w:w="10380" w:type="dxa"/>
            <w:vAlign w:val="bottom"/>
            <w:gridSpan w:val="2"/>
          </w:tcPr>
          <w:p>
            <w:pPr>
              <w:spacing w:after="0"/>
              <w:rPr>
                <w:sz w:val="20"/>
                <w:szCs w:val="20"/>
                <w:color w:val="auto"/>
              </w:rPr>
            </w:pPr>
            <w:r>
              <w:rPr>
                <w:rFonts w:ascii="Arial" w:cs="Arial" w:eastAsia="Arial" w:hAnsi="Arial"/>
                <w:sz w:val="18"/>
                <w:szCs w:val="18"/>
                <w:color w:val="auto"/>
              </w:rPr>
              <w:t>Banc of America Securities LLC</w:t>
            </w:r>
          </w:p>
        </w:tc>
        <w:tc>
          <w:tcPr>
            <w:tcW w:w="1040" w:type="dxa"/>
            <w:vAlign w:val="bottom"/>
          </w:tcPr>
          <w:p>
            <w:pPr>
              <w:jc w:val="right"/>
              <w:spacing w:after="0"/>
              <w:rPr>
                <w:sz w:val="20"/>
                <w:szCs w:val="20"/>
                <w:color w:val="auto"/>
              </w:rPr>
            </w:pPr>
            <w:r>
              <w:rPr>
                <w:rFonts w:ascii="Arial" w:cs="Arial" w:eastAsia="Arial" w:hAnsi="Arial"/>
                <w:sz w:val="18"/>
                <w:szCs w:val="18"/>
                <w:color w:val="auto"/>
              </w:rPr>
              <w:t>4,000,000</w:t>
            </w:r>
          </w:p>
        </w:tc>
      </w:tr>
    </w:tbl>
    <w:p>
      <w:pPr>
        <w:spacing w:after="0" w:line="154" w:lineRule="exact"/>
        <w:rPr>
          <w:sz w:val="20"/>
          <w:szCs w:val="20"/>
          <w:color w:val="auto"/>
        </w:rPr>
      </w:pPr>
    </w:p>
    <w:p>
      <w:pPr>
        <w:ind w:right="120" w:firstLine="456"/>
        <w:spacing w:after="0" w:line="238" w:lineRule="auto"/>
        <w:rPr>
          <w:sz w:val="20"/>
          <w:szCs w:val="20"/>
          <w:color w:val="auto"/>
        </w:rPr>
      </w:pPr>
      <w:r>
        <w:rPr>
          <w:rFonts w:ascii="Arial" w:cs="Arial" w:eastAsia="Arial" w:hAnsi="Arial"/>
          <w:sz w:val="18"/>
          <w:szCs w:val="18"/>
          <w:color w:val="auto"/>
        </w:rPr>
        <w:t>The underwriting agreement provides that the obligations of the underwriters to purchase the shares of common stock offered hereby are subject to certain conditions precedent. The underwriting agreement also provides that the underwriters will purchase all of the shares of common stock offered by this prospectus supplement, other than those covered by the over-allotment option described below.</w:t>
      </w:r>
    </w:p>
    <w:p>
      <w:pPr>
        <w:spacing w:after="0" w:line="154" w:lineRule="exact"/>
        <w:rPr>
          <w:sz w:val="20"/>
          <w:szCs w:val="20"/>
          <w:color w:val="auto"/>
        </w:rPr>
      </w:pPr>
    </w:p>
    <w:p>
      <w:pPr>
        <w:jc w:val="both"/>
        <w:ind w:right="60" w:firstLine="456"/>
        <w:spacing w:after="0" w:line="299" w:lineRule="auto"/>
        <w:rPr>
          <w:sz w:val="20"/>
          <w:szCs w:val="20"/>
          <w:color w:val="auto"/>
        </w:rPr>
      </w:pPr>
      <w:r>
        <w:rPr>
          <w:rFonts w:ascii="Arial" w:cs="Arial" w:eastAsia="Arial" w:hAnsi="Arial"/>
          <w:sz w:val="16"/>
          <w:szCs w:val="16"/>
          <w:color w:val="auto"/>
        </w:rPr>
        <w:t>We have been advised by the underwriters that they propose to offer the shares of common stock to the public at the public offering price set forth on the cover of this prospectus. After the initial offering of the shares of common stock, the underwriters may change the public offering price.</w:t>
      </w:r>
    </w:p>
    <w:p>
      <w:pPr>
        <w:spacing w:after="0" w:line="109" w:lineRule="exact"/>
        <w:rPr>
          <w:sz w:val="20"/>
          <w:szCs w:val="20"/>
          <w:color w:val="auto"/>
        </w:rPr>
      </w:pPr>
    </w:p>
    <w:p>
      <w:pPr>
        <w:ind w:right="420" w:firstLine="456"/>
        <w:spacing w:after="0" w:line="299" w:lineRule="auto"/>
        <w:rPr>
          <w:sz w:val="20"/>
          <w:szCs w:val="20"/>
          <w:color w:val="auto"/>
        </w:rPr>
      </w:pPr>
      <w:r>
        <w:rPr>
          <w:rFonts w:ascii="Arial" w:cs="Arial" w:eastAsia="Arial" w:hAnsi="Arial"/>
          <w:sz w:val="16"/>
          <w:szCs w:val="16"/>
          <w:color w:val="auto"/>
        </w:rPr>
        <w:t>There were no underwriting discounts or commissions paid to the underwriters by us. However, in connection with this offering, we have agreed to pay the underwriters aggregate fees of $3,750,000, plus up to an additional $1,750,000 if the over-allotment option is exercised.</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quoted on the Nasdaq Global Select Market under the symbol “WYNN.”</w:t>
      </w:r>
    </w:p>
    <w:p>
      <w:pPr>
        <w:spacing w:after="0" w:line="158" w:lineRule="exact"/>
        <w:rPr>
          <w:sz w:val="20"/>
          <w:szCs w:val="20"/>
          <w:color w:val="auto"/>
        </w:rPr>
      </w:pPr>
    </w:p>
    <w:p>
      <w:pPr>
        <w:ind w:right="140" w:firstLine="456"/>
        <w:spacing w:after="0" w:line="236" w:lineRule="auto"/>
        <w:rPr>
          <w:sz w:val="20"/>
          <w:szCs w:val="20"/>
          <w:color w:val="auto"/>
        </w:rPr>
      </w:pPr>
      <w:r>
        <w:rPr>
          <w:rFonts w:ascii="Arial" w:cs="Arial" w:eastAsia="Arial" w:hAnsi="Arial"/>
          <w:sz w:val="18"/>
          <w:szCs w:val="18"/>
          <w:color w:val="auto"/>
        </w:rPr>
        <w:t>We have granted to the underwriters an option, exercisable not later than 30 days after the date of this prospectus supplement, to purchase up to 1,200,000 additional shares of common stock at the public offering price less the underwriting discounts and commissions set forth on the cover page of this prospectus supplement. The underwriters may exercise this option only to cover over-alltoments made in connection with the sale of the common stock offered by this prospectus supplement. We will be obligated, pursuant to the option, to sell these additional shares of common stock to the underwriters to the extent the option is exercised. If any additional shares of common stock are purchased, the underwriters will offer the additional shares on the same terms as those on which the 8,000,000 shares are being offered.</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our share of the total expenses of this offering will be approximately $400,000.</w:t>
      </w:r>
    </w:p>
    <w:p>
      <w:pPr>
        <w:spacing w:after="0" w:line="158"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We have agreed to indemnify the underwriters against some specified types of liabilities, including liabilities under the Securities Act of 1933, as amended, and to contribute to payments the underwriters may be required to make in respect of any of these liabilities.</w:t>
      </w:r>
    </w:p>
    <w:p>
      <w:pPr>
        <w:spacing w:after="0" w:line="155"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Stephen A. Wynn, our Chairman of the Board and Chief Executive Officer and one of our principal stockholders, and Aruze USA, Inc., another of our principal stockholders, have agreed, subject to certain exceptions, not to directly or indirectly offer, sell, pledge, contract to sell, sell any option or contract to purchase, purchase any option or contract to sell, grant any option, right or warrant to purchase, lend or otherwise transfer or dispose of any shares of common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stock, shares of common stock which may be issued upon exercise of a stock option or warrant and any other security convertible into or exchangeable for common stock, or enter into any hedging transaction relating to the common stock for a period of 30 days after the date of this prospectus supplement without the prior written consent of the underwriters. This consent may be given at any time without public notice. Transfers or dispositions can be made during the lock-up period in the case of gifts, for estate planning purposes or other specified transactions where the donee signs a lock-up agreement.</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have advised us that they do not intend to confirm sales to any account over which they exercise discretionary authority.</w:t>
      </w:r>
    </w:p>
    <w:p>
      <w:pPr>
        <w:spacing w:after="0" w:line="181" w:lineRule="exact"/>
        <w:rPr>
          <w:sz w:val="20"/>
          <w:szCs w:val="20"/>
          <w:color w:val="auto"/>
        </w:rPr>
      </w:pPr>
    </w:p>
    <w:p>
      <w:pPr>
        <w:ind w:right="100" w:firstLine="456"/>
        <w:spacing w:after="0" w:line="239"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purchases to cover positions created by short sales and stabilizing transactions.</w:t>
      </w:r>
    </w:p>
    <w:p>
      <w:pPr>
        <w:spacing w:after="0" w:line="155" w:lineRule="exact"/>
        <w:rPr>
          <w:sz w:val="20"/>
          <w:szCs w:val="20"/>
          <w:color w:val="auto"/>
        </w:rPr>
      </w:pPr>
    </w:p>
    <w:p>
      <w:pPr>
        <w:jc w:val="both"/>
        <w:ind w:right="240" w:firstLine="456"/>
        <w:spacing w:after="0" w:line="237" w:lineRule="auto"/>
        <w:rPr>
          <w:sz w:val="20"/>
          <w:szCs w:val="20"/>
          <w:color w:val="auto"/>
        </w:rPr>
      </w:pPr>
      <w:r>
        <w:rPr>
          <w:rFonts w:ascii="Arial" w:cs="Arial" w:eastAsia="Arial" w:hAnsi="Arial"/>
          <w:sz w:val="18"/>
          <w:szCs w:val="18"/>
          <w:color w:val="auto"/>
        </w:rPr>
        <w:t>Short sales involve the sale by the underwriters of a greater number of shares than they are required to purchase in the offering. Covered short sales are sales made in an amount not greater than the underwriters’ option to purchase additional shares of common stock from us in the offering. The underwriters may close out any covered short position by either exercising their option to purchase additional shares or purchasing shares in the open market.</w:t>
      </w:r>
    </w:p>
    <w:p>
      <w:pPr>
        <w:spacing w:after="0" w:line="155" w:lineRule="exact"/>
        <w:rPr>
          <w:sz w:val="20"/>
          <w:szCs w:val="20"/>
          <w:color w:val="auto"/>
        </w:rPr>
      </w:pPr>
    </w:p>
    <w:p>
      <w:pPr>
        <w:ind w:right="380" w:firstLine="456"/>
        <w:spacing w:after="0" w:line="236" w:lineRule="auto"/>
        <w:rPr>
          <w:sz w:val="20"/>
          <w:szCs w:val="20"/>
          <w:color w:val="auto"/>
        </w:rPr>
      </w:pPr>
      <w:r>
        <w:rPr>
          <w:rFonts w:ascii="Arial" w:cs="Arial" w:eastAsia="Arial" w:hAnsi="Arial"/>
          <w:sz w:val="18"/>
          <w:szCs w:val="18"/>
          <w:color w:val="auto"/>
        </w:rPr>
        <w:t>Naked short sales are any sales in excess of the over-allotment option. The underwriters must close out any naked short position by purchasing shares in the open market. A naked short position is more likely to be created if the underwriters are concerned that there may be downward pressure on the price of the shares in the open market prior to the completion of the offering. In determining the source of shares to close out the covered short position, the underwriters will consider, among other things, the price of shares available for purchase in the open market as compared to the price at which they may purchase shares through the over-allotment option.</w:t>
      </w:r>
    </w:p>
    <w:p>
      <w:pPr>
        <w:spacing w:after="0" w:line="157" w:lineRule="exact"/>
        <w:rPr>
          <w:sz w:val="20"/>
          <w:szCs w:val="20"/>
          <w:color w:val="auto"/>
        </w:rPr>
      </w:pPr>
    </w:p>
    <w:p>
      <w:pPr>
        <w:ind w:right="240" w:firstLine="456"/>
        <w:spacing w:after="0" w:line="239" w:lineRule="auto"/>
        <w:rPr>
          <w:sz w:val="20"/>
          <w:szCs w:val="20"/>
          <w:color w:val="auto"/>
        </w:rPr>
      </w:pPr>
      <w:r>
        <w:rPr>
          <w:rFonts w:ascii="Arial" w:cs="Arial" w:eastAsia="Arial" w:hAnsi="Arial"/>
          <w:sz w:val="18"/>
          <w:szCs w:val="18"/>
          <w:color w:val="auto"/>
        </w:rPr>
        <w:t>Stabilizing transactions consist of various bids for or purchases of our common stock made by the underwriters in the open market prior to the completion of the offering.</w:t>
      </w:r>
    </w:p>
    <w:p>
      <w:pPr>
        <w:spacing w:after="0" w:line="155" w:lineRule="exact"/>
        <w:rPr>
          <w:sz w:val="20"/>
          <w:szCs w:val="20"/>
          <w:color w:val="auto"/>
        </w:rPr>
      </w:pPr>
    </w:p>
    <w:p>
      <w:pPr>
        <w:jc w:val="both"/>
        <w:ind w:right="40" w:firstLine="456"/>
        <w:spacing w:after="0" w:line="237" w:lineRule="auto"/>
        <w:rPr>
          <w:sz w:val="20"/>
          <w:szCs w:val="20"/>
          <w:color w:val="auto"/>
        </w:rPr>
      </w:pPr>
      <w:r>
        <w:rPr>
          <w:rFonts w:ascii="Arial" w:cs="Arial" w:eastAsia="Arial" w:hAnsi="Arial"/>
          <w:sz w:val="18"/>
          <w:szCs w:val="18"/>
          <w:color w:val="auto"/>
        </w:rPr>
        <w:t>Purchases to cover a short position and stabilizing transactions may have the effect of preventing or slowing a decline in the market price of our common stock. Additionally, these purchases may stabilize, maintain or otherwise affect the market price of our common stock. As a result, the price of our common stock may be higher than the price that might otherwise exist in the open market. These transactions may be effected on the Nasdaq Global Select Market, in the over-the-counter market or otherwise.</w:t>
      </w:r>
    </w:p>
    <w:p>
      <w:pPr>
        <w:spacing w:after="0" w:line="155"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A prospectus in electronic format may be made available on the Internet web site maintained by Deutsche Bank Securities Inc. (“DBSI”). Other than the prospectus in electronic format, the information on DBSI’s web site and any information contained in any other web site maintained by DBSI is not part of the prospectus supplement or the registration statement of which the prospectus supplement forms a part. The underwriters and certain of their affiliates have performed investment banking, commercial lending and advisory services for us and our affiliates, from time to time, for which they have received customary fees and expenses.</w:t>
      </w:r>
    </w:p>
    <w:p>
      <w:pPr>
        <w:spacing w:after="0" w:line="157" w:lineRule="exact"/>
        <w:rPr>
          <w:sz w:val="20"/>
          <w:szCs w:val="20"/>
          <w:color w:val="auto"/>
        </w:rPr>
      </w:pPr>
    </w:p>
    <w:p>
      <w:pPr>
        <w:ind w:right="300" w:firstLine="456"/>
        <w:spacing w:after="0" w:line="238" w:lineRule="auto"/>
        <w:rPr>
          <w:sz w:val="20"/>
          <w:szCs w:val="20"/>
          <w:color w:val="auto"/>
        </w:rPr>
      </w:pPr>
      <w:r>
        <w:rPr>
          <w:rFonts w:ascii="Arial" w:cs="Arial" w:eastAsia="Arial" w:hAnsi="Arial"/>
          <w:sz w:val="18"/>
          <w:szCs w:val="18"/>
          <w:color w:val="auto"/>
        </w:rPr>
        <w:t>Deutsche Bank Securities Inc. acted as joint lead arranger and joint book-running manager, Deutsche Bank Trust Company Americas, an affiliate of Deutsche Bank Securities Inc., acted as administrative agent, Banc of America Securities LLC acted as joint lead arranger and joint book-running manager, Bank of America, N.A., an affiliate of Banc of America Securities LLC,</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acted as syndication agent, and certain of the foregoing entities or affiliates of the foregoing entities have made extensions of credit to the Company in connection with a credit facility, dated as of June 21, 2007, as amended, providing for a delayed-draw term loan facility to us in the aggregate principal amount of $1.0 billion.</w:t>
      </w:r>
    </w:p>
    <w:p>
      <w:pPr>
        <w:spacing w:after="0" w:line="154"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Deutsche Bank Securities Inc. acted as lead arranger and joint book-running manager, Deutsche Bank Trust Company Americas, an affiliate of Deutsche Bank Securities, Inc., acted as administrative agent, issuing lender and swing line lender, Banc of America Securities LLC acted as lead arranger and joint book running manager, Bank of America, N.A., an affiliate of Banc of America Securities LLC, acted as syndication agent, and certain of the foregoing entities or affiliates of the foregoing entities have made extensions of credit to the Company in connection with the amended and restated credit agreement, dated as of August 15, 2006, as amended, providing for revolving credit and term loan borrowings to Wynn Las Vegas, LLC in the aggregate principal amount of $1.125 billion, which may be increased to an aggregate principal amount of $1.575 billion under certain circumstances and upon the satisfaction of certain conditions.</w:t>
      </w:r>
    </w:p>
    <w:p>
      <w:pPr>
        <w:spacing w:after="0" w:line="155"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Deutsche Bank AG, Hong Kong Branch, an affiliate of Deutsche Bank Securities Inc. and Bank of America Securities Asia Limited, an affiliate of Banc of America Securities LLC, each acted as a global coordinating lead arranger under a $1.550 billion amended credit agreement executed on June 27, 2007 by one of our affiliates.</w:t>
      </w:r>
    </w:p>
    <w:p>
      <w:pPr>
        <w:spacing w:after="0" w:line="154" w:lineRule="exact"/>
        <w:rPr>
          <w:sz w:val="20"/>
          <w:szCs w:val="20"/>
          <w:color w:val="auto"/>
        </w:rPr>
      </w:pPr>
    </w:p>
    <w:p>
      <w:pPr>
        <w:ind w:right="120" w:firstLine="456"/>
        <w:spacing w:after="0" w:line="235" w:lineRule="auto"/>
        <w:rPr>
          <w:sz w:val="20"/>
          <w:szCs w:val="20"/>
          <w:color w:val="auto"/>
        </w:rPr>
      </w:pPr>
      <w:r>
        <w:rPr>
          <w:rFonts w:ascii="Arial" w:cs="Arial" w:eastAsia="Arial" w:hAnsi="Arial"/>
          <w:sz w:val="18"/>
          <w:szCs w:val="18"/>
          <w:color w:val="auto"/>
        </w:rPr>
        <w:t>The underwriters have represented and agreed that (i) they have not offered or sold and, prior to the expiration of the period of six months from the closing date of this offering, will not offer or sell any shares of our common stock to persons in the United Kingdom except to persons whose ordinary activities involve them in acquiring, holding, managing or disposing of investments (as principal or agent) for the purposes of their businesses or otherwise in circumstances which have not resulted and will not result in an offer to the public in the United Kingdom within the meaning of the Public Offers of Securities Regulations 1995; (ii) they have complied with and will comply with all applicable provisions of the Financial Services Act 1986 with respect to anything done by it in relation to the shares of our common stock in, form or otherwise involving the United Kingdom; and (iii) they have only issued or passed on and will only issue or pass on in the United Kingdom, any document received by it in connection with the issue of the shares of our common stock to a person who is of a kind described in Article 11(3) of the Financial Services Act 1986 (Investment Advertisements) (Exemptions) Order 1996 or is a person to whom such document may otherwise lawfully be issued or passed on.</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80"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Certain legal matters regarding the securities being offered hereby will be passed upon for us by Skadden, Arps, Slate, Meagher &amp; Flom LLP, Los Angeles, California. Certain matters of Nevada law, including the validity of the shares of common stock offered hereby, will be passed upon for us by Brownstein Hyatt Farber Schreck, LLP, Las Vegas, Nevada. Certain legal matters in connection with this offering will be passed upon for the underwriters by Latham &amp; Watkins LLP, Los Angeles, California.</w:t>
      </w:r>
    </w:p>
    <w:p>
      <w:pPr>
        <w:spacing w:after="0" w:line="29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INCORPORATION BY REFERENCE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specified documents that we file with the SEC, which means that:</w:t>
      </w:r>
    </w:p>
    <w:p>
      <w:pPr>
        <w:spacing w:after="0" w:line="77" w:lineRule="exact"/>
        <w:rPr>
          <w:sz w:val="20"/>
          <w:szCs w:val="20"/>
          <w:color w:val="auto"/>
        </w:rPr>
      </w:pPr>
    </w:p>
    <w:p>
      <w:pPr>
        <w:ind w:left="5520" w:right="5520" w:hanging="5066"/>
        <w:spacing w:after="0" w:line="366" w:lineRule="auto"/>
        <w:tabs>
          <w:tab w:leader="none" w:pos="769"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incorporated documents are considered part of this prospectus; S-11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disclosing important information to you by referring you to those documents; and</w:t>
      </w:r>
    </w:p>
    <w:p>
      <w:pPr>
        <w:spacing w:after="0" w:line="76" w:lineRule="exact"/>
        <w:rPr>
          <w:rFonts w:ascii="Arial" w:cs="Arial" w:eastAsia="Arial" w:hAnsi="Arial"/>
          <w:sz w:val="18"/>
          <w:szCs w:val="18"/>
          <w:color w:val="auto"/>
        </w:rPr>
      </w:pPr>
    </w:p>
    <w:p>
      <w:pPr>
        <w:ind w:left="780" w:right="200" w:hanging="326"/>
        <w:spacing w:after="0" w:line="23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information that we file in the future with the SEC automatically will update and supersede earlier information contained or incorporated by reference in this prospectus.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in this prospectus the following documents filed with the SEC:</w:t>
      </w:r>
    </w:p>
    <w:p>
      <w:pPr>
        <w:spacing w:after="0" w:line="77"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2007;</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quarters ended March 31, 2008, June 30, 2008 and September 30, 2008;</w:t>
      </w:r>
    </w:p>
    <w:p>
      <w:pPr>
        <w:spacing w:after="0" w:line="76" w:lineRule="exact"/>
        <w:rPr>
          <w:rFonts w:ascii="Arial" w:cs="Arial" w:eastAsia="Arial" w:hAnsi="Arial"/>
          <w:sz w:val="18"/>
          <w:szCs w:val="18"/>
          <w:color w:val="auto"/>
        </w:rPr>
      </w:pPr>
    </w:p>
    <w:p>
      <w:pPr>
        <w:ind w:left="780" w:right="460" w:hanging="326"/>
        <w:spacing w:after="0" w:line="23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current reports on Form 8-K filed on March 4, 2008, March 7, 2008, March 18, 2008, March 18, 2008, March 28, 2008, May 6, 2008, May 7, 2008, May 30, 2008 (as amended by the Form 8-K/A filed on June 12, 2008), June 12, 2008, July 10, 2008, August 1, 2008, August 5, 2008, September 15, 2008, September 19, 2008, October 15, 2008 and November 13, 2008;</w:t>
      </w:r>
    </w:p>
    <w:p>
      <w:pPr>
        <w:spacing w:after="0" w:line="72" w:lineRule="exact"/>
        <w:rPr>
          <w:rFonts w:ascii="Arial" w:cs="Arial" w:eastAsia="Arial" w:hAnsi="Arial"/>
          <w:sz w:val="18"/>
          <w:szCs w:val="18"/>
          <w:color w:val="auto"/>
        </w:rPr>
      </w:pPr>
    </w:p>
    <w:p>
      <w:pPr>
        <w:ind w:left="780" w:right="120" w:hanging="326"/>
        <w:spacing w:after="0" w:line="23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description of our common stock set forth in our Registration Statement on Form 8-A, filed on October 7, 2002 (File No. 000-50028); and</w:t>
      </w:r>
    </w:p>
    <w:p>
      <w:pPr>
        <w:spacing w:after="0" w:line="73" w:lineRule="exact"/>
        <w:rPr>
          <w:rFonts w:ascii="Arial" w:cs="Arial" w:eastAsia="Arial" w:hAnsi="Arial"/>
          <w:sz w:val="18"/>
          <w:szCs w:val="18"/>
          <w:color w:val="auto"/>
        </w:rPr>
      </w:pPr>
    </w:p>
    <w:p>
      <w:pPr>
        <w:ind w:left="780" w:right="460" w:hanging="326"/>
        <w:spacing w:after="0" w:line="23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other documents that we file with the SEC pursuant to Section 13(a), 13(c), 14 or 15(d) of the Exchange Act after the date of this prospectus and prior to termination of the offering of the securities hereunder.</w:t>
      </w:r>
    </w:p>
    <w:p>
      <w:pPr>
        <w:spacing w:after="0" w:line="155" w:lineRule="exact"/>
        <w:rPr>
          <w:sz w:val="20"/>
          <w:szCs w:val="20"/>
          <w:color w:val="auto"/>
        </w:rPr>
      </w:pPr>
    </w:p>
    <w:p>
      <w:pPr>
        <w:ind w:right="360" w:firstLine="456"/>
        <w:spacing w:after="0" w:line="239" w:lineRule="auto"/>
        <w:rPr>
          <w:sz w:val="20"/>
          <w:szCs w:val="20"/>
          <w:color w:val="auto"/>
        </w:rPr>
      </w:pPr>
      <w:r>
        <w:rPr>
          <w:rFonts w:ascii="Arial" w:cs="Arial" w:eastAsia="Arial" w:hAnsi="Arial"/>
          <w:sz w:val="18"/>
          <w:szCs w:val="18"/>
          <w:color w:val="auto"/>
        </w:rPr>
        <w:t>Notwithstanding the foregoing, information furnished under Items 2.02 and 7.01 of any Current Report on Form 8-K, including the related exhibits under Item 9.01, is not incorporated by reference in this prospectus.</w:t>
      </w:r>
    </w:p>
    <w:p>
      <w:pPr>
        <w:spacing w:after="0" w:line="155"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You should rely only on the information contained or incorporated by reference in this prospectus. We have not authorized anyone to provide you with any additional information. Any statement contained in this prospectus, or a document incorporated or deemed to be incorporated by reference in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56"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Copies of the documents incorporated by reference in this prospectus are available from us upon request. We will provide to each person, including any beneficial owner, to whom a prospectus is delivered, a copy of any or all of the information that has been incorporated by reference in this prospectus, but not delivered with this prospectus, without charge to the requester, upon written or oral request. Exhibits to information incorporated by reference in this prospectus will not be sent, however, unless those exhibits have specifically been incorporated by reference in such information. Requests for such copies should be directed to the following:</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Resorts, Limited</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3131 Las Vegas Boulevard South</w:t>
      </w:r>
    </w:p>
    <w:p>
      <w:pPr>
        <w:ind w:left="460"/>
        <w:spacing w:after="0" w:line="234" w:lineRule="auto"/>
        <w:rPr>
          <w:sz w:val="20"/>
          <w:szCs w:val="20"/>
          <w:color w:val="auto"/>
        </w:rPr>
      </w:pPr>
      <w:r>
        <w:rPr>
          <w:rFonts w:ascii="Arial" w:cs="Arial" w:eastAsia="Arial" w:hAnsi="Arial"/>
          <w:sz w:val="18"/>
          <w:szCs w:val="18"/>
          <w:color w:val="auto"/>
        </w:rPr>
        <w:t>Las Vegas, Nevada 89109</w:t>
      </w:r>
    </w:p>
    <w:p>
      <w:pPr>
        <w:ind w:left="460"/>
        <w:spacing w:after="0" w:line="235" w:lineRule="auto"/>
        <w:rPr>
          <w:sz w:val="20"/>
          <w:szCs w:val="20"/>
          <w:color w:val="auto"/>
        </w:rPr>
      </w:pPr>
      <w:r>
        <w:rPr>
          <w:rFonts w:ascii="Arial" w:cs="Arial" w:eastAsia="Arial" w:hAnsi="Arial"/>
          <w:sz w:val="18"/>
          <w:szCs w:val="18"/>
          <w:color w:val="auto"/>
        </w:rPr>
        <w:t>(702) 770-7555</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Vice President—Investor Relations</w:t>
      </w:r>
    </w:p>
    <w:p>
      <w:pPr>
        <w:spacing w:after="0" w:line="77" w:lineRule="exact"/>
        <w:rPr>
          <w:sz w:val="20"/>
          <w:szCs w:val="20"/>
          <w:color w:val="auto"/>
        </w:rPr>
      </w:pPr>
    </w:p>
    <w:p>
      <w:pPr>
        <w:ind w:right="240" w:firstLine="456"/>
        <w:spacing w:after="0" w:line="239" w:lineRule="auto"/>
        <w:rPr>
          <w:sz w:val="20"/>
          <w:szCs w:val="20"/>
          <w:color w:val="auto"/>
        </w:rPr>
      </w:pPr>
      <w:r>
        <w:rPr>
          <w:rFonts w:ascii="Arial" w:cs="Arial" w:eastAsia="Arial" w:hAnsi="Arial"/>
          <w:sz w:val="18"/>
          <w:szCs w:val="18"/>
          <w:color w:val="auto"/>
        </w:rPr>
        <w:t>Except as provided above, no other information, including information on our internet site (http://www.wynnresorts.com), is incorporated by reference in this prospectus.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992755" cy="128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92755"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Under this prospectus, we may offer from time to time shares of our common stock to the public.</w:t>
      </w:r>
    </w:p>
    <w:p>
      <w:pPr>
        <w:spacing w:after="0" w:line="266"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Prospectus supplements will be filed and other offering material may be provided at later dates that will contain specific terms of each offering of shares of our common stock.</w:t>
      </w:r>
    </w:p>
    <w:p>
      <w:pPr>
        <w:spacing w:after="0" w:line="263"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Our common stock is quoted on The Nasdaq Global Select Market under the symbol “WYNN.” Our principal executive offices are located at 3131 Las Vegas Boulevard South, Las Vegas, Nevada 89109.</w:t>
      </w:r>
    </w:p>
    <w:p>
      <w:pPr>
        <w:spacing w:after="0" w:line="245"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i w:val="1"/>
          <w:iCs w:val="1"/>
          <w:color w:val="auto"/>
        </w:rPr>
        <w:t>We urge you to read carefully this prospectus and any prospectus supplement and any other offering material filed or provided by us before you make your investment decision.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Investing in our common stock involves risks. See “Risk Factors” on page 1.</w:t>
      </w:r>
    </w:p>
    <w:p>
      <w:pPr>
        <w:spacing w:after="0" w:line="274"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5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Neither the Nevada Gaming Commission, the Nevada State Gaming Control Board, nor any other gaming authority has passed upon the adequacy or accuracy of this prospectus or any accompanying prospectus supplement or the investment merits of the common stock or debt securities offered hereby. Any representation to the contrary is unlawful.</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prospectus may not be used to sell securities unless accompanied by a prospectus supplement.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The date of this prospectus is September 27, 2007.</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120" w:type="dxa"/>
            <w:vAlign w:val="bottom"/>
          </w:tcPr>
          <w:p>
            <w:pPr>
              <w:jc w:val="right"/>
              <w:ind w:right="4672"/>
              <w:spacing w:after="0"/>
              <w:rPr>
                <w:sz w:val="20"/>
                <w:szCs w:val="20"/>
                <w:color w:val="auto"/>
              </w:rPr>
            </w:pPr>
            <w:r>
              <w:rPr>
                <w:rFonts w:ascii="Arial" w:cs="Arial" w:eastAsia="Arial" w:hAnsi="Arial"/>
                <w:sz w:val="18"/>
                <w:szCs w:val="18"/>
                <w:b w:val="1"/>
                <w:bCs w:val="1"/>
                <w:color w:val="auto"/>
              </w:rPr>
              <w:t>TABLE OF CONTENTS</w:t>
            </w:r>
          </w:p>
        </w:tc>
      </w:tr>
      <w:tr>
        <w:trPr>
          <w:trHeight w:val="367"/>
        </w:trPr>
        <w:tc>
          <w:tcPr>
            <w:tcW w:w="232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16">
              <w:r>
                <w:rPr>
                  <w:rFonts w:ascii="Arial" w:cs="Arial" w:eastAsia="Arial" w:hAnsi="Arial"/>
                  <w:sz w:val="18"/>
                  <w:szCs w:val="18"/>
                  <w:color w:val="0000EE"/>
                  <w:w w:val="97"/>
                </w:rPr>
                <w:t>ABOUT THIS PROSPECTUS</w:t>
              </w:r>
            </w:hyperlink>
          </w:p>
        </w:tc>
        <w:tc>
          <w:tcPr>
            <w:tcW w:w="1980" w:type="dxa"/>
            <w:vAlign w:val="bottom"/>
            <w:gridSpan w:val="4"/>
          </w:tcPr>
          <w:p>
            <w:pPr>
              <w:spacing w:after="0"/>
              <w:rPr>
                <w:sz w:val="24"/>
                <w:szCs w:val="24"/>
                <w:color w:val="auto"/>
              </w:rPr>
            </w:pPr>
          </w:p>
        </w:tc>
        <w:tc>
          <w:tcPr>
            <w:tcW w:w="7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83"/>
        </w:trPr>
        <w:tc>
          <w:tcPr>
            <w:tcW w:w="1300" w:type="dxa"/>
            <w:vAlign w:val="bottom"/>
            <w:tcBorders>
              <w:bottom w:val="single" w:sz="8" w:color="0000EE"/>
            </w:tcBorders>
            <w:gridSpan w:val="3"/>
          </w:tcPr>
          <w:p>
            <w:pPr>
              <w:spacing w:after="0" w:line="182" w:lineRule="exact"/>
              <w:rPr>
                <w:rFonts w:ascii="Arial" w:cs="Arial" w:eastAsia="Arial" w:hAnsi="Arial"/>
                <w:sz w:val="18"/>
                <w:szCs w:val="18"/>
                <w:color w:val="0000EE"/>
                <w:w w:val="96"/>
              </w:rPr>
            </w:pPr>
            <w:hyperlink w:anchor="page15">
              <w:r>
                <w:rPr>
                  <w:rFonts w:ascii="Arial" w:cs="Arial" w:eastAsia="Arial" w:hAnsi="Arial"/>
                  <w:sz w:val="18"/>
                  <w:szCs w:val="18"/>
                  <w:color w:val="0000EE"/>
                  <w:w w:val="96"/>
                </w:rPr>
                <w:t>RISK FACTORS</w:t>
              </w:r>
            </w:hyperlink>
          </w:p>
        </w:tc>
        <w:tc>
          <w:tcPr>
            <w:tcW w:w="3000" w:type="dxa"/>
            <w:vAlign w:val="bottom"/>
            <w:gridSpan w:val="7"/>
          </w:tcPr>
          <w:p>
            <w:pPr>
              <w:spacing w:after="0"/>
              <w:rPr>
                <w:sz w:val="15"/>
                <w:szCs w:val="15"/>
                <w:color w:val="auto"/>
              </w:rPr>
            </w:pPr>
          </w:p>
        </w:tc>
        <w:tc>
          <w:tcPr>
            <w:tcW w:w="712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4300" w:type="dxa"/>
            <w:vAlign w:val="bottom"/>
            <w:gridSpan w:val="10"/>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WHERE YOU CAN FIND MORE INFORMATION</w:t>
              </w:r>
            </w:hyperlink>
          </w:p>
        </w:tc>
        <w:tc>
          <w:tcPr>
            <w:tcW w:w="712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290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6"/>
              </w:rPr>
            </w:pPr>
            <w:hyperlink w:anchor="page17">
              <w:r>
                <w:rPr>
                  <w:rFonts w:ascii="Arial" w:cs="Arial" w:eastAsia="Arial" w:hAnsi="Arial"/>
                  <w:sz w:val="18"/>
                  <w:szCs w:val="18"/>
                  <w:color w:val="0000EE"/>
                  <w:w w:val="96"/>
                </w:rPr>
                <w:t>INCORPORATION BY REFERENCE</w:t>
              </w:r>
            </w:hyperlink>
          </w:p>
        </w:tc>
        <w:tc>
          <w:tcPr>
            <w:tcW w:w="900" w:type="dxa"/>
            <w:vAlign w:val="bottom"/>
            <w:tcBorders>
              <w:top w:val="single" w:sz="8" w:color="0000EE"/>
            </w:tcBorders>
            <w:gridSpan w:val="2"/>
          </w:tcPr>
          <w:p>
            <w:pPr>
              <w:spacing w:after="0"/>
              <w:rPr>
                <w:sz w:val="15"/>
                <w:szCs w:val="15"/>
                <w:color w:val="auto"/>
              </w:rPr>
            </w:pPr>
          </w:p>
        </w:tc>
        <w:tc>
          <w:tcPr>
            <w:tcW w:w="500" w:type="dxa"/>
            <w:vAlign w:val="bottom"/>
          </w:tcPr>
          <w:p>
            <w:pPr>
              <w:spacing w:after="0"/>
              <w:rPr>
                <w:sz w:val="15"/>
                <w:szCs w:val="15"/>
                <w:color w:val="auto"/>
              </w:rPr>
            </w:pPr>
          </w:p>
        </w:tc>
        <w:tc>
          <w:tcPr>
            <w:tcW w:w="712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4300" w:type="dxa"/>
            <w:vAlign w:val="bottom"/>
            <w:gridSpan w:val="10"/>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FORWARD-LOOKING STATEMENTS</w:t>
              </w:r>
            </w:hyperlink>
          </w:p>
        </w:tc>
        <w:tc>
          <w:tcPr>
            <w:tcW w:w="712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183"/>
        </w:trPr>
        <w:tc>
          <w:tcPr>
            <w:tcW w:w="296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THE COMPANY</w:t>
              </w:r>
            </w:hyperlink>
          </w:p>
        </w:tc>
        <w:tc>
          <w:tcPr>
            <w:tcW w:w="1340" w:type="dxa"/>
            <w:vAlign w:val="bottom"/>
            <w:gridSpan w:val="2"/>
          </w:tcPr>
          <w:p>
            <w:pPr>
              <w:spacing w:after="0"/>
              <w:rPr>
                <w:sz w:val="15"/>
                <w:szCs w:val="15"/>
                <w:color w:val="auto"/>
              </w:rPr>
            </w:pPr>
          </w:p>
        </w:tc>
        <w:tc>
          <w:tcPr>
            <w:tcW w:w="712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r>
      <w:tr>
        <w:trPr>
          <w:trHeight w:val="20"/>
        </w:trPr>
        <w:tc>
          <w:tcPr>
            <w:tcW w:w="8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r>
        <w:trPr>
          <w:trHeight w:val="183"/>
        </w:trPr>
        <w:tc>
          <w:tcPr>
            <w:tcW w:w="1700" w:type="dxa"/>
            <w:vAlign w:val="bottom"/>
            <w:tcBorders>
              <w:bottom w:val="single" w:sz="8" w:color="0000EE"/>
            </w:tcBorders>
            <w:gridSpan w:val="5"/>
          </w:tcPr>
          <w:p>
            <w:pPr>
              <w:spacing w:after="0" w:line="182" w:lineRule="exact"/>
              <w:rPr>
                <w:rFonts w:ascii="Arial" w:cs="Arial" w:eastAsia="Arial" w:hAnsi="Arial"/>
                <w:sz w:val="18"/>
                <w:szCs w:val="18"/>
                <w:color w:val="0000EE"/>
                <w:w w:val="97"/>
              </w:rPr>
            </w:pPr>
            <w:hyperlink w:anchor="page23">
              <w:r>
                <w:rPr>
                  <w:rFonts w:ascii="Arial" w:cs="Arial" w:eastAsia="Arial" w:hAnsi="Arial"/>
                  <w:sz w:val="18"/>
                  <w:szCs w:val="18"/>
                  <w:color w:val="0000EE"/>
                  <w:w w:val="97"/>
                </w:rPr>
                <w:t>USE OF PROCEEDS</w:t>
              </w:r>
            </w:hyperlink>
          </w:p>
        </w:tc>
        <w:tc>
          <w:tcPr>
            <w:tcW w:w="2600" w:type="dxa"/>
            <w:vAlign w:val="bottom"/>
            <w:gridSpan w:val="5"/>
          </w:tcPr>
          <w:p>
            <w:pPr>
              <w:spacing w:after="0"/>
              <w:rPr>
                <w:sz w:val="15"/>
                <w:szCs w:val="15"/>
                <w:color w:val="auto"/>
              </w:rPr>
            </w:pPr>
          </w:p>
        </w:tc>
        <w:tc>
          <w:tcPr>
            <w:tcW w:w="712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183"/>
        </w:trPr>
        <w:tc>
          <w:tcPr>
            <w:tcW w:w="4300" w:type="dxa"/>
            <w:vAlign w:val="bottom"/>
            <w:gridSpan w:val="10"/>
          </w:tcPr>
          <w:p>
            <w:pPr>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LEGAL MATTERS</w:t>
              </w:r>
            </w:hyperlink>
          </w:p>
        </w:tc>
        <w:tc>
          <w:tcPr>
            <w:tcW w:w="712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183"/>
        </w:trPr>
        <w:tc>
          <w:tcPr>
            <w:tcW w:w="144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EXPERTS</w:t>
              </w:r>
            </w:hyperlink>
          </w:p>
        </w:tc>
        <w:tc>
          <w:tcPr>
            <w:tcW w:w="2860" w:type="dxa"/>
            <w:vAlign w:val="bottom"/>
            <w:gridSpan w:val="6"/>
          </w:tcPr>
          <w:p>
            <w:pPr>
              <w:spacing w:after="0"/>
              <w:rPr>
                <w:sz w:val="15"/>
                <w:szCs w:val="15"/>
                <w:color w:val="auto"/>
              </w:rPr>
            </w:pPr>
          </w:p>
        </w:tc>
        <w:tc>
          <w:tcPr>
            <w:tcW w:w="712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20"/>
        </w:trPr>
        <w:tc>
          <w:tcPr>
            <w:tcW w:w="8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bl>
    <w:p>
      <w:pPr>
        <w:spacing w:after="0" w:line="179" w:lineRule="exact"/>
        <w:rPr>
          <w:sz w:val="20"/>
          <w:szCs w:val="20"/>
          <w:color w:val="auto"/>
        </w:rPr>
      </w:pPr>
    </w:p>
    <w:p>
      <w:pPr>
        <w:ind w:right="400" w:firstLine="456"/>
        <w:spacing w:after="0" w:line="239" w:lineRule="auto"/>
        <w:rPr>
          <w:sz w:val="20"/>
          <w:szCs w:val="20"/>
          <w:color w:val="auto"/>
        </w:rPr>
      </w:pPr>
      <w:r>
        <w:rPr>
          <w:rFonts w:ascii="Arial" w:cs="Arial" w:eastAsia="Arial" w:hAnsi="Arial"/>
          <w:sz w:val="18"/>
          <w:szCs w:val="18"/>
          <w:color w:val="auto"/>
        </w:rPr>
        <w:t>Unless the context otherwise requires or unless otherwise specified, all references in this prospectus to “Wynn Resorts,” “the Company,” “we,” “us” or “our,” or similar terms, refer to Wynn Resorts, Limited and its consolidated subsidiaries.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80"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(the “SEC”) using a “shelf” registration process. Under this shelf process, we may sell the common stock described in this prospectus in one or more offerings. This prospectus provides you with a general description of the common stock we may offer. Each time we sell common stock pursuant to this prospectus,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80"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Investing in our common stock involves risks. You are urged to read and carefully consider the information under the heading “Risk Factors” in our Annual Report on Form 10-K for the year ended December 31, 2006, which is incorporated by reference into this prospectus, and in documents we file with the SEC after the date of this prospectus and which are incorporated by reference into this prospectus, as described below under the heading “Incorporation by Reference.” Before making an investment decision, you should carefully consider these risks as well as other information we incorporate by reference in this prospectus. The risks and uncertainties that we have described are not the only ones facing us. The prospectus supplement applicable to each offering of common stock will contain additional information about risks applicable to an investment in us and shares of our common stock.</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80"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We are subject to the informational reporting requirements of the Securities Exchange Act of 1934, as amended (the “Exchange Act”), and in accordance with these requirements file reports, proxy statements and other information with the SEC. The reports, proxy statements and other information may be inspected and copied at the SEC’s Public Reference Room at 100 F Street, N.E., Washington, D.C. 20549. You may obtain information on the operation of the Public Reference Room by calling the SEC at 1-800-SEC-0330. The SEC also maintains an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spacing w:after="0" w:line="243" w:lineRule="auto"/>
        <w:rPr>
          <w:sz w:val="20"/>
          <w:szCs w:val="20"/>
          <w:color w:val="auto"/>
        </w:rPr>
      </w:pPr>
      <w:r>
        <w:rPr>
          <w:rFonts w:ascii="Arial" w:cs="Arial" w:eastAsia="Arial" w:hAnsi="Arial"/>
          <w:sz w:val="18"/>
          <w:szCs w:val="18"/>
          <w:color w:val="auto"/>
        </w:rPr>
        <w:t xml:space="preserve">Internet 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(not an active hyperlink) that contains reports, proxy and information statements, and other information regarding issuers, like Wynn Resorts, that file electronically with the SEC. Our filings with the SEC also may be accessed through our Internet website at </w:t>
      </w:r>
      <w:r>
        <w:rPr>
          <w:rFonts w:ascii="Arial" w:cs="Arial" w:eastAsia="Arial" w:hAnsi="Arial"/>
          <w:sz w:val="18"/>
          <w:szCs w:val="18"/>
          <w:i w:val="1"/>
          <w:iCs w:val="1"/>
          <w:color w:val="auto"/>
        </w:rPr>
        <w:t>http://www.wynnresorts.com</w:t>
      </w:r>
      <w:r>
        <w:rPr>
          <w:rFonts w:ascii="Arial" w:cs="Arial" w:eastAsia="Arial" w:hAnsi="Arial"/>
          <w:sz w:val="18"/>
          <w:szCs w:val="18"/>
          <w:color w:val="auto"/>
        </w:rPr>
        <w:t xml:space="preserve"> (not an active hyperlink). Our website, and the information contained in, accessible from or connected to our website, shall not be deemed to be incorporated into, or otherwise constitute a part of, this prospectus.</w:t>
      </w:r>
    </w:p>
    <w:p>
      <w:pPr>
        <w:spacing w:after="0" w:line="292"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INCORPORATION BY REFERENCE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specified documents that we file with the SEC, which means that:</w:t>
      </w:r>
    </w:p>
    <w:p>
      <w:pPr>
        <w:spacing w:after="0" w:line="77"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documents are considered part of this prospectus;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disclosing important information to you by referring you to those documents; and</w:t>
      </w:r>
    </w:p>
    <w:p>
      <w:pPr>
        <w:spacing w:after="0" w:line="76" w:lineRule="exact"/>
        <w:rPr>
          <w:rFonts w:ascii="Arial" w:cs="Arial" w:eastAsia="Arial" w:hAnsi="Arial"/>
          <w:sz w:val="18"/>
          <w:szCs w:val="18"/>
          <w:color w:val="auto"/>
        </w:rPr>
      </w:pPr>
    </w:p>
    <w:p>
      <w:pPr>
        <w:ind w:left="780" w:right="200" w:hanging="326"/>
        <w:spacing w:after="0" w:line="23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that we file in the future with the SEC automatically will update and supersede earlier information contained or incorporated by reference in this prospectus.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in this prospectus the following documents filed with the SEC:</w:t>
      </w:r>
    </w:p>
    <w:p>
      <w:pPr>
        <w:spacing w:after="0" w:line="77"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2006;</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quarters ended March 31, 2007 and June 30, 2007;</w:t>
      </w:r>
    </w:p>
    <w:p>
      <w:pPr>
        <w:spacing w:after="0" w:line="76" w:lineRule="exact"/>
        <w:rPr>
          <w:rFonts w:ascii="Arial" w:cs="Arial" w:eastAsia="Arial" w:hAnsi="Arial"/>
          <w:sz w:val="18"/>
          <w:szCs w:val="18"/>
          <w:color w:val="auto"/>
        </w:rPr>
      </w:pPr>
    </w:p>
    <w:p>
      <w:pPr>
        <w:ind w:left="780" w:right="460" w:hanging="326"/>
        <w:spacing w:after="0" w:line="239"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current reports on Form 8-K filed on January 11, 2007, February 1, 2007, April 13, 2007, June 7, 2007, June 15, 2007, June 21, 2007, June 29, 2007 and July 5, 2007;</w:t>
      </w:r>
    </w:p>
    <w:p>
      <w:pPr>
        <w:spacing w:after="0" w:line="73" w:lineRule="exact"/>
        <w:rPr>
          <w:rFonts w:ascii="Arial" w:cs="Arial" w:eastAsia="Arial" w:hAnsi="Arial"/>
          <w:sz w:val="18"/>
          <w:szCs w:val="18"/>
          <w:color w:val="auto"/>
        </w:rPr>
      </w:pPr>
    </w:p>
    <w:p>
      <w:pPr>
        <w:ind w:left="780" w:right="120" w:hanging="326"/>
        <w:spacing w:after="0" w:line="239"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description of our common stock set forth in our Registration Statement on Form 8-A, filed on October 7, 2002 (File No. 000-50028); and</w:t>
      </w:r>
    </w:p>
    <w:p>
      <w:pPr>
        <w:spacing w:after="0" w:line="73" w:lineRule="exact"/>
        <w:rPr>
          <w:rFonts w:ascii="Arial" w:cs="Arial" w:eastAsia="Arial" w:hAnsi="Arial"/>
          <w:sz w:val="18"/>
          <w:szCs w:val="18"/>
          <w:color w:val="auto"/>
        </w:rPr>
      </w:pPr>
    </w:p>
    <w:p>
      <w:pPr>
        <w:ind w:left="780" w:right="460" w:hanging="326"/>
        <w:spacing w:after="0" w:line="239"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other documents that we file with the SEC pursuant to Section 13(a), 13(c), 14 or 15(d) of the Exchange Act after the date of this prospectus and prior to termination of the offering of the securities hereunder.</w:t>
      </w:r>
    </w:p>
    <w:p>
      <w:pPr>
        <w:spacing w:after="0" w:line="155" w:lineRule="exact"/>
        <w:rPr>
          <w:sz w:val="20"/>
          <w:szCs w:val="20"/>
          <w:color w:val="auto"/>
        </w:rPr>
      </w:pPr>
    </w:p>
    <w:p>
      <w:pPr>
        <w:ind w:right="360" w:firstLine="456"/>
        <w:spacing w:after="0" w:line="239" w:lineRule="auto"/>
        <w:rPr>
          <w:sz w:val="20"/>
          <w:szCs w:val="20"/>
          <w:color w:val="auto"/>
        </w:rPr>
      </w:pPr>
      <w:r>
        <w:rPr>
          <w:rFonts w:ascii="Arial" w:cs="Arial" w:eastAsia="Arial" w:hAnsi="Arial"/>
          <w:sz w:val="18"/>
          <w:szCs w:val="18"/>
          <w:color w:val="auto"/>
        </w:rPr>
        <w:t>Notwithstanding the foregoing, information furnished under Items 2.02 and 7.01 of any Current Report on Form 8-K, including the related exhibits under Item 9.01, is not incorporated by reference in this prospectus.</w:t>
      </w:r>
    </w:p>
    <w:p>
      <w:pPr>
        <w:spacing w:after="0" w:line="155"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You should rely only on the information contained or incorporated by reference in this prospectus. We have not authorized anyone to provide you with any additional information. Any statement contained in this prospectus, or a document incorporated or deemed to be incorporated by reference in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56"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Copies of the documents incorporated by reference in this prospectus are available from us upon request. We will provide to each person, including any beneficial owner, to whom a prospectus is delivered, a copy of any or all of the information that has been incorporated by reference in this prospectus, but not delivered with this prospectus, without charge to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requester, upon written or oral request. Exhibits to information incorporated by reference in this prospectus will not be sent, however, unless those exhibits have specifically been incorporated by reference in such information. Requests for such copies should be directed to the following:</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Resorts, Limited</w:t>
      </w:r>
    </w:p>
    <w:p>
      <w:pPr>
        <w:ind w:left="900"/>
        <w:spacing w:after="0" w:line="234" w:lineRule="auto"/>
        <w:rPr>
          <w:sz w:val="20"/>
          <w:szCs w:val="20"/>
          <w:color w:val="auto"/>
        </w:rPr>
      </w:pPr>
      <w:r>
        <w:rPr>
          <w:rFonts w:ascii="Arial" w:cs="Arial" w:eastAsia="Arial" w:hAnsi="Arial"/>
          <w:sz w:val="18"/>
          <w:szCs w:val="18"/>
          <w:color w:val="auto"/>
        </w:rPr>
        <w:t>3131 Las Vegas Boulevard South</w:t>
      </w:r>
    </w:p>
    <w:p>
      <w:pPr>
        <w:ind w:left="900"/>
        <w:spacing w:after="0" w:line="235" w:lineRule="auto"/>
        <w:rPr>
          <w:sz w:val="20"/>
          <w:szCs w:val="20"/>
          <w:color w:val="auto"/>
        </w:rPr>
      </w:pPr>
      <w:r>
        <w:rPr>
          <w:rFonts w:ascii="Arial" w:cs="Arial" w:eastAsia="Arial" w:hAnsi="Arial"/>
          <w:sz w:val="18"/>
          <w:szCs w:val="18"/>
          <w:color w:val="auto"/>
        </w:rPr>
        <w:t>Las Vegas, Nevada 89109</w:t>
      </w:r>
    </w:p>
    <w:p>
      <w:pPr>
        <w:ind w:left="900"/>
        <w:spacing w:after="0" w:line="235" w:lineRule="auto"/>
        <w:rPr>
          <w:sz w:val="20"/>
          <w:szCs w:val="20"/>
          <w:color w:val="auto"/>
        </w:rPr>
      </w:pPr>
      <w:r>
        <w:rPr>
          <w:rFonts w:ascii="Arial" w:cs="Arial" w:eastAsia="Arial" w:hAnsi="Arial"/>
          <w:sz w:val="18"/>
          <w:szCs w:val="18"/>
          <w:color w:val="auto"/>
        </w:rPr>
        <w:t>(702) 770-7555</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Vice President—Investor Relations</w:t>
      </w:r>
    </w:p>
    <w:p>
      <w:pPr>
        <w:spacing w:after="0" w:line="158" w:lineRule="exact"/>
        <w:rPr>
          <w:sz w:val="20"/>
          <w:szCs w:val="20"/>
          <w:color w:val="auto"/>
        </w:rPr>
      </w:pPr>
    </w:p>
    <w:p>
      <w:pPr>
        <w:ind w:right="120" w:firstLine="456"/>
        <w:spacing w:after="0" w:line="239" w:lineRule="auto"/>
        <w:rPr>
          <w:sz w:val="20"/>
          <w:szCs w:val="20"/>
          <w:color w:val="auto"/>
        </w:rPr>
      </w:pPr>
      <w:r>
        <w:rPr>
          <w:rFonts w:ascii="Arial" w:cs="Arial" w:eastAsia="Arial" w:hAnsi="Arial"/>
          <w:sz w:val="18"/>
          <w:szCs w:val="18"/>
          <w:color w:val="auto"/>
        </w:rPr>
        <w:t>Except as provided above, no other information, including information on our internet site (http://www.wynnresorts.com), is incorporated by reference in this prospectus.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459"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FORWARD-LOOKING STATEMENTS</w:t>
      </w:r>
    </w:p>
    <w:p>
      <w:pPr>
        <w:spacing w:after="0" w:line="180" w:lineRule="exact"/>
        <w:rPr>
          <w:sz w:val="20"/>
          <w:szCs w:val="20"/>
          <w:color w:val="auto"/>
        </w:rPr>
      </w:pPr>
    </w:p>
    <w:p>
      <w:pPr>
        <w:ind w:firstLine="456"/>
        <w:spacing w:after="0" w:line="268" w:lineRule="auto"/>
        <w:rPr>
          <w:sz w:val="20"/>
          <w:szCs w:val="20"/>
          <w:color w:val="auto"/>
        </w:rPr>
      </w:pPr>
      <w:r>
        <w:rPr>
          <w:rFonts w:ascii="Arial" w:cs="Arial" w:eastAsia="Arial" w:hAnsi="Arial"/>
          <w:sz w:val="16"/>
          <w:szCs w:val="16"/>
          <w:color w:val="auto"/>
        </w:rPr>
        <w:t>This prospectus, including the documents incorporated by reference in this prospectus, contain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prospectus, including the documents incorporated by reference in this prospectus,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55" w:lineRule="exact"/>
        <w:rPr>
          <w:sz w:val="20"/>
          <w:szCs w:val="20"/>
          <w:color w:val="auto"/>
        </w:rPr>
      </w:pPr>
    </w:p>
    <w:p>
      <w:pPr>
        <w:ind w:left="780" w:right="360" w:hanging="326"/>
        <w:spacing w:after="0" w:line="239"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conditions precedent to funding under the agreements governing the disbursement of the proceeds of certain of our debt and equity offerings and borrowings under our credit facilities;</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completion of the second phase of our Wynn Macau casino resort on time and within budget;</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completion of Encore on time and within budget;</w:t>
      </w:r>
    </w:p>
    <w:p>
      <w:pPr>
        <w:spacing w:after="0" w:line="76" w:lineRule="exact"/>
        <w:rPr>
          <w:rFonts w:ascii="Arial" w:cs="Arial" w:eastAsia="Arial" w:hAnsi="Arial"/>
          <w:sz w:val="18"/>
          <w:szCs w:val="18"/>
          <w:color w:val="auto"/>
        </w:rPr>
      </w:pPr>
    </w:p>
    <w:p>
      <w:pPr>
        <w:ind w:left="780" w:right="100" w:hanging="326"/>
        <w:spacing w:after="0" w:line="239"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intention to fund a substantial portion of the development and construction costs of Encore with anticipated cash flows generated at Wynn Las Vegas;</w:t>
      </w:r>
    </w:p>
    <w:p>
      <w:pPr>
        <w:spacing w:after="0" w:line="73" w:lineRule="exact"/>
        <w:rPr>
          <w:rFonts w:ascii="Arial" w:cs="Arial" w:eastAsia="Arial" w:hAnsi="Arial"/>
          <w:sz w:val="18"/>
          <w:szCs w:val="18"/>
          <w:color w:val="auto"/>
        </w:rPr>
      </w:pPr>
    </w:p>
    <w:p>
      <w:pPr>
        <w:ind w:left="780" w:right="840" w:hanging="326"/>
        <w:spacing w:after="0" w:line="239"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doing business in foreign locations such as Macau (including the risks associated with Macau’s developing gaming regulatory framework);</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a limited number of properties for all of our cash flow;</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domestic or international economic conditions;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jurisdictional laws and regulations (including gaming laws and regulations);</w:t>
      </w:r>
    </w:p>
    <w:p>
      <w:pPr>
        <w:spacing w:after="0" w:line="76" w:lineRule="exact"/>
        <w:rPr>
          <w:rFonts w:ascii="Arial" w:cs="Arial" w:eastAsia="Arial" w:hAnsi="Arial"/>
          <w:sz w:val="18"/>
          <w:szCs w:val="18"/>
          <w:color w:val="auto"/>
        </w:rPr>
      </w:pPr>
    </w:p>
    <w:p>
      <w:pPr>
        <w:ind w:left="780" w:right="300" w:hanging="326"/>
        <w:spacing w:after="0" w:line="239"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such as avian flu, or the impact of a natural disaster, such as the tsunami which struck southeast Asia in December 2004, may have on the travel and leisure industry; and</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consequences of the war in Iraq and other military conflicts in the Middle East and any future security alerts and/or terrorist attacks.</w:t>
      </w:r>
    </w:p>
    <w:p>
      <w:pPr>
        <w:spacing w:after="0" w:line="181"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the sections entitled “Risk Factors” in our Annual Report on Form 10-K for the year ended December 31, 2006,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COMPANY</w:t>
      </w:r>
    </w:p>
    <w:p>
      <w:pPr>
        <w:spacing w:after="0" w:line="180"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We are a developer, owner and operator of destination casino resorts. We currently own and operate Wynn Las Vegas, a destination casino resort in Las Vegas, Nevada, which opened on April 28, 2005, and Wynn Macau, a destination casino resort in the Macau Special Administrative Region of the People’s Republic of China, which opened on September 6, 2006. In addition, on April 28, 2006, we commenced construction of Encore at Wynn Las Vegas, a hotel casino resort which, when completed, will be fully integrated with Wynn Las Vegas. We are also currently expanding Wynn Macau and in November 2006, announced “Wynn Diamond Suites” an additional hotel tower for Wynn Macau. Until the opening of Wynn Las Vegas in 2005, we were solely a development stage company.</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operating properties as of July 2007:</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Approximate</w:t>
            </w: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59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Hotel</w:t>
            </w:r>
          </w:p>
        </w:tc>
        <w:tc>
          <w:tcPr>
            <w:tcW w:w="620" w:type="dxa"/>
            <w:vAlign w:val="bottom"/>
          </w:tcPr>
          <w:p>
            <w:pPr>
              <w:spacing w:after="0"/>
              <w:rPr>
                <w:sz w:val="12"/>
                <w:szCs w:val="12"/>
                <w:color w:val="auto"/>
              </w:rPr>
            </w:pPr>
          </w:p>
        </w:tc>
        <w:tc>
          <w:tcPr>
            <w:tcW w:w="14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Casino</w:t>
            </w:r>
          </w:p>
        </w:tc>
        <w:tc>
          <w:tcPr>
            <w:tcW w:w="128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4"/>
              </w:rPr>
              <w:t>Number of</w:t>
            </w:r>
          </w:p>
        </w:tc>
        <w:tc>
          <w:tcPr>
            <w:tcW w:w="680" w:type="dxa"/>
            <w:vAlign w:val="bottom"/>
          </w:tcPr>
          <w:p>
            <w:pPr>
              <w:spacing w:after="0"/>
              <w:rPr>
                <w:sz w:val="12"/>
                <w:szCs w:val="12"/>
                <w:color w:val="auto"/>
              </w:rPr>
            </w:pPr>
          </w:p>
        </w:tc>
      </w:tr>
      <w:tr>
        <w:trPr>
          <w:trHeight w:val="149"/>
        </w:trPr>
        <w:tc>
          <w:tcPr>
            <w:tcW w:w="59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Rooms &amp;</w:t>
            </w:r>
          </w:p>
        </w:tc>
        <w:tc>
          <w:tcPr>
            <w:tcW w:w="620" w:type="dxa"/>
            <w:vAlign w:val="bottom"/>
          </w:tcPr>
          <w:p>
            <w:pPr>
              <w:spacing w:after="0"/>
              <w:rPr>
                <w:sz w:val="12"/>
                <w:szCs w:val="12"/>
                <w:color w:val="auto"/>
              </w:rPr>
            </w:pPr>
          </w:p>
        </w:tc>
        <w:tc>
          <w:tcPr>
            <w:tcW w:w="14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Square</w:t>
            </w:r>
          </w:p>
        </w:tc>
        <w:tc>
          <w:tcPr>
            <w:tcW w:w="128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Table</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Number of</w:t>
            </w:r>
          </w:p>
        </w:tc>
      </w:tr>
      <w:tr>
        <w:trPr>
          <w:trHeight w:val="165"/>
        </w:trPr>
        <w:tc>
          <w:tcPr>
            <w:tcW w:w="59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Suites</w:t>
            </w:r>
          </w:p>
        </w:tc>
        <w:tc>
          <w:tcPr>
            <w:tcW w:w="6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Footage</w:t>
            </w:r>
          </w:p>
        </w:tc>
        <w:tc>
          <w:tcPr>
            <w:tcW w:w="600" w:type="dxa"/>
            <w:vAlign w:val="bottom"/>
          </w:tcPr>
          <w:p>
            <w:pPr>
              <w:spacing w:after="0"/>
              <w:rPr>
                <w:sz w:val="14"/>
                <w:szCs w:val="14"/>
                <w:color w:val="auto"/>
              </w:rPr>
            </w:pPr>
          </w:p>
        </w:tc>
        <w:tc>
          <w:tcPr>
            <w:tcW w:w="68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Games</w:t>
            </w:r>
          </w:p>
        </w:tc>
        <w:tc>
          <w:tcPr>
            <w:tcW w:w="600" w:type="dxa"/>
            <w:vAlign w:val="bottom"/>
          </w:tcPr>
          <w:p>
            <w:pPr>
              <w:spacing w:after="0"/>
              <w:rPr>
                <w:sz w:val="14"/>
                <w:szCs w:val="14"/>
                <w:color w:val="auto"/>
              </w:rPr>
            </w:pPr>
          </w:p>
        </w:tc>
        <w:tc>
          <w:tcPr>
            <w:tcW w:w="6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Slots</w:t>
            </w:r>
          </w:p>
        </w:tc>
      </w:tr>
      <w:tr>
        <w:trPr>
          <w:trHeight w:val="196"/>
        </w:trPr>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Wynn Las Vegas</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2,716</w:t>
            </w:r>
          </w:p>
        </w:tc>
        <w:tc>
          <w:tcPr>
            <w:tcW w:w="2060" w:type="dxa"/>
            <w:vAlign w:val="bottom"/>
            <w:gridSpan w:val="3"/>
            <w:shd w:val="clear" w:color="auto" w:fill="CCEEFF"/>
          </w:tcPr>
          <w:p>
            <w:pPr>
              <w:ind w:left="820"/>
              <w:spacing w:after="0" w:line="196" w:lineRule="exact"/>
              <w:rPr>
                <w:sz w:val="20"/>
                <w:szCs w:val="20"/>
                <w:color w:val="auto"/>
              </w:rPr>
            </w:pPr>
            <w:r>
              <w:rPr>
                <w:rFonts w:ascii="Arial" w:cs="Arial" w:eastAsia="Arial" w:hAnsi="Arial"/>
                <w:sz w:val="18"/>
                <w:szCs w:val="18"/>
                <w:color w:val="auto"/>
              </w:rPr>
              <w:t>111,000</w:t>
            </w:r>
          </w:p>
        </w:tc>
        <w:tc>
          <w:tcPr>
            <w:tcW w:w="1280" w:type="dxa"/>
            <w:vAlign w:val="bottom"/>
            <w:gridSpan w:val="2"/>
            <w:shd w:val="clear" w:color="auto" w:fill="CCEEFF"/>
          </w:tcPr>
          <w:p>
            <w:pPr>
              <w:jc w:val="right"/>
              <w:ind w:right="600"/>
              <w:spacing w:after="0" w:line="196" w:lineRule="exact"/>
              <w:rPr>
                <w:sz w:val="20"/>
                <w:szCs w:val="20"/>
                <w:color w:val="auto"/>
              </w:rPr>
            </w:pPr>
            <w:r>
              <w:rPr>
                <w:rFonts w:ascii="Arial" w:cs="Arial" w:eastAsia="Arial" w:hAnsi="Arial"/>
                <w:sz w:val="18"/>
                <w:szCs w:val="18"/>
                <w:color w:val="auto"/>
              </w:rPr>
              <w:t>146</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1,975</w:t>
            </w:r>
          </w:p>
        </w:tc>
      </w:tr>
      <w:tr>
        <w:trPr>
          <w:trHeight w:val="214"/>
        </w:trPr>
        <w:tc>
          <w:tcPr>
            <w:tcW w:w="5900" w:type="dxa"/>
            <w:vAlign w:val="bottom"/>
          </w:tcPr>
          <w:p>
            <w:pPr>
              <w:spacing w:after="0"/>
              <w:rPr>
                <w:sz w:val="20"/>
                <w:szCs w:val="20"/>
                <w:color w:val="auto"/>
              </w:rPr>
            </w:pPr>
            <w:r>
              <w:rPr>
                <w:rFonts w:ascii="Arial" w:cs="Arial" w:eastAsia="Arial" w:hAnsi="Arial"/>
                <w:sz w:val="18"/>
                <w:szCs w:val="18"/>
                <w:color w:val="auto"/>
              </w:rPr>
              <w:t>Wynn Macau</w:t>
            </w:r>
          </w:p>
        </w:tc>
        <w:tc>
          <w:tcPr>
            <w:tcW w:w="580" w:type="dxa"/>
            <w:vAlign w:val="bottom"/>
          </w:tcPr>
          <w:p>
            <w:pPr>
              <w:jc w:val="right"/>
              <w:spacing w:after="0"/>
              <w:rPr>
                <w:sz w:val="20"/>
                <w:szCs w:val="20"/>
                <w:color w:val="auto"/>
              </w:rPr>
            </w:pPr>
            <w:r>
              <w:rPr>
                <w:rFonts w:ascii="Arial" w:cs="Arial" w:eastAsia="Arial" w:hAnsi="Arial"/>
                <w:sz w:val="18"/>
                <w:szCs w:val="18"/>
                <w:color w:val="auto"/>
              </w:rPr>
              <w:t>600</w:t>
            </w:r>
          </w:p>
        </w:tc>
        <w:tc>
          <w:tcPr>
            <w:tcW w:w="2060" w:type="dxa"/>
            <w:vAlign w:val="bottom"/>
            <w:gridSpan w:val="3"/>
          </w:tcPr>
          <w:p>
            <w:pPr>
              <w:ind w:left="820"/>
              <w:spacing w:after="0"/>
              <w:rPr>
                <w:sz w:val="20"/>
                <w:szCs w:val="20"/>
                <w:color w:val="auto"/>
              </w:rPr>
            </w:pPr>
            <w:r>
              <w:rPr>
                <w:rFonts w:ascii="Arial" w:cs="Arial" w:eastAsia="Arial" w:hAnsi="Arial"/>
                <w:sz w:val="18"/>
                <w:szCs w:val="18"/>
                <w:color w:val="auto"/>
              </w:rPr>
              <w:t>130,000</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283</w:t>
            </w:r>
          </w:p>
        </w:tc>
        <w:tc>
          <w:tcPr>
            <w:tcW w:w="680" w:type="dxa"/>
            <w:vAlign w:val="bottom"/>
          </w:tcPr>
          <w:p>
            <w:pPr>
              <w:jc w:val="right"/>
              <w:spacing w:after="0"/>
              <w:rPr>
                <w:sz w:val="20"/>
                <w:szCs w:val="20"/>
                <w:color w:val="auto"/>
              </w:rPr>
            </w:pPr>
            <w:r>
              <w:rPr>
                <w:rFonts w:ascii="Arial" w:cs="Arial" w:eastAsia="Arial" w:hAnsi="Arial"/>
                <w:sz w:val="18"/>
                <w:szCs w:val="18"/>
                <w:color w:val="auto"/>
              </w:rPr>
              <w:t>708</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features:</w:t>
      </w:r>
    </w:p>
    <w:p>
      <w:pPr>
        <w:spacing w:after="0" w:line="77" w:lineRule="exact"/>
        <w:rPr>
          <w:sz w:val="20"/>
          <w:szCs w:val="20"/>
          <w:color w:val="auto"/>
        </w:rPr>
      </w:pPr>
    </w:p>
    <w:p>
      <w:pPr>
        <w:ind w:left="780" w:right="300" w:hanging="326"/>
        <w:spacing w:after="0" w:line="239"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approximately 111,000 square foot casino offering 24-hour gaming and a full range of games, including private baccarat salons, a poker room, and a race and sports book;</w:t>
      </w:r>
    </w:p>
    <w:p>
      <w:pPr>
        <w:spacing w:after="0" w:line="73" w:lineRule="exact"/>
        <w:rPr>
          <w:rFonts w:ascii="Arial" w:cs="Arial" w:eastAsia="Arial" w:hAnsi="Arial"/>
          <w:sz w:val="18"/>
          <w:szCs w:val="18"/>
          <w:color w:val="auto"/>
        </w:rPr>
      </w:pPr>
    </w:p>
    <w:p>
      <w:pPr>
        <w:ind w:left="780" w:right="240" w:hanging="326"/>
        <w:spacing w:after="0" w:line="239"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 (in 2006, the Tower Suites at Wynn Las Vegas became the only casino resort in the world to receive both the Mobil Five Star and AAA Five Diamond distinctions);</w:t>
      </w:r>
    </w:p>
    <w:p>
      <w:pPr>
        <w:spacing w:after="0" w:line="73" w:lineRule="exact"/>
        <w:rPr>
          <w:rFonts w:ascii="Arial" w:cs="Arial" w:eastAsia="Arial" w:hAnsi="Arial"/>
          <w:sz w:val="18"/>
          <w:szCs w:val="18"/>
          <w:color w:val="auto"/>
        </w:rPr>
      </w:pPr>
    </w:p>
    <w:p>
      <w:pPr>
        <w:ind w:left="780" w:right="120" w:hanging="326"/>
        <w:spacing w:after="0" w:line="239"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22 food and beverage outlets featuring signature chefs, including the AAA Five Diamond and Mobil Five Star award-winning restaurant, Alex;</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76" w:lineRule="exact"/>
        <w:rPr>
          <w:rFonts w:ascii="Arial" w:cs="Arial" w:eastAsia="Arial" w:hAnsi="Arial"/>
          <w:sz w:val="18"/>
          <w:szCs w:val="18"/>
          <w:color w:val="auto"/>
        </w:rPr>
      </w:pPr>
    </w:p>
    <w:p>
      <w:pPr>
        <w:ind w:left="780" w:hanging="326"/>
        <w:spacing w:after="0" w:line="239"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featuring Brioni, Chanel, Dior, Graff, Jean-Paul Gaultier, Louis Vuitton and Manolo Blahnik;</w:t>
      </w:r>
    </w:p>
    <w:p>
      <w:pPr>
        <w:spacing w:after="0" w:line="73" w:lineRule="exact"/>
        <w:rPr>
          <w:rFonts w:ascii="Arial" w:cs="Arial" w:eastAsia="Arial" w:hAnsi="Arial"/>
          <w:sz w:val="18"/>
          <w:szCs w:val="18"/>
          <w:color w:val="auto"/>
        </w:rPr>
      </w:pPr>
    </w:p>
    <w:p>
      <w:pPr>
        <w:ind w:left="780" w:right="180" w:hanging="326"/>
        <w:spacing w:after="0" w:line="239"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Recreation and leisure facilities, including an 18-hole golf course, five swimming pools, private cabanas and full service spa and salon; and</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Two showrooms, a nightclub and lounge entertainment.</w:t>
      </w:r>
    </w:p>
    <w:p>
      <w:pPr>
        <w:spacing w:after="0" w:line="158"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In March 2007, we remodeled the Le Rêve Theatre to enhance the customer experience. The theatre went from 2,087 to 1,606 seats providing additional room for guests and a more intimate experience. The remodel effort lasted approximately 30 days from March 6, 2007 through April 4, 2007, during which time there were no performances of Le Rêve. Also, in March 2007, we commenced performances of “Monty Python’s Spamalot” in our Grail Theatre.</w:t>
      </w:r>
    </w:p>
    <w:p>
      <w:pPr>
        <w:spacing w:after="0" w:line="155"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The resort, which is located at the intersection of the Las Vegas Strip and Sands Avenue, occupies approximately 217 acres of land fronting the Las Vegas Strip and approximately 18 additional acres across Sands Avenue, a portion of which is utilized for employee parking.</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 at Wynn Las Vegas</w:t>
      </w:r>
    </w:p>
    <w:p>
      <w:pPr>
        <w:spacing w:after="0" w:line="9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We are constructing Encore on approximately 20 acres on the Las Vegas Strip, immediately adjacent to Wynn Las Vegas. Encore’s current plans include a 2,034 all-suite hotel tower fully integrated with Wynn Las Vegas, an approximately 72,000 square foot casino, additional convention and meeting space, as well as restaurants, a nightclub, swimming pools, a spa and salon and retail outlets. We continue to refine the final design of Encore. Encore is expected to open in early 2009. Our project budget is currently estimated at approximately $2.2 billion, consisting of approximately $2.1 billion for Encore and approximately $100 million for an employee parking garage on our Koval property, an associated pedestrian bridge and costs incurred in connection with the theatre remodeling and production of “Monty Python’s Spamalot” at Wynn Las Vegas, which opened March 2007.</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opened Wynn Macau on September 6, 2006. Wynn Macau is located on 11 acres of a total site area of 16 acres of land and features:</w:t>
      </w:r>
    </w:p>
    <w:p>
      <w:pPr>
        <w:spacing w:after="0" w:line="77"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approximately 130,000 square foot casino offering 24-hour gaming and a full range of games, including private gaming salons;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Luxury hotel accommodations in 600 rooms and suites;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Casual and fine dining in five restaurants;</w:t>
      </w:r>
    </w:p>
    <w:p>
      <w:pPr>
        <w:spacing w:after="0" w:line="76" w:lineRule="exact"/>
        <w:rPr>
          <w:rFonts w:ascii="Arial" w:cs="Arial" w:eastAsia="Arial" w:hAnsi="Arial"/>
          <w:sz w:val="18"/>
          <w:szCs w:val="18"/>
          <w:color w:val="auto"/>
        </w:rPr>
      </w:pPr>
    </w:p>
    <w:p>
      <w:pPr>
        <w:ind w:left="780" w:right="340" w:hanging="326"/>
        <w:spacing w:after="0" w:line="239"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26,000 square feet of high-end, brand-name retail shopping, including stores and boutiques featuring Bulgari, Chanel, Dior, Fendi, Giorgio Armani, Louis Vuitton, Piaget, Prada, Tiffany, and others;</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Recreation and leisure facilities, including a health club, pool and spa;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Lounges and meeting facilities.</w:t>
      </w:r>
    </w:p>
    <w:p>
      <w:pPr>
        <w:spacing w:after="0" w:line="158" w:lineRule="exact"/>
        <w:rPr>
          <w:sz w:val="20"/>
          <w:szCs w:val="20"/>
          <w:color w:val="auto"/>
        </w:rPr>
      </w:pPr>
    </w:p>
    <w:p>
      <w:pPr>
        <w:ind w:right="220" w:firstLine="456"/>
        <w:spacing w:after="0" w:line="236" w:lineRule="auto"/>
        <w:rPr>
          <w:sz w:val="20"/>
          <w:szCs w:val="20"/>
          <w:color w:val="auto"/>
        </w:rPr>
      </w:pPr>
      <w:r>
        <w:rPr>
          <w:rFonts w:ascii="Arial" w:cs="Arial" w:eastAsia="Arial" w:hAnsi="Arial"/>
          <w:sz w:val="18"/>
          <w:szCs w:val="18"/>
          <w:color w:val="auto"/>
        </w:rPr>
        <w:t>Construction and development continues on the second phase. This phase includes additional gaming space, a dramatic front feature attraction, a theater showroom and additional food, beverage and retail amenities. In September 2007, we opened approximately 20,000 square feet of additional gaming space and one restaurant at Wynn Macau in this second phase. The remaining portion of the expansion is expected to open by Chinese New Year, 2008. After the completion of the expansion, Wynn Macau is expected to have a total of approximately 380 table games and 1,200 slot machines.</w:t>
      </w:r>
    </w:p>
    <w:p>
      <w:pPr>
        <w:spacing w:after="0" w:line="157" w:lineRule="exact"/>
        <w:rPr>
          <w:sz w:val="20"/>
          <w:szCs w:val="20"/>
          <w:color w:val="auto"/>
        </w:rPr>
      </w:pPr>
    </w:p>
    <w:p>
      <w:pPr>
        <w:ind w:right="100" w:firstLine="456"/>
        <w:spacing w:after="0" w:line="275" w:lineRule="auto"/>
        <w:rPr>
          <w:sz w:val="20"/>
          <w:szCs w:val="20"/>
          <w:color w:val="auto"/>
        </w:rPr>
      </w:pPr>
      <w:r>
        <w:rPr>
          <w:rFonts w:ascii="Arial" w:cs="Arial" w:eastAsia="Arial" w:hAnsi="Arial"/>
          <w:sz w:val="16"/>
          <w:szCs w:val="16"/>
          <w:color w:val="auto"/>
        </w:rPr>
        <w:t>In July 2007, Wynn Macau S.A. issued a notice to proceed to the general contractor with respect to approximately $347.8 million of construction costs relating to the construction of Wynn Diamond Suites. While the complete project budget is still being finalized, we expect the costs to be in the range of $550 to $600 million. We expect Wynn Diamond Suites to open to the public in the first half of 2010. First announced in November 2006, Wynn Diamond Suites will be fully integrated into Wynn Macau and is expected to have 400 luxury suites and villas.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Wynn Macau under a 20-year casino concession agreement granted by the Macau government in June 2002.</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Cotai Development</w:t>
      </w:r>
    </w:p>
    <w:p>
      <w:pPr>
        <w:spacing w:after="0" w:line="99" w:lineRule="exact"/>
        <w:rPr>
          <w:sz w:val="20"/>
          <w:szCs w:val="20"/>
          <w:color w:val="auto"/>
        </w:rPr>
      </w:pPr>
    </w:p>
    <w:p>
      <w:pPr>
        <w:ind w:right="160" w:firstLine="456"/>
        <w:spacing w:after="0" w:line="239" w:lineRule="auto"/>
        <w:rPr>
          <w:sz w:val="20"/>
          <w:szCs w:val="20"/>
          <w:color w:val="auto"/>
        </w:rPr>
      </w:pPr>
      <w:r>
        <w:rPr>
          <w:rFonts w:ascii="Arial" w:cs="Arial" w:eastAsia="Arial" w:hAnsi="Arial"/>
          <w:sz w:val="18"/>
          <w:szCs w:val="18"/>
          <w:color w:val="auto"/>
        </w:rPr>
        <w:t>We have submitted an application to the Macau government for a concession of land in Cotai. We recently reconfigured our site plan for 52 acres and are awaiting final approval.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executive offices are located at 3131 Las Vegas Boulevard South, Las Vegas, Nevada 89109, telephone (702) 770-7555.</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80" w:lineRule="exact"/>
        <w:rPr>
          <w:sz w:val="20"/>
          <w:szCs w:val="20"/>
          <w:color w:val="auto"/>
        </w:rPr>
      </w:pPr>
    </w:p>
    <w:p>
      <w:pPr>
        <w:ind w:right="140" w:firstLine="456"/>
        <w:spacing w:after="0" w:line="239" w:lineRule="auto"/>
        <w:rPr>
          <w:sz w:val="20"/>
          <w:szCs w:val="20"/>
          <w:color w:val="auto"/>
        </w:rPr>
      </w:pPr>
      <w:r>
        <w:rPr>
          <w:rFonts w:ascii="Arial" w:cs="Arial" w:eastAsia="Arial" w:hAnsi="Arial"/>
          <w:sz w:val="18"/>
          <w:szCs w:val="18"/>
          <w:color w:val="auto"/>
        </w:rPr>
        <w:t>Unless otherwise stated in the applicable prospectus supplement, we intend to use the net proceeds of any securities sold by us for general corporate purposes.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80" w:lineRule="exact"/>
        <w:rPr>
          <w:sz w:val="20"/>
          <w:szCs w:val="20"/>
          <w:color w:val="auto"/>
        </w:rPr>
      </w:pPr>
    </w:p>
    <w:p>
      <w:pPr>
        <w:ind w:right="480" w:firstLine="456"/>
        <w:spacing w:after="0" w:line="239" w:lineRule="auto"/>
        <w:rPr>
          <w:sz w:val="20"/>
          <w:szCs w:val="20"/>
          <w:color w:val="auto"/>
        </w:rPr>
      </w:pPr>
      <w:r>
        <w:rPr>
          <w:rFonts w:ascii="Arial" w:cs="Arial" w:eastAsia="Arial" w:hAnsi="Arial"/>
          <w:sz w:val="18"/>
          <w:szCs w:val="18"/>
          <w:color w:val="auto"/>
        </w:rPr>
        <w:t>Unless otherwise specified in connection with the particular offering of common stock, certain legal matters regarding the offering of the common stock pursuant to this prospectus will be passed upon for us by Brownstein Hyatt Farber Schreck, P.C., Las Vegas, Nevada.</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8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6"/>
          <w:szCs w:val="16"/>
          <w:color w:val="auto"/>
        </w:rPr>
        <w:t>The consolidated financial statements of Wynn Resorts, Limited appearing in Wynn Resorts, Limited’s Annual Report on Form 10-K for the year ended December 31, 2006 (including financial statement schedules appearing therein) and Wynn Resorts, Limited’s management’s assessment of the effectiveness of internal control over financial reporting as of December 31, 2006 included therein, have been audited by Ernst</w:t>
      </w:r>
    </w:p>
    <w:p>
      <w:pPr>
        <w:spacing w:after="0" w:line="1" w:lineRule="exact"/>
        <w:rPr>
          <w:sz w:val="20"/>
          <w:szCs w:val="20"/>
          <w:color w:val="auto"/>
        </w:rPr>
      </w:pPr>
    </w:p>
    <w:p>
      <w:pPr>
        <w:jc w:val="both"/>
        <w:ind w:right="420" w:firstLine="8"/>
        <w:spacing w:after="0" w:line="238" w:lineRule="auto"/>
        <w:tabs>
          <w:tab w:leader="none" w:pos="1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Young LLP, independent registered public accounting firm, as set forth in their reports thereon, included therein, and incorporated herein by reference. Such consolidated financial statements and management’s assessment are incorporated herein by reference in reliance upon such reports given on the authority of such firm as experts in accounting and auditing.</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consolidated financial statements, and related financial statement schedules, of Wynn Resorts, Limited as of the year ended</w:t>
      </w:r>
    </w:p>
    <w:p>
      <w:pPr>
        <w:spacing w:after="0"/>
        <w:rPr>
          <w:sz w:val="20"/>
          <w:szCs w:val="20"/>
          <w:color w:val="auto"/>
        </w:rPr>
      </w:pPr>
      <w:r>
        <w:rPr>
          <w:rFonts w:ascii="Arial" w:cs="Arial" w:eastAsia="Arial" w:hAnsi="Arial"/>
          <w:sz w:val="16"/>
          <w:szCs w:val="16"/>
          <w:color w:val="auto"/>
        </w:rPr>
        <w:t>December 31, 2005 and for each of the two years in the period ended December 31, 2005, incorporated in this prospectus by reference from Wynn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Resorts’ Annual Report on Form 10-K for the year ended December 31, 2006, have been audited by Deloitte &amp; Touche LLP, an independent</w:t>
      </w:r>
    </w:p>
    <w:p>
      <w:pPr>
        <w:spacing w:after="0"/>
        <w:rPr>
          <w:sz w:val="20"/>
          <w:szCs w:val="20"/>
          <w:color w:val="auto"/>
        </w:rPr>
      </w:pPr>
      <w:r>
        <w:rPr>
          <w:rFonts w:ascii="Arial" w:cs="Arial" w:eastAsia="Arial" w:hAnsi="Arial"/>
          <w:sz w:val="16"/>
          <w:szCs w:val="16"/>
          <w:color w:val="auto"/>
        </w:rPr>
        <w:t>registered public accounting firm, as stated in their report, which is incorporated herein by reference and has been so incorporated in reliance upon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report of such firm given upon their authority as experts in accounting and auditing.</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and the accompanying prospectus. We have not authorized anyone to provide you with different information. We are offering to sell, and seeking offers to buy, shares of common stock only in jurisdictions where offers and sales are permitted. The information contained in this prospectus supplement and the accompanying prospectus is accurate only as of the date of this prospectus supplement, regardless of the time of delivery of this prospectus supplement or the accompanying prospectus or of any sale of our common stock.</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420" w:type="dxa"/>
            <w:vAlign w:val="bottom"/>
            <w:gridSpan w:val="2"/>
          </w:tcPr>
          <w:p>
            <w:pPr>
              <w:jc w:val="right"/>
              <w:ind w:right="4674"/>
              <w:spacing w:after="0"/>
              <w:rPr>
                <w:sz w:val="20"/>
                <w:szCs w:val="20"/>
                <w:color w:val="auto"/>
              </w:rPr>
            </w:pPr>
            <w:r>
              <w:rPr>
                <w:rFonts w:ascii="Arial" w:cs="Arial" w:eastAsia="Arial" w:hAnsi="Arial"/>
                <w:sz w:val="18"/>
                <w:szCs w:val="18"/>
                <w:b w:val="1"/>
                <w:bCs w:val="1"/>
                <w:color w:val="auto"/>
              </w:rPr>
              <w:t>TABLE OF CONTENTS</w:t>
            </w:r>
          </w:p>
        </w:tc>
      </w:tr>
      <w:tr>
        <w:trPr>
          <w:trHeight w:val="365"/>
        </w:trPr>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20" w:type="dxa"/>
            <w:vAlign w:val="bottom"/>
            <w:gridSpan w:val="2"/>
          </w:tcPr>
          <w:p>
            <w:pPr>
              <w:jc w:val="right"/>
              <w:ind w:right="4614"/>
              <w:spacing w:after="0"/>
              <w:rPr>
                <w:sz w:val="20"/>
                <w:szCs w:val="20"/>
                <w:color w:val="auto"/>
              </w:rPr>
            </w:pPr>
            <w:r>
              <w:rPr>
                <w:rFonts w:ascii="Arial" w:cs="Arial" w:eastAsia="Arial" w:hAnsi="Arial"/>
                <w:sz w:val="18"/>
                <w:szCs w:val="18"/>
                <w:b w:val="1"/>
                <w:bCs w:val="1"/>
                <w:color w:val="auto"/>
              </w:rPr>
              <w:t>Prospectus Supplement</w:t>
            </w:r>
          </w:p>
        </w:tc>
      </w:tr>
      <w:tr>
        <w:trPr>
          <w:trHeight w:val="340"/>
        </w:trPr>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0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Page</w:t>
            </w:r>
          </w:p>
        </w:tc>
      </w:tr>
      <w:tr>
        <w:trPr>
          <w:trHeight w:val="176"/>
        </w:trPr>
        <w:tc>
          <w:tcPr>
            <w:tcW w:w="2760" w:type="dxa"/>
            <w:vAlign w:val="bottom"/>
            <w:tcBorders>
              <w:bottom w:val="single" w:sz="8" w:color="0000EE"/>
            </w:tcBorders>
            <w:gridSpan w:val="6"/>
            <w:shd w:val="clear" w:color="auto" w:fill="CCEEFF"/>
          </w:tcPr>
          <w:p>
            <w:pPr>
              <w:spacing w:after="0" w:line="170" w:lineRule="exact"/>
              <w:rPr>
                <w:rFonts w:ascii="Arial" w:cs="Arial" w:eastAsia="Arial" w:hAnsi="Arial"/>
                <w:sz w:val="18"/>
                <w:szCs w:val="18"/>
                <w:color w:val="0000EE"/>
                <w:w w:val="97"/>
              </w:rPr>
            </w:pPr>
            <w:hyperlink w:anchor="page3">
              <w:r>
                <w:rPr>
                  <w:rFonts w:ascii="Arial" w:cs="Arial" w:eastAsia="Arial" w:hAnsi="Arial"/>
                  <w:sz w:val="18"/>
                  <w:szCs w:val="18"/>
                  <w:color w:val="0000EE"/>
                  <w:w w:val="97"/>
                </w:rPr>
                <w:t>About This Prospectus Supplement</w:t>
              </w:r>
            </w:hyperlink>
          </w:p>
        </w:tc>
        <w:tc>
          <w:tcPr>
            <w:tcW w:w="1240" w:type="dxa"/>
            <w:vAlign w:val="bottom"/>
            <w:tcBorders>
              <w:bottom w:val="single" w:sz="8" w:color="CCEEFF"/>
            </w:tcBorders>
            <w:shd w:val="clear" w:color="auto" w:fill="CCEEFF"/>
          </w:tcPr>
          <w:p>
            <w:pPr>
              <w:spacing w:after="0"/>
              <w:rPr>
                <w:sz w:val="15"/>
                <w:szCs w:val="15"/>
                <w:color w:val="auto"/>
              </w:rPr>
            </w:pPr>
          </w:p>
        </w:tc>
        <w:tc>
          <w:tcPr>
            <w:tcW w:w="63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S-1</w:t>
            </w:r>
          </w:p>
        </w:tc>
      </w:tr>
      <w:tr>
        <w:trPr>
          <w:trHeight w:val="183"/>
        </w:trPr>
        <w:tc>
          <w:tcPr>
            <w:tcW w:w="1740" w:type="dxa"/>
            <w:vAlign w:val="bottom"/>
            <w:tcBorders>
              <w:bottom w:val="single" w:sz="8" w:color="0000EE"/>
            </w:tcBorders>
            <w:gridSpan w:val="4"/>
          </w:tcPr>
          <w:p>
            <w:pPr>
              <w:spacing w:after="0" w:line="176"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Recent Developments</w:t>
              </w:r>
            </w:hyperlink>
          </w:p>
        </w:tc>
        <w:tc>
          <w:tcPr>
            <w:tcW w:w="2260" w:type="dxa"/>
            <w:vAlign w:val="bottom"/>
            <w:gridSpan w:val="3"/>
          </w:tcPr>
          <w:p>
            <w:pPr>
              <w:spacing w:after="0"/>
              <w:rPr>
                <w:sz w:val="15"/>
                <w:szCs w:val="15"/>
                <w:color w:val="auto"/>
              </w:rPr>
            </w:pPr>
          </w:p>
        </w:tc>
        <w:tc>
          <w:tcPr>
            <w:tcW w:w="638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S-2</w:t>
            </w:r>
          </w:p>
        </w:tc>
      </w:tr>
      <w:tr>
        <w:trPr>
          <w:trHeight w:val="176"/>
        </w:trPr>
        <w:tc>
          <w:tcPr>
            <w:tcW w:w="4000" w:type="dxa"/>
            <w:vAlign w:val="bottom"/>
            <w:gridSpan w:val="7"/>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Risk Factors</w:t>
              </w:r>
            </w:hyperlink>
          </w:p>
        </w:tc>
        <w:tc>
          <w:tcPr>
            <w:tcW w:w="63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S-3</w:t>
            </w:r>
          </w:p>
        </w:tc>
      </w:tr>
      <w:tr>
        <w:trPr>
          <w:trHeight w:val="27"/>
        </w:trPr>
        <w:tc>
          <w:tcPr>
            <w:tcW w:w="1000" w:type="dxa"/>
            <w:vAlign w:val="bottom"/>
            <w:tcBorders>
              <w:right w:val="single" w:sz="8" w:color="CCEEFF"/>
            </w:tcBorders>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63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r>
        <w:trPr>
          <w:trHeight w:val="176"/>
        </w:trPr>
        <w:tc>
          <w:tcPr>
            <w:tcW w:w="4000" w:type="dxa"/>
            <w:vAlign w:val="bottom"/>
            <w:gridSpan w:val="7"/>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638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S-6</w:t>
            </w:r>
          </w:p>
        </w:tc>
      </w:tr>
      <w:tr>
        <w:trPr>
          <w:trHeight w:val="27"/>
        </w:trPr>
        <w:tc>
          <w:tcPr>
            <w:tcW w:w="100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3"/>
        </w:trPr>
        <w:tc>
          <w:tcPr>
            <w:tcW w:w="400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7"/>
              </w:rPr>
            </w:pPr>
            <w:hyperlink w:anchor="page9">
              <w:r>
                <w:rPr>
                  <w:rFonts w:ascii="Arial" w:cs="Arial" w:eastAsia="Arial" w:hAnsi="Arial"/>
                  <w:sz w:val="18"/>
                  <w:szCs w:val="18"/>
                  <w:color w:val="0000EE"/>
                  <w:w w:val="97"/>
                </w:rPr>
                <w:t>Price Range of Common Stock and Dividend Policy</w:t>
              </w:r>
            </w:hyperlink>
          </w:p>
        </w:tc>
        <w:tc>
          <w:tcPr>
            <w:tcW w:w="63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S-7</w:t>
            </w:r>
          </w:p>
        </w:tc>
      </w:tr>
      <w:tr>
        <w:trPr>
          <w:trHeight w:val="183"/>
        </w:trPr>
        <w:tc>
          <w:tcPr>
            <w:tcW w:w="1000" w:type="dxa"/>
            <w:vAlign w:val="bottom"/>
            <w:tcBorders>
              <w:bottom w:val="single" w:sz="8" w:color="0000EE"/>
            </w:tcBorders>
          </w:tcPr>
          <w:p>
            <w:pPr>
              <w:spacing w:after="0" w:line="176" w:lineRule="exact"/>
              <w:rPr>
                <w:rFonts w:ascii="Arial" w:cs="Arial" w:eastAsia="Arial" w:hAnsi="Arial"/>
                <w:sz w:val="18"/>
                <w:szCs w:val="18"/>
                <w:color w:val="0000EE"/>
                <w:w w:val="94"/>
              </w:rPr>
            </w:pPr>
            <w:hyperlink w:anchor="page11">
              <w:r>
                <w:rPr>
                  <w:rFonts w:ascii="Arial" w:cs="Arial" w:eastAsia="Arial" w:hAnsi="Arial"/>
                  <w:sz w:val="18"/>
                  <w:szCs w:val="18"/>
                  <w:color w:val="0000EE"/>
                  <w:w w:val="94"/>
                </w:rPr>
                <w:t>Underwriting</w:t>
              </w:r>
            </w:hyperlink>
          </w:p>
        </w:tc>
        <w:tc>
          <w:tcPr>
            <w:tcW w:w="3000" w:type="dxa"/>
            <w:vAlign w:val="bottom"/>
            <w:gridSpan w:val="6"/>
          </w:tcPr>
          <w:p>
            <w:pPr>
              <w:spacing w:after="0"/>
              <w:rPr>
                <w:sz w:val="15"/>
                <w:szCs w:val="15"/>
                <w:color w:val="auto"/>
              </w:rPr>
            </w:pPr>
          </w:p>
        </w:tc>
        <w:tc>
          <w:tcPr>
            <w:tcW w:w="638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S-9</w:t>
            </w:r>
          </w:p>
        </w:tc>
      </w:tr>
      <w:tr>
        <w:trPr>
          <w:trHeight w:val="183"/>
        </w:trPr>
        <w:tc>
          <w:tcPr>
            <w:tcW w:w="10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7"/>
              </w:rPr>
            </w:pPr>
            <w:hyperlink w:anchor="page13">
              <w:r>
                <w:rPr>
                  <w:rFonts w:ascii="Arial" w:cs="Arial" w:eastAsia="Arial" w:hAnsi="Arial"/>
                  <w:sz w:val="18"/>
                  <w:szCs w:val="18"/>
                  <w:color w:val="0000EE"/>
                  <w:w w:val="97"/>
                </w:rPr>
                <w:t>Legal Matters</w:t>
              </w:r>
            </w:hyperlink>
          </w:p>
        </w:tc>
        <w:tc>
          <w:tcPr>
            <w:tcW w:w="2920" w:type="dxa"/>
            <w:vAlign w:val="bottom"/>
            <w:tcBorders>
              <w:bottom w:val="single" w:sz="8" w:color="CCEEFF"/>
            </w:tcBorders>
            <w:gridSpan w:val="5"/>
            <w:shd w:val="clear" w:color="auto" w:fill="CCEEFF"/>
          </w:tcPr>
          <w:p>
            <w:pPr>
              <w:spacing w:after="0"/>
              <w:rPr>
                <w:sz w:val="15"/>
                <w:szCs w:val="15"/>
                <w:color w:val="auto"/>
              </w:rPr>
            </w:pPr>
          </w:p>
        </w:tc>
        <w:tc>
          <w:tcPr>
            <w:tcW w:w="63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S-11</w:t>
            </w:r>
          </w:p>
        </w:tc>
      </w:tr>
      <w:tr>
        <w:trPr>
          <w:trHeight w:val="176"/>
        </w:trPr>
        <w:tc>
          <w:tcPr>
            <w:tcW w:w="4000" w:type="dxa"/>
            <w:vAlign w:val="bottom"/>
            <w:gridSpan w:val="7"/>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Incorporation by Reference</w:t>
              </w:r>
            </w:hyperlink>
          </w:p>
        </w:tc>
        <w:tc>
          <w:tcPr>
            <w:tcW w:w="638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S-11</w:t>
            </w:r>
          </w:p>
        </w:tc>
      </w:tr>
      <w:tr>
        <w:trPr>
          <w:trHeight w:val="20"/>
        </w:trPr>
        <w:tc>
          <w:tcPr>
            <w:tcW w:w="10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900" w:type="dxa"/>
            <w:vAlign w:val="bottom"/>
            <w:gridSpan w:val="2"/>
          </w:tcPr>
          <w:p>
            <w:pPr>
              <w:jc w:val="right"/>
              <w:ind w:right="5152"/>
              <w:spacing w:after="0"/>
              <w:rPr>
                <w:sz w:val="20"/>
                <w:szCs w:val="20"/>
                <w:color w:val="auto"/>
              </w:rPr>
            </w:pPr>
            <w:r>
              <w:rPr>
                <w:rFonts w:ascii="Arial" w:cs="Arial" w:eastAsia="Arial" w:hAnsi="Arial"/>
                <w:sz w:val="18"/>
                <w:szCs w:val="18"/>
                <w:b w:val="1"/>
                <w:bCs w:val="1"/>
                <w:color w:val="auto"/>
              </w:rPr>
              <w:t>Prospectus</w:t>
            </w:r>
          </w:p>
        </w:tc>
      </w:tr>
      <w:tr>
        <w:trPr>
          <w:trHeight w:val="340"/>
        </w:trPr>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176"/>
        </w:trPr>
        <w:tc>
          <w:tcPr>
            <w:tcW w:w="2320" w:type="dxa"/>
            <w:vAlign w:val="bottom"/>
            <w:tcBorders>
              <w:bottom w:val="single" w:sz="8" w:color="0000EE"/>
            </w:tcBorders>
            <w:gridSpan w:val="6"/>
            <w:shd w:val="clear" w:color="auto" w:fill="CCEEFF"/>
          </w:tcPr>
          <w:p>
            <w:pPr>
              <w:spacing w:after="0" w:line="170" w:lineRule="exact"/>
              <w:rPr>
                <w:rFonts w:ascii="Arial" w:cs="Arial" w:eastAsia="Arial" w:hAnsi="Arial"/>
                <w:sz w:val="18"/>
                <w:szCs w:val="18"/>
                <w:color w:val="0000EE"/>
                <w:w w:val="97"/>
              </w:rPr>
            </w:pPr>
            <w:hyperlink w:anchor="page16">
              <w:r>
                <w:rPr>
                  <w:rFonts w:ascii="Arial" w:cs="Arial" w:eastAsia="Arial" w:hAnsi="Arial"/>
                  <w:sz w:val="18"/>
                  <w:szCs w:val="18"/>
                  <w:color w:val="0000EE"/>
                  <w:w w:val="97"/>
                </w:rPr>
                <w:t>ABOUT THIS PROSPECTUS</w:t>
              </w:r>
            </w:hyperlink>
          </w:p>
        </w:tc>
        <w:tc>
          <w:tcPr>
            <w:tcW w:w="2200" w:type="dxa"/>
            <w:vAlign w:val="bottom"/>
            <w:tcBorders>
              <w:bottom w:val="single" w:sz="8" w:color="CCEEFF"/>
            </w:tcBorders>
            <w:gridSpan w:val="4"/>
            <w:shd w:val="clear" w:color="auto" w:fill="CCEEFF"/>
          </w:tcPr>
          <w:p>
            <w:pPr>
              <w:spacing w:after="0"/>
              <w:rPr>
                <w:sz w:val="15"/>
                <w:szCs w:val="15"/>
                <w:color w:val="auto"/>
              </w:rPr>
            </w:pPr>
          </w:p>
        </w:tc>
        <w:tc>
          <w:tcPr>
            <w:tcW w:w="6900" w:type="dxa"/>
            <w:vAlign w:val="bottom"/>
            <w:tcBorders>
              <w:bottom w:val="single" w:sz="8" w:color="CCEEFF"/>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1</w:t>
            </w:r>
          </w:p>
        </w:tc>
      </w:tr>
      <w:tr>
        <w:trPr>
          <w:trHeight w:val="183"/>
        </w:trPr>
        <w:tc>
          <w:tcPr>
            <w:tcW w:w="1300" w:type="dxa"/>
            <w:vAlign w:val="bottom"/>
            <w:tcBorders>
              <w:bottom w:val="single" w:sz="8" w:color="0000EE"/>
            </w:tcBorders>
            <w:gridSpan w:val="3"/>
          </w:tcPr>
          <w:p>
            <w:pPr>
              <w:spacing w:after="0" w:line="176" w:lineRule="exact"/>
              <w:rPr>
                <w:rFonts w:ascii="Arial" w:cs="Arial" w:eastAsia="Arial" w:hAnsi="Arial"/>
                <w:sz w:val="18"/>
                <w:szCs w:val="18"/>
                <w:color w:val="0000EE"/>
                <w:w w:val="96"/>
              </w:rPr>
            </w:pPr>
            <w:hyperlink w:anchor="page15">
              <w:r>
                <w:rPr>
                  <w:rFonts w:ascii="Arial" w:cs="Arial" w:eastAsia="Arial" w:hAnsi="Arial"/>
                  <w:sz w:val="18"/>
                  <w:szCs w:val="18"/>
                  <w:color w:val="0000EE"/>
                  <w:w w:val="96"/>
                </w:rPr>
                <w:t>RISK FACTORS</w:t>
              </w:r>
            </w:hyperlink>
          </w:p>
        </w:tc>
        <w:tc>
          <w:tcPr>
            <w:tcW w:w="3220" w:type="dxa"/>
            <w:vAlign w:val="bottom"/>
            <w:gridSpan w:val="7"/>
          </w:tcPr>
          <w:p>
            <w:pPr>
              <w:spacing w:after="0"/>
              <w:rPr>
                <w:sz w:val="15"/>
                <w:szCs w:val="15"/>
                <w:color w:val="auto"/>
              </w:rPr>
            </w:pPr>
          </w:p>
        </w:tc>
        <w:tc>
          <w:tcPr>
            <w:tcW w:w="69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w:t>
            </w:r>
          </w:p>
        </w:tc>
      </w:tr>
      <w:tr>
        <w:trPr>
          <w:trHeight w:val="183"/>
        </w:trPr>
        <w:tc>
          <w:tcPr>
            <w:tcW w:w="4520" w:type="dxa"/>
            <w:vAlign w:val="bottom"/>
            <w:gridSpan w:val="10"/>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WHERE YOU CAN FIND MORE INFORMATION</w:t>
              </w:r>
            </w:hyperlink>
          </w:p>
        </w:tc>
        <w:tc>
          <w:tcPr>
            <w:tcW w:w="69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r>
      <w:tr>
        <w:trPr>
          <w:trHeight w:val="183"/>
        </w:trPr>
        <w:tc>
          <w:tcPr>
            <w:tcW w:w="2900" w:type="dxa"/>
            <w:vAlign w:val="bottom"/>
            <w:tcBorders>
              <w:top w:val="single" w:sz="8" w:color="0000EE"/>
              <w:bottom w:val="single" w:sz="8" w:color="0000EE"/>
            </w:tcBorders>
            <w:gridSpan w:val="7"/>
          </w:tcPr>
          <w:p>
            <w:pPr>
              <w:spacing w:after="0" w:line="176" w:lineRule="exact"/>
              <w:rPr>
                <w:rFonts w:ascii="Arial" w:cs="Arial" w:eastAsia="Arial" w:hAnsi="Arial"/>
                <w:sz w:val="18"/>
                <w:szCs w:val="18"/>
                <w:color w:val="0000EE"/>
                <w:w w:val="96"/>
              </w:rPr>
            </w:pPr>
            <w:hyperlink w:anchor="page17">
              <w:r>
                <w:rPr>
                  <w:rFonts w:ascii="Arial" w:cs="Arial" w:eastAsia="Arial" w:hAnsi="Arial"/>
                  <w:sz w:val="18"/>
                  <w:szCs w:val="18"/>
                  <w:color w:val="0000EE"/>
                  <w:w w:val="96"/>
                </w:rPr>
                <w:t>INCORPORATION BY REFERENCE</w:t>
              </w:r>
            </w:hyperlink>
          </w:p>
        </w:tc>
        <w:tc>
          <w:tcPr>
            <w:tcW w:w="900" w:type="dxa"/>
            <w:vAlign w:val="bottom"/>
            <w:tcBorders>
              <w:top w:val="single" w:sz="8" w:color="0000EE"/>
            </w:tcBorders>
            <w:gridSpan w:val="2"/>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690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2</w:t>
            </w:r>
          </w:p>
        </w:tc>
      </w:tr>
      <w:tr>
        <w:trPr>
          <w:trHeight w:val="183"/>
        </w:trPr>
        <w:tc>
          <w:tcPr>
            <w:tcW w:w="4520" w:type="dxa"/>
            <w:vAlign w:val="bottom"/>
            <w:gridSpan w:val="10"/>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FORWARD-LOOKING STATEMENTS</w:t>
              </w:r>
            </w:hyperlink>
          </w:p>
        </w:tc>
        <w:tc>
          <w:tcPr>
            <w:tcW w:w="69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r>
      <w:tr>
        <w:trPr>
          <w:trHeight w:val="176"/>
        </w:trPr>
        <w:tc>
          <w:tcPr>
            <w:tcW w:w="2960" w:type="dxa"/>
            <w:vAlign w:val="bottom"/>
            <w:tcBorders>
              <w:top w:val="single" w:sz="8" w:color="0000EE"/>
            </w:tcBorders>
            <w:gridSpan w:val="8"/>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THE COMPANY</w:t>
              </w:r>
            </w:hyperlink>
          </w:p>
        </w:tc>
        <w:tc>
          <w:tcPr>
            <w:tcW w:w="1560" w:type="dxa"/>
            <w:vAlign w:val="bottom"/>
            <w:tcBorders>
              <w:top w:val="single" w:sz="8" w:color="CCEEFF"/>
            </w:tcBorders>
            <w:gridSpan w:val="2"/>
          </w:tcPr>
          <w:p>
            <w:pPr>
              <w:spacing w:after="0"/>
              <w:rPr>
                <w:sz w:val="15"/>
                <w:szCs w:val="15"/>
                <w:color w:val="auto"/>
              </w:rPr>
            </w:pPr>
          </w:p>
        </w:tc>
        <w:tc>
          <w:tcPr>
            <w:tcW w:w="690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6</w:t>
            </w:r>
          </w:p>
        </w:tc>
      </w:tr>
      <w:tr>
        <w:trPr>
          <w:trHeight w:val="27"/>
        </w:trPr>
        <w:tc>
          <w:tcPr>
            <w:tcW w:w="8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183"/>
        </w:trPr>
        <w:tc>
          <w:tcPr>
            <w:tcW w:w="17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7"/>
              </w:rPr>
            </w:pPr>
            <w:hyperlink w:anchor="page23">
              <w:r>
                <w:rPr>
                  <w:rFonts w:ascii="Arial" w:cs="Arial" w:eastAsia="Arial" w:hAnsi="Arial"/>
                  <w:sz w:val="18"/>
                  <w:szCs w:val="18"/>
                  <w:color w:val="0000EE"/>
                  <w:w w:val="97"/>
                </w:rPr>
                <w:t>USE OF PROCEEDS</w:t>
              </w:r>
            </w:hyperlink>
          </w:p>
        </w:tc>
        <w:tc>
          <w:tcPr>
            <w:tcW w:w="2820" w:type="dxa"/>
            <w:vAlign w:val="bottom"/>
            <w:tcBorders>
              <w:bottom w:val="single" w:sz="8" w:color="CCEEFF"/>
            </w:tcBorders>
            <w:gridSpan w:val="5"/>
            <w:shd w:val="clear" w:color="auto" w:fill="CCEEFF"/>
          </w:tcPr>
          <w:p>
            <w:pPr>
              <w:spacing w:after="0"/>
              <w:rPr>
                <w:sz w:val="15"/>
                <w:szCs w:val="15"/>
                <w:color w:val="auto"/>
              </w:rPr>
            </w:pPr>
          </w:p>
        </w:tc>
        <w:tc>
          <w:tcPr>
            <w:tcW w:w="69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r>
      <w:tr>
        <w:trPr>
          <w:trHeight w:val="183"/>
        </w:trPr>
        <w:tc>
          <w:tcPr>
            <w:tcW w:w="4520" w:type="dxa"/>
            <w:vAlign w:val="bottom"/>
            <w:gridSpan w:val="10"/>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LEGAL MATTERS</w:t>
              </w:r>
            </w:hyperlink>
          </w:p>
        </w:tc>
        <w:tc>
          <w:tcPr>
            <w:tcW w:w="69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8</w:t>
            </w:r>
          </w:p>
        </w:tc>
      </w:tr>
      <w:tr>
        <w:trPr>
          <w:trHeight w:val="176"/>
        </w:trPr>
        <w:tc>
          <w:tcPr>
            <w:tcW w:w="1440" w:type="dxa"/>
            <w:vAlign w:val="bottom"/>
            <w:tcBorders>
              <w:top w:val="single" w:sz="8" w:color="0000EE"/>
            </w:tcBorders>
            <w:gridSpan w:val="4"/>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EXPERTS</w:t>
              </w:r>
            </w:hyperlink>
          </w:p>
        </w:tc>
        <w:tc>
          <w:tcPr>
            <w:tcW w:w="3080" w:type="dxa"/>
            <w:vAlign w:val="bottom"/>
            <w:gridSpan w:val="6"/>
            <w:shd w:val="clear" w:color="auto" w:fill="CCEEFF"/>
          </w:tcPr>
          <w:p>
            <w:pPr>
              <w:spacing w:after="0"/>
              <w:rPr>
                <w:sz w:val="15"/>
                <w:szCs w:val="15"/>
                <w:color w:val="auto"/>
              </w:rPr>
            </w:pPr>
          </w:p>
        </w:tc>
        <w:tc>
          <w:tcPr>
            <w:tcW w:w="69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r>
      <w:tr>
        <w:trPr>
          <w:trHeight w:val="27"/>
        </w:trPr>
        <w:tc>
          <w:tcPr>
            <w:tcW w:w="820" w:type="dxa"/>
            <w:vAlign w:val="bottom"/>
            <w:shd w:val="clear" w:color="auto" w:fill="0000EE"/>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6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660400</wp:posOffset>
            </wp:positionV>
            <wp:extent cx="2992755" cy="128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92755"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8,000,000 Shares</w:t>
      </w:r>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Deutsche Bank Securities</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Banc of America Securities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September 27, 2007)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13, 2008</w:t>
      </w:r>
    </w:p>
    <w:sectPr>
      <w:pgSz w:w="11900" w:h="16838" w:orient="portrait"/>
      <w:cols w:equalWidth="0" w:num="1">
        <w:col w:w="11420"/>
      </w:cols>
      <w:pgMar w:left="240" w:top="459" w:right="23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2019-12-11T15:59:40Z</dcterms:created>
  <dcterms:modified xsi:type="dcterms:W3CDTF">2019-12-11T15:59:40Z</dcterms:modified>
</cp:coreProperties>
</file>