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12,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jc w:val="both"/>
        <w:ind w:firstLine="434"/>
        <w:spacing w:after="0" w:line="250" w:lineRule="auto"/>
        <w:rPr>
          <w:sz w:val="20"/>
          <w:szCs w:val="20"/>
          <w:color w:val="auto"/>
        </w:rPr>
      </w:pPr>
      <w:r>
        <w:rPr>
          <w:rFonts w:ascii="Times New Roman" w:cs="Times New Roman" w:eastAsia="Times New Roman" w:hAnsi="Times New Roman"/>
          <w:sz w:val="18"/>
          <w:szCs w:val="18"/>
          <w:color w:val="auto"/>
        </w:rPr>
        <w:t>On February 12, 2026, Wynn Resorts, Limited (the "Company) issued a press release announcing its results of operations for the fourth quarter and year ended December 31, 2025.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117"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146"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3"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February 12, 2026, the Company announced that its Board of Directors declared a quarterly cash dividend of $0.25 per share, payable on March 4, 2026 to stockholders of record as of February 23, 2026.</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2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Press release, dated February 12, 2026, of Wynn Resorts, Limited.</w:t>
            </w:r>
          </w:p>
        </w:tc>
      </w:tr>
      <w:tr>
        <w:trPr>
          <w:trHeight w:val="20"/>
        </w:trPr>
        <w:tc>
          <w:tcPr>
            <w:tcW w:w="7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40" w:type="dxa"/>
            <w:vAlign w:val="bottom"/>
            <w:gridSpan w:val="2"/>
            <w:shd w:val="clear" w:color="auto" w:fill="0000FF"/>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80" w:val="left"/>
          <w:tab w:leader="none" w:pos="7620" w:val="left"/>
        </w:tabs>
        <w:rPr>
          <w:sz w:val="20"/>
          <w:szCs w:val="20"/>
          <w:color w:val="auto"/>
        </w:rPr>
      </w:pPr>
      <w:r>
        <w:rPr>
          <w:rFonts w:ascii="Times New Roman" w:cs="Times New Roman" w:eastAsia="Times New Roman" w:hAnsi="Times New Roman"/>
          <w:sz w:val="18"/>
          <w:szCs w:val="18"/>
          <w:color w:val="auto"/>
        </w:rPr>
        <w:t>Dated: February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4766310</wp:posOffset>
            </wp:positionH>
            <wp:positionV relativeFrom="paragraph">
              <wp:posOffset>13970</wp:posOffset>
            </wp:positionV>
            <wp:extent cx="24345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Fourth Quarter and Year End 2025 Results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LAS VEGAS, February 12, 2026 — Wynn Resorts, Limited (NASDAQ: WYNN) ("Wynn Resorts" or the "Company") today reported financial results for the fourth quarter ended December 31, 2025.</w:t>
      </w:r>
    </w:p>
    <w:p>
      <w:pPr>
        <w:spacing w:after="0" w:line="19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Operating revenues were $1.87 billion for the fourth quarter of 2025, an increase of $27.2 million from $1.84 billion for the fourth quarter of 2024. Net income attributable to Wynn Resorts, Limited was $100.0 million for the fourth quarter of 2025, compared to net income attributable to Wynn Resorts, Limited of $277.0 million for the fourth quarter of 2024. Diluted net income per share was $0.82 for the fourth quarter of 2025, compared to diluted net income per share of $2.29 for the fourth quarter of 2024. Adjusted Property EBITDAR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was $568.8 million for the fourth quarter of 2025, compared to Adjusted Property EBITDAR of $619.1 million for the fourth quarter of 2024.</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fourth quarter results reflect continued strength throughout the business and ongoing progress in our global development initiatives,” said Craig Billings, CEO of Wynn Resorts, Limited. “The team in Las Vegas delivered another quarter of healthy EBITDA highlighted by year-on-year improvement in ADRs and strong volumes in the casino. In Macau, we saw substantial increases in both VIP turnover and mass table drop, year-on-year as well as sequentially. We also reached a significant milestone towards the completion and planned first quarter 2027 opening of Wynn Al Marjan Island, having topped out the tower in the quarter.”</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revenues were $1.87 billion for the fourth quarter of 2025, an increase of $27.2 million from $1.84 billion for the fourth quarter of 2024. For the fourth quarter of 2025, operating revenues increased $33.4 million and $7.7 million at Wynn Palace and Wynn Macau, respectively, and decreased $11.4 million and $2.5 million at our Las Vegas Operations and Encore Boston Harbor, respectively, from the fourth quarter of 2024.</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Net income attributable to Wynn Resorts, Limited was $100.0 million for the fourth quarter of 2025, compared to net income attributable to Wynn Resorts, Limited of $277.0 million for the fourth quarter of 2024. Diluted net income per share was $0.82 for the fourth quarter of 2025, compared to diluted net income per share of $2.29 for the fourth quarter of 2024. Adjusted net income attributable to Wynn Resorts, Limited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$121.9 million, or $1.17 per diluted share, for the fourth quarter of 2025, compared to adjusted net income attributable to Wynn Resorts, Limited of $263.3 million, or $2.42 per diluted share, for the fourth quarter of 2024.</w:t>
      </w:r>
    </w:p>
    <w:p>
      <w:pPr>
        <w:spacing w:after="0" w:line="22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Adjusted Property EBITDAR was $568.8 million for the fourth quarter of 2025, a decrease of $50.3 million compared to Adjusted Property EBITDAR of $619.1 million for the fourth quarter of 2024. For the fourth quarter of 2025, Adjusted Property EBITDAR decreased $26.6 million, $21.1 million, $1.8 million, and $0.7 million, at our Las Vegas Operations, Wynn Palace, Encore Boston Harbor, and Wynn Macau, respectively, from the fourth quarter of 2024.</w:t>
      </w:r>
    </w:p>
    <w:p>
      <w:pPr>
        <w:spacing w:after="0" w:line="17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Operating revenues were $7.14 billion for the year ended December 31, 2025, an increase of $10.0 million from $7.13 billion for the year ended December 31, 2024. For the year ended December 31, 2025, operating revenues increased $89.7 million and $1.1 million at Wynn Palace and our Las Vegas Operations, respectively, and decreased $54.0 million and $10.3 million at Wynn Macau and Encore Boston Harbor, respectively, from the year ended December 31, 2024.</w:t>
      </w:r>
    </w:p>
    <w:p>
      <w:pPr>
        <w:spacing w:after="0" w:line="17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Net income attributable to Wynn Resorts, Limited was $327.3 million for the year ended December 31, 2025, compared to net income attributable to Wynn Resorts, Limited of $501.1 million for the year ended December 31, 2024. Diluted net income per share was $3.14 for the year ended December 31, 2025, compared to diluted net income per share of $4.35 for the year ended December 31, 2024. Adjusted net income attributable to Wynn Resorts, Limited was $437.0 million, or $4.19 per diluted share, for the year ended December 31, 2025, compared to adjusted net income attributable to Wynn Resorts, Limited of $663.5 million, or $6.02 per diluted share, for the year ended December 31, 2024.</w:t>
      </w:r>
    </w:p>
    <w:p>
      <w:pPr>
        <w:spacing w:after="0" w:line="21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Property EBITDAR was $2.22 billion for the year ended December 31, 2025, a decrease of $140.8 million compared to Adjusted Property EBITDAR of $2.36 billion for the year ended December 31, 2024. For the year ended December 31, 2025, Adjusted Property EBITDAR decreased $50.8 million, $39.7 million, $44.4 million, and $10.4 million at Wynn Palace, Wynn Macau, our Las Vegas Operations and Encore Boston Harbor, respectively, from the year ended December 31, 2024.</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Wynn Resorts, Limited also announced today that its Board of Directors has declared a cash dividend of $0.25 per share, payable on March 4, 2026 to stockholders of record as of February 23, 2026.</w:t>
      </w: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9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Palace were $596.4 million for the fourth quarter of 2025, an increase of $33.4 million from $562.9 million for the fourth quarter of 2024. Adjusted Property EBITDAR from Wynn Palace was $163.5 million for the fourth quarter of 2025, compared to $184.6 million for the fourth quarter of 2024. Table games win percentage in mass market operations was 21.8%, below the 26.0% experienced in the fourth quarter of 2024. VIP table games win as a percentage of turnover was 2.84%, below the property's expected range of 3.1% to 3.4% and below the 3.51% experienced in the fourth quarter of 2024.</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Macau were $371.3 million for the fourth quarter of 2025, an increase of $7.7 million from $363.7 million for the fourth quarter of 2024. Adjusted Property EBITDAR from Wynn Macau was $107.4 million for the fourth quarter of 2025, compared to $108.2 million for the fourth quarter of 2024. Table games win percentage in mass market operations was 17.0%, below the 17.9% experienced in the fourth quarter of 2024. VIP table games win as a percentage of turnover was 3.49%, above the property's expected range of 3.1% to 3.4% and below the 5.01% experienced in the fourth quarter of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 Vegas Operations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our Las Vegas Operations were $688.1 million for the fourth quarter of 2025, a decrease of $11.4 million from $699.5 million for the fourth quarter of 2024. Adjusted Property EBITDAR from our Las Vegas Operations for the fourth quarter of 2025 was $240.8 million, compared to $267.4 million for the fourth quarter of 2024. Table games win percentage for the fourth quarter of 2025 was 26.0%, at the top end of the property's expected range of 22% to 26% and below the 30.9% experienced in the fourth quarter of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 Boston Harbor</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Encore Boston Harbor were $210.2 million for the fourth quarter of 2025, a decrease of $2.5 million from $212.7 million for the fourth quarter of 2024. Adjusted Property EBITDAR from Encore Boston Harbor for the fourth quarter of 2025 was $57.0 million, compared to $58.8 million for the fourth quarter of 2024. Table games win percentage for the fourth quarter of 2025 was 18.1%, within the property's expected range of 18% to 22% and below the 20.7% experienced in the fourth quarter of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Al Marjan Island Development</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fourth quarter of 2025, the Company contributed $79.2 million of cash to the 40%-owned joint venture that is constructing the Wynn Al Marjan Island development in the UAE, bringing our life-to-date cash contributions to the project to $914.2 million. Wynn Al Marjan Island is currently expected to open in the first quarter of 2027.</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cash and cash equivalents as of December 31, 2025 totaled $1.46 billion, excluding $601.8 million of short-term investments held by Wynn Macau, Limited ("WML"). Cash and cash equivalents is comprised of $916.1 million held by WML and subsidiaries, $305.6 million held by Wynn Resorts Finance, LLC ("WRF") and subsidiaries excluding WML, and $241.7 million held at Corporate and other. As of December 31, 2025, the available borrowing capacity under the WRF Revolver and the WM Cayman II Revolver was $1.23 billion and $1.36 billion, respectively.</w:t>
      </w:r>
    </w:p>
    <w:p>
      <w:pPr>
        <w:spacing w:after="0" w:line="7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current and long-term debt outstanding at December 31, 2025 was $10.55 billion, comprised of $5.79 billion of Macau related debt, $3.28 billion of WRF debt, $876.6 million of Wynn Las Vegas debt, and $598.4 million of debt held by the retail joint venture which we consolidate.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and Wynn Las Vegas, LLC, on February 12, 2026 at 1:30 p.m. PT (4:30 p.m. ET). Interested parties are invited to join the call by accessing a live audio webcast at http://www.wynnresorts.com. On or before March 31, 2026, the Company will make Wynn Resorts Finance, LLC and Wynn Las Vegas, LLC financial information for the quarter ended December 31, 2025 available to noteholders, prospective investors, broker-dealers and securities analysts. Please contact our investor relations office at 702-770-7555 or at investorrelations@wynnresorts.com, to obtain access to such financial information.</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2024,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8" w:lineRule="exact"/>
        <w:rPr>
          <w:sz w:val="20"/>
          <w:szCs w:val="20"/>
          <w:color w:val="auto"/>
        </w:rPr>
      </w:pPr>
    </w:p>
    <w:p>
      <w:pPr>
        <w:jc w:val="both"/>
        <w:ind w:firstLine="5"/>
        <w:spacing w:after="0" w:line="260" w:lineRule="auto"/>
        <w:tabs>
          <w:tab w:leader="none" w:pos="269"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Property EBITDAR" is net income before interest, income taxes, depreciation and amortization, pre-opening expenses, property charges and other expenses, triple-net operating lease rent expense related to Encore Boston Harbor, management and license fees, corporate expenses and other expenses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390" w:lineRule="exact"/>
        <w:rPr>
          <w:rFonts w:ascii="Times New Roman" w:cs="Times New Roman" w:eastAsia="Times New Roman" w:hAnsi="Times New Roman"/>
          <w:sz w:val="16"/>
          <w:szCs w:val="16"/>
          <w:color w:val="auto"/>
        </w:rPr>
      </w:pPr>
    </w:p>
    <w:p>
      <w:pPr>
        <w:jc w:val="both"/>
        <w:ind w:firstLine="5"/>
        <w:spacing w:after="0" w:line="231"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Wynn Resorts, Limited" is net income attributable to Wynn Resorts, Limited before pre-opening expenses, property charges and other expenses, change in derivatives fair value, loss on debt financing transactions, foreign currency remeasurement and other,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attributable to Wynn Resorts, Limited to adjusted net income attributable to Wynn Resorts, Limited, (ii) operating income to Adjusted Property EBITDAR, and (iii)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106"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3"/>
                <w:szCs w:val="13"/>
                <w:color w:val="auto"/>
              </w:rPr>
            </w:pPr>
          </w:p>
        </w:tc>
        <w:tc>
          <w:tcPr>
            <w:tcW w:w="14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9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1,143,347</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1,112,191</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4,410,328</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4,261,357</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305,096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325,358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1,141,154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1,242,058</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258,178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1,037,850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1,069,117</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143,070</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548,592</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555,429</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1,865,983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1,838,797</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7,137,924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7,127,961</w:t>
            </w:r>
          </w:p>
        </w:tc>
        <w:tc>
          <w:tcPr>
            <w:tcW w:w="0" w:type="dxa"/>
            <w:vAlign w:val="bottom"/>
          </w:tcPr>
          <w:p>
            <w:pPr>
              <w:spacing w:after="0"/>
              <w:rPr>
                <w:sz w:val="1"/>
                <w:szCs w:val="1"/>
                <w:color w:val="auto"/>
              </w:rPr>
            </w:pPr>
          </w:p>
        </w:tc>
      </w:tr>
      <w:tr>
        <w:trPr>
          <w:trHeight w:val="204"/>
        </w:trPr>
        <w:tc>
          <w:tcPr>
            <w:tcW w:w="4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732,789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679,534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2,716,151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2,586,960</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84,368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344,378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330,359</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226,062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212,075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882,229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859,426</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238,160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249,679</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272,303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1,116,952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1,080,475</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658,895</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215,095</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1,591,277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1,471,902</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6,019,540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5,995,230</w:t>
            </w:r>
          </w:p>
        </w:tc>
        <w:tc>
          <w:tcPr>
            <w:tcW w:w="0" w:type="dxa"/>
            <w:vAlign w:val="bottom"/>
          </w:tcPr>
          <w:p>
            <w:pPr>
              <w:spacing w:after="0"/>
              <w:rPr>
                <w:sz w:val="1"/>
                <w:szCs w:val="1"/>
                <w:color w:val="auto"/>
              </w:rPr>
            </w:pPr>
          </w:p>
        </w:tc>
      </w:tr>
      <w:tr>
        <w:trPr>
          <w:trHeight w:val="217"/>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274,706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366,895</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1,118,384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1,132,731</w:t>
            </w:r>
          </w:p>
        </w:tc>
        <w:tc>
          <w:tcPr>
            <w:tcW w:w="0" w:type="dxa"/>
            <w:vAlign w:val="bottom"/>
          </w:tcPr>
          <w:p>
            <w:pPr>
              <w:spacing w:after="0"/>
              <w:rPr>
                <w:sz w:val="1"/>
                <w:szCs w:val="1"/>
                <w:color w:val="auto"/>
              </w:rPr>
            </w:pPr>
          </w:p>
        </w:tc>
      </w:tr>
      <w:tr>
        <w:trPr>
          <w:trHeight w:val="204"/>
        </w:trPr>
        <w:tc>
          <w:tcPr>
            <w:tcW w:w="490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130,342</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(163,488)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(625,556)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(688,410)</w:t>
            </w: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4"/>
        </w:trPr>
        <w:tc>
          <w:tcPr>
            <w:tcW w:w="49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2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0" w:type="dxa"/>
            <w:vAlign w:val="bottom"/>
          </w:tcPr>
          <w:p>
            <w:pPr>
              <w:spacing w:after="0"/>
              <w:rPr>
                <w:sz w:val="1"/>
                <w:szCs w:val="1"/>
                <w:color w:val="auto"/>
              </w:rPr>
            </w:pPr>
          </w:p>
        </w:tc>
      </w:tr>
      <w:tr>
        <w:trPr>
          <w:trHeight w:val="217"/>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(130,105)</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(85,929)</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(604,244)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(489,333)</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144,601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280,966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514,140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643,398</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322,360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409,135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639,716</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2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(45,388)</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(138,638)</w:t>
            </w:r>
          </w:p>
        </w:tc>
        <w:tc>
          <w:tcPr>
            <w:tcW w:w="0" w:type="dxa"/>
            <w:vAlign w:val="bottom"/>
          </w:tcPr>
          <w:p>
            <w:pPr>
              <w:spacing w:after="0"/>
              <w:rPr>
                <w:sz w:val="1"/>
                <w:szCs w:val="1"/>
                <w:color w:val="auto"/>
              </w:rPr>
            </w:pPr>
          </w:p>
        </w:tc>
      </w:tr>
      <w:tr>
        <w:trPr>
          <w:trHeight w:val="217"/>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2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100,028</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276,972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327,334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501,078</w:t>
            </w:r>
          </w:p>
        </w:tc>
        <w:tc>
          <w:tcPr>
            <w:tcW w:w="0" w:type="dxa"/>
            <w:vAlign w:val="bottom"/>
          </w:tcPr>
          <w:p>
            <w:pPr>
              <w:spacing w:after="0"/>
              <w:rPr>
                <w:sz w:val="1"/>
                <w:szCs w:val="1"/>
                <w:color w:val="auto"/>
              </w:rPr>
            </w:pPr>
          </w:p>
        </w:tc>
      </w:tr>
      <w:tr>
        <w:trPr>
          <w:trHeight w:val="20"/>
        </w:trPr>
        <w:tc>
          <w:tcPr>
            <w:tcW w:w="49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90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0" w:type="dxa"/>
            <w:vAlign w:val="bottom"/>
          </w:tcPr>
          <w:p>
            <w:pPr>
              <w:spacing w:after="0"/>
              <w:rPr>
                <w:sz w:val="1"/>
                <w:szCs w:val="1"/>
                <w:color w:val="auto"/>
              </w:rPr>
            </w:pPr>
          </w:p>
        </w:tc>
      </w:tr>
      <w:tr>
        <w:trPr>
          <w:trHeight w:val="224"/>
        </w:trPr>
        <w:tc>
          <w:tcPr>
            <w:tcW w:w="4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9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Basic</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102,930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108,199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103,697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109,966</w:t>
            </w:r>
          </w:p>
        </w:tc>
        <w:tc>
          <w:tcPr>
            <w:tcW w:w="0" w:type="dxa"/>
            <w:vAlign w:val="bottom"/>
          </w:tcPr>
          <w:p>
            <w:pPr>
              <w:spacing w:after="0"/>
              <w:rPr>
                <w:sz w:val="1"/>
                <w:szCs w:val="1"/>
                <w:color w:val="auto"/>
              </w:rPr>
            </w:pPr>
          </w:p>
        </w:tc>
      </w:tr>
      <w:tr>
        <w:trPr>
          <w:trHeight w:val="224"/>
        </w:trPr>
        <w:tc>
          <w:tcPr>
            <w:tcW w:w="490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Diluted</w:t>
            </w:r>
          </w:p>
        </w:tc>
        <w:tc>
          <w:tcPr>
            <w:tcW w:w="1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110,267</w:t>
            </w:r>
          </w:p>
        </w:tc>
        <w:tc>
          <w:tcPr>
            <w:tcW w:w="0" w:type="dxa"/>
            <w:vAlign w:val="bottom"/>
          </w:tcPr>
          <w:p>
            <w:pPr>
              <w:spacing w:after="0"/>
              <w:rPr>
                <w:sz w:val="1"/>
                <w:szCs w:val="1"/>
                <w:color w:val="auto"/>
              </w:rPr>
            </w:pPr>
          </w:p>
        </w:tc>
      </w:tr>
      <w:tr>
        <w:trPr>
          <w:trHeight w:val="842"/>
        </w:trPr>
        <w:tc>
          <w:tcPr>
            <w:tcW w:w="4900" w:type="dxa"/>
            <w:vAlign w:val="bottom"/>
          </w:tcPr>
          <w:p>
            <w:pPr>
              <w:spacing w:after="0"/>
              <w:rPr>
                <w:sz w:val="24"/>
                <w:szCs w:val="24"/>
                <w:color w:val="auto"/>
              </w:rPr>
            </w:pPr>
          </w:p>
        </w:tc>
        <w:tc>
          <w:tcPr>
            <w:tcW w:w="124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340" w:top="869" w:right="35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TO ADJUSTED NET INCOME ATTRIBUTABLE TO WYNN RESORTS, LIMITED</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80" w:type="dxa"/>
            <w:vAlign w:val="bottom"/>
          </w:tcPr>
          <w:p>
            <w:pPr>
              <w:spacing w:after="0"/>
              <w:rPr>
                <w:sz w:val="13"/>
                <w:szCs w:val="13"/>
                <w:color w:val="auto"/>
              </w:rPr>
            </w:pPr>
          </w:p>
        </w:tc>
        <w:tc>
          <w:tcPr>
            <w:tcW w:w="142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2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501,078</w:t>
            </w:r>
          </w:p>
        </w:tc>
        <w:tc>
          <w:tcPr>
            <w:tcW w:w="0" w:type="dxa"/>
            <w:vAlign w:val="bottom"/>
          </w:tcPr>
          <w:p>
            <w:pPr>
              <w:spacing w:after="0"/>
              <w:rPr>
                <w:sz w:val="1"/>
                <w:szCs w:val="1"/>
                <w:color w:val="auto"/>
              </w:rPr>
            </w:pP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Pre-opening expenses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215,095</w:t>
            </w:r>
          </w:p>
        </w:tc>
        <w:tc>
          <w:tcPr>
            <w:tcW w:w="0" w:type="dxa"/>
            <w:vAlign w:val="bottom"/>
          </w:tcPr>
          <w:p>
            <w:pPr>
              <w:spacing w:after="0"/>
              <w:rPr>
                <w:sz w:val="1"/>
                <w:szCs w:val="1"/>
                <w:color w:val="auto"/>
              </w:rPr>
            </w:pP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4"/>
        </w:trPr>
        <w:tc>
          <w:tcPr>
            <w:tcW w:w="61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0" w:type="dxa"/>
            <w:vAlign w:val="bottom"/>
          </w:tcPr>
          <w:p>
            <w:pPr>
              <w:spacing w:after="0"/>
              <w:rPr>
                <w:sz w:val="1"/>
                <w:szCs w:val="1"/>
                <w:color w:val="auto"/>
              </w:rPr>
            </w:pPr>
          </w:p>
        </w:tc>
      </w:tr>
      <w:tr>
        <w:trPr>
          <w:trHeight w:val="224"/>
        </w:trPr>
        <w:tc>
          <w:tcPr>
            <w:tcW w:w="6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12,564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24"/>
        </w:trPr>
        <w:tc>
          <w:tcPr>
            <w:tcW w:w="6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14,643</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14,538</w:t>
            </w:r>
          </w:p>
        </w:tc>
        <w:tc>
          <w:tcPr>
            <w:tcW w:w="0" w:type="dxa"/>
            <w:vAlign w:val="bottom"/>
          </w:tcPr>
          <w:p>
            <w:pPr>
              <w:spacing w:after="0"/>
              <w:rPr>
                <w:sz w:val="1"/>
                <w:szCs w:val="1"/>
                <w:color w:val="auto"/>
              </w:rPr>
            </w:pPr>
          </w:p>
        </w:tc>
      </w:tr>
      <w:tr>
        <w:trPr>
          <w:trHeight w:val="242"/>
        </w:trPr>
        <w:tc>
          <w:tcPr>
            <w:tcW w:w="6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121,861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263,339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437,041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663,547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 per diluted share</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2.42</w:t>
            </w:r>
          </w:p>
        </w:tc>
        <w:tc>
          <w:tcPr>
            <w:tcW w:w="80" w:type="dxa"/>
            <w:vAlign w:val="bottom"/>
          </w:tcPr>
          <w:p>
            <w:pPr>
              <w:spacing w:after="0"/>
              <w:rPr>
                <w:sz w:val="17"/>
                <w:szCs w:val="17"/>
                <w:color w:val="auto"/>
              </w:rPr>
            </w:pPr>
          </w:p>
        </w:tc>
        <w:tc>
          <w:tcPr>
            <w:tcW w:w="280" w:type="dxa"/>
            <w:vAlign w:val="bottom"/>
            <w:tcBorders>
              <w:bottom w:val="single" w:sz="8" w:color="auto"/>
            </w:tcBorders>
          </w:tcPr>
          <w:p>
            <w:pPr>
              <w:jc w:val="right"/>
              <w:ind w:right="9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4.19</w:t>
            </w:r>
          </w:p>
        </w:tc>
        <w:tc>
          <w:tcPr>
            <w:tcW w:w="100" w:type="dxa"/>
            <w:vAlign w:val="bottom"/>
          </w:tcPr>
          <w:p>
            <w:pPr>
              <w:spacing w:after="0"/>
              <w:rPr>
                <w:sz w:val="17"/>
                <w:szCs w:val="17"/>
                <w:color w:val="auto"/>
              </w:rPr>
            </w:pPr>
          </w:p>
        </w:tc>
        <w:tc>
          <w:tcPr>
            <w:tcW w:w="400" w:type="dxa"/>
            <w:vAlign w:val="bottom"/>
            <w:tcBorders>
              <w:bottom w:val="single" w:sz="8" w:color="auto"/>
            </w:tcBorders>
          </w:tcPr>
          <w:p>
            <w:pPr>
              <w:jc w:val="right"/>
              <w:ind w:right="21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6.02</w:t>
            </w:r>
          </w:p>
        </w:tc>
        <w:tc>
          <w:tcPr>
            <w:tcW w:w="0" w:type="dxa"/>
            <w:vAlign w:val="bottom"/>
          </w:tcPr>
          <w:p>
            <w:pPr>
              <w:spacing w:after="0"/>
              <w:rPr>
                <w:sz w:val="1"/>
                <w:szCs w:val="1"/>
                <w:color w:val="auto"/>
              </w:rPr>
            </w:pPr>
          </w:p>
        </w:tc>
      </w:tr>
      <w:tr>
        <w:trPr>
          <w:trHeight w:val="20"/>
        </w:trPr>
        <w:tc>
          <w:tcPr>
            <w:tcW w:w="6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108,652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104,243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80"/>
          </w:cols>
          <w:pgMar w:left="360" w:top="869" w:right="35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8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December 31, 2025</w:t>
            </w: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1"/>
                <w:szCs w:val="11"/>
                <w:color w:val="auto"/>
              </w:rPr>
            </w:pPr>
          </w:p>
        </w:tc>
        <w:tc>
          <w:tcPr>
            <w:tcW w:w="9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20" w:type="dxa"/>
            <w:vAlign w:val="bottom"/>
            <w:gridSpan w:val="4"/>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0" w:type="dxa"/>
            <w:vAlign w:val="bottom"/>
          </w:tcPr>
          <w:p>
            <w:pPr>
              <w:spacing w:after="0"/>
              <w:rPr>
                <w:sz w:val="11"/>
                <w:szCs w:val="11"/>
                <w:color w:val="auto"/>
              </w:rPr>
            </w:pPr>
          </w:p>
        </w:tc>
        <w:tc>
          <w:tcPr>
            <w:tcW w:w="1040" w:type="dxa"/>
            <w:vAlign w:val="bottom"/>
            <w:gridSpan w:val="3"/>
          </w:tcPr>
          <w:p>
            <w:pPr>
              <w:ind w:left="20"/>
              <w:spacing w:after="0" w:line="12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1"/>
                <w:szCs w:val="11"/>
                <w:color w:val="auto"/>
              </w:rPr>
            </w:pP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72,425</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76,341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(15,620)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133,146</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125,457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(19,180)</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35,283</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274,706</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14,632</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62,131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20,212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82,743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59,095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14,311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159,477</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5,681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1,980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13,482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18,088</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11,451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31,213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10,265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(74,363)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18,085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1,653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17,645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44,755</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389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5,647</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21,026</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36,094</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36,094</w:t>
            </w:r>
          </w:p>
        </w:tc>
        <w:tc>
          <w:tcPr>
            <w:tcW w:w="0" w:type="dxa"/>
            <w:vAlign w:val="bottom"/>
          </w:tcPr>
          <w:p>
            <w:pPr>
              <w:spacing w:after="0"/>
              <w:rPr>
                <w:sz w:val="1"/>
                <w:szCs w:val="1"/>
                <w:color w:val="auto"/>
              </w:rPr>
            </w:pPr>
          </w:p>
        </w:tc>
      </w:tr>
      <w:tr>
        <w:trPr>
          <w:trHeight w:val="222"/>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163,527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107,418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270,945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240,819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57,014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568,778</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9"/>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 December 31, 2024</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8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4"/>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0"/>
                <w:szCs w:val="10"/>
                <w:color w:val="auto"/>
              </w:rPr>
            </w:pPr>
          </w:p>
        </w:tc>
        <w:tc>
          <w:tcPr>
            <w:tcW w:w="98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20" w:type="dxa"/>
            <w:vAlign w:val="bottom"/>
            <w:gridSpan w:val="4"/>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20" w:type="dxa"/>
            <w:vAlign w:val="bottom"/>
          </w:tcPr>
          <w:p>
            <w:pPr>
              <w:spacing w:after="0"/>
              <w:rPr>
                <w:sz w:val="10"/>
                <w:szCs w:val="10"/>
                <w:color w:val="auto"/>
              </w:rPr>
            </w:pPr>
          </w:p>
        </w:tc>
        <w:tc>
          <w:tcPr>
            <w:tcW w:w="1040" w:type="dxa"/>
            <w:vAlign w:val="bottom"/>
            <w:gridSpan w:val="3"/>
          </w:tcPr>
          <w:p>
            <w:pPr>
              <w:ind w:left="40"/>
              <w:spacing w:after="0" w:line="12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20" w:type="dxa"/>
            <w:vAlign w:val="bottom"/>
          </w:tcPr>
          <w:p>
            <w:pPr>
              <w:spacing w:after="0"/>
              <w:rPr>
                <w:sz w:val="10"/>
                <w:szCs w:val="10"/>
                <w:color w:val="auto"/>
              </w:rPr>
            </w:pPr>
          </w:p>
        </w:tc>
        <w:tc>
          <w:tcPr>
            <w:tcW w:w="74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Harbor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107,661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67,874</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(14,718)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160,817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160,689</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(2,088)</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47,477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366,895</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3,305</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53,308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73,669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61,389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12,952</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151,284</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4,847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7,052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8,857</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17,931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(73,078)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17,634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38,437</w:t>
            </w:r>
          </w:p>
        </w:tc>
        <w:tc>
          <w:tcPr>
            <w:tcW w:w="0" w:type="dxa"/>
            <w:vAlign w:val="bottom"/>
          </w:tcPr>
          <w:p>
            <w:pPr>
              <w:spacing w:after="0"/>
              <w:rPr>
                <w:sz w:val="1"/>
                <w:szCs w:val="1"/>
                <w:color w:val="auto"/>
              </w:rPr>
            </w:pPr>
          </w:p>
        </w:tc>
      </w:tr>
      <w:tr>
        <w:trPr>
          <w:trHeight w:val="204"/>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14,823</w:t>
            </w:r>
          </w:p>
        </w:tc>
        <w:tc>
          <w:tcPr>
            <w:tcW w:w="0" w:type="dxa"/>
            <w:vAlign w:val="bottom"/>
          </w:tcPr>
          <w:p>
            <w:pPr>
              <w:spacing w:after="0"/>
              <w:rPr>
                <w:sz w:val="1"/>
                <w:szCs w:val="1"/>
                <w:color w:val="auto"/>
              </w:rPr>
            </w:pPr>
          </w:p>
        </w:tc>
      </w:tr>
      <w:tr>
        <w:trPr>
          <w:trHeight w:val="191"/>
        </w:trPr>
        <w:tc>
          <w:tcPr>
            <w:tcW w:w="28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35,449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35,449</w:t>
            </w:r>
          </w:p>
        </w:tc>
        <w:tc>
          <w:tcPr>
            <w:tcW w:w="0" w:type="dxa"/>
            <w:vAlign w:val="bottom"/>
          </w:tcPr>
          <w:p>
            <w:pPr>
              <w:spacing w:after="0"/>
              <w:rPr>
                <w:sz w:val="1"/>
                <w:szCs w:val="1"/>
                <w:color w:val="auto"/>
              </w:rPr>
            </w:pPr>
          </w:p>
        </w:tc>
      </w:tr>
      <w:tr>
        <w:trPr>
          <w:trHeight w:val="222"/>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184,598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108,161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292,759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267,447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58,844</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619,050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00"/>
          </w:cols>
          <w:pgMar w:left="340" w:top="869" w:right="359" w:bottom="1440" w:gutter="0" w:footer="0" w:header="0"/>
        </w:sectPr>
      </w:pPr>
    </w:p>
    <w:bookmarkStart w:id="9" w:name="page10"/>
    <w:bookmarkEnd w:id="9"/>
    <w:p>
      <w:pPr>
        <w:ind w:left="35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2025</w:t>
            </w: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1"/>
                <w:szCs w:val="11"/>
                <w:color w:val="auto"/>
              </w:rPr>
            </w:pPr>
          </w:p>
        </w:tc>
        <w:tc>
          <w:tcPr>
            <w:tcW w:w="96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w w:val="99"/>
              </w:rPr>
              <w:t>Total Macau</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60" w:type="dxa"/>
            <w:vAlign w:val="bottom"/>
            <w:gridSpan w:val="3"/>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4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20" w:type="dxa"/>
            <w:vAlign w:val="bottom"/>
          </w:tcPr>
          <w:p>
            <w:pPr>
              <w:spacing w:after="0"/>
              <w:rPr>
                <w:sz w:val="11"/>
                <w:szCs w:val="11"/>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340,168</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267,266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(40,896)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566,538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448,806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(31,756)</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134,796</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1,118,384</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4,384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5,095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38,494</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237,924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75,873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315,392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237,993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56,700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10,548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620,633</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11,927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13,883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49,719</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43,790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118,863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121,723</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41,180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(281,766)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35,351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51,736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29,644</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75,864</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163,503</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46,228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28,796</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91,927</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141,491</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682,900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402,125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1,085,025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902,405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2,224,151</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Year Ended December 31, 2024</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8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0"/>
                <w:szCs w:val="10"/>
                <w:color w:val="auto"/>
              </w:rPr>
            </w:pPr>
          </w:p>
        </w:tc>
        <w:tc>
          <w:tcPr>
            <w:tcW w:w="960" w:type="dxa"/>
            <w:vAlign w:val="bottom"/>
            <w:gridSpan w:val="2"/>
          </w:tcPr>
          <w:p>
            <w:pPr>
              <w:jc w:val="center"/>
              <w:ind w:right="200"/>
              <w:spacing w:after="0" w:line="125" w:lineRule="exact"/>
              <w:rPr>
                <w:sz w:val="20"/>
                <w:szCs w:val="20"/>
                <w:color w:val="auto"/>
              </w:rPr>
            </w:pPr>
            <w:r>
              <w:rPr>
                <w:rFonts w:ascii="Times New Roman" w:cs="Times New Roman" w:eastAsia="Times New Roman" w:hAnsi="Times New Roman"/>
                <w:sz w:val="14"/>
                <w:szCs w:val="14"/>
                <w:b w:val="1"/>
                <w:bCs w:val="1"/>
                <w:color w:val="auto"/>
                <w:w w:val="99"/>
              </w:rPr>
              <w:t>Total Macau</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60" w:type="dxa"/>
            <w:vAlign w:val="bottom"/>
            <w:gridSpan w:val="3"/>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4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Corporate and</w:t>
            </w:r>
          </w:p>
        </w:tc>
        <w:tc>
          <w:tcPr>
            <w:tcW w:w="220" w:type="dxa"/>
            <w:vAlign w:val="bottom"/>
          </w:tcPr>
          <w:p>
            <w:pPr>
              <w:spacing w:after="0"/>
              <w:rPr>
                <w:sz w:val="10"/>
                <w:szCs w:val="10"/>
                <w:color w:val="auto"/>
              </w:rPr>
            </w:pPr>
          </w:p>
        </w:tc>
        <w:tc>
          <w:tcPr>
            <w:tcW w:w="760" w:type="dxa"/>
            <w:vAlign w:val="bottom"/>
            <w:vMerge w:val="restart"/>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06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80" w:type="dxa"/>
            <w:vAlign w:val="bottom"/>
          </w:tcPr>
          <w:p>
            <w:pPr>
              <w:spacing w:after="0"/>
              <w:rPr>
                <w:sz w:val="16"/>
                <w:szCs w:val="16"/>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414,919</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296,392</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(39,029)</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672,282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403,836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(32,935)</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89,548</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1,132,731</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6,091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9,355</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219,729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79,700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300,992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243,089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88,794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26,020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658,895</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14,760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134,105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62,061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215,095</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70,913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116,474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122,054</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(280,364)</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8,713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32,958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50,486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58,321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148,236</w:t>
            </w:r>
          </w:p>
        </w:tc>
        <w:tc>
          <w:tcPr>
            <w:tcW w:w="0" w:type="dxa"/>
            <w:vAlign w:val="bottom"/>
          </w:tcPr>
          <w:p>
            <w:pPr>
              <w:spacing w:after="0"/>
              <w:rPr>
                <w:sz w:val="1"/>
                <w:szCs w:val="1"/>
                <w:color w:val="auto"/>
              </w:rPr>
            </w:pPr>
          </w:p>
        </w:tc>
      </w:tr>
      <w:tr>
        <w:trPr>
          <w:trHeight w:val="204"/>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14,163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9,629</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1,449</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33,788</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59,029</w:t>
            </w:r>
          </w:p>
        </w:tc>
        <w:tc>
          <w:tcPr>
            <w:tcW w:w="0" w:type="dxa"/>
            <w:vAlign w:val="bottom"/>
          </w:tcPr>
          <w:p>
            <w:pPr>
              <w:spacing w:after="0"/>
              <w:rPr>
                <w:sz w:val="1"/>
                <w:szCs w:val="1"/>
                <w:color w:val="auto"/>
              </w:rPr>
            </w:pPr>
          </w:p>
        </w:tc>
      </w:tr>
      <w:tr>
        <w:trPr>
          <w:trHeight w:val="191"/>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141,576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141,576</w:t>
            </w:r>
          </w:p>
        </w:tc>
        <w:tc>
          <w:tcPr>
            <w:tcW w:w="0" w:type="dxa"/>
            <w:vAlign w:val="bottom"/>
          </w:tcPr>
          <w:p>
            <w:pPr>
              <w:spacing w:after="0"/>
              <w:rPr>
                <w:sz w:val="1"/>
                <w:szCs w:val="1"/>
                <w:color w:val="auto"/>
              </w:rPr>
            </w:pPr>
          </w:p>
        </w:tc>
      </w:tr>
      <w:tr>
        <w:trPr>
          <w:trHeight w:val="222"/>
        </w:trPr>
        <w:tc>
          <w:tcPr>
            <w:tcW w:w="2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733,710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441,852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1,175,562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946,762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247,128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2,364,917</w:t>
            </w:r>
          </w:p>
        </w:tc>
        <w:tc>
          <w:tcPr>
            <w:tcW w:w="0" w:type="dxa"/>
            <w:vAlign w:val="bottom"/>
          </w:tcPr>
          <w:p>
            <w:pPr>
              <w:spacing w:after="0"/>
              <w:rPr>
                <w:sz w:val="1"/>
                <w:szCs w:val="1"/>
                <w:color w:val="auto"/>
              </w:rPr>
            </w:pP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69" w:right="339" w:bottom="1440" w:gutter="0" w:footer="0" w:header="0"/>
        </w:sectPr>
      </w:pPr>
    </w:p>
    <w:bookmarkStart w:id="10" w:name="page11"/>
    <w:bookmarkEnd w:id="10"/>
    <w:p>
      <w:pPr>
        <w:ind w:left="350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2" w:lineRule="exact"/>
        <w:rPr>
          <w:sz w:val="20"/>
          <w:szCs w:val="20"/>
          <w:color w:val="auto"/>
        </w:rPr>
      </w:pPr>
    </w:p>
    <w:p>
      <w:pPr>
        <w:ind w:left="1920"/>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4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260" w:type="dxa"/>
            <w:vAlign w:val="bottom"/>
          </w:tcPr>
          <w:p>
            <w:pPr>
              <w:spacing w:after="0"/>
              <w:rPr>
                <w:sz w:val="13"/>
                <w:szCs w:val="13"/>
                <w:color w:val="auto"/>
              </w:rPr>
            </w:pPr>
          </w:p>
        </w:tc>
        <w:tc>
          <w:tcPr>
            <w:tcW w:w="1420" w:type="dxa"/>
            <w:vAlign w:val="bottom"/>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6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40" w:type="dxa"/>
            <w:vAlign w:val="bottom"/>
            <w:gridSpan w:val="5"/>
            <w:vMerge w:val="continue"/>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40" w:type="dxa"/>
            <w:vAlign w:val="bottom"/>
            <w:tcBorders>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3"/>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276,972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501,078</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138,638</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159,477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151,284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620,633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658,895</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215,095</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141,491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141,576</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44,755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38,437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163,503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148,236</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91,927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59,029</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(130,342)</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163,488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625,556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688,410</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(42,478)</w:t>
            </w:r>
          </w:p>
        </w:tc>
        <w:tc>
          <w:tcPr>
            <w:tcW w:w="0" w:type="dxa"/>
            <w:vAlign w:val="bottom"/>
          </w:tcPr>
          <w:p>
            <w:pPr>
              <w:spacing w:after="0"/>
              <w:rPr>
                <w:sz w:val="1"/>
                <w:szCs w:val="1"/>
                <w:color w:val="auto"/>
              </w:rPr>
            </w:pPr>
          </w:p>
        </w:tc>
      </w:tr>
      <w:tr>
        <w:trPr>
          <w:trHeight w:val="224"/>
        </w:trPr>
        <w:tc>
          <w:tcPr>
            <w:tcW w:w="61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w:t>
            </w:r>
          </w:p>
        </w:tc>
        <w:tc>
          <w:tcPr>
            <w:tcW w:w="0" w:type="dxa"/>
            <w:vAlign w:val="bottom"/>
          </w:tcPr>
          <w:p>
            <w:pPr>
              <w:spacing w:after="0"/>
              <w:rPr>
                <w:sz w:val="1"/>
                <w:szCs w:val="1"/>
                <w:color w:val="auto"/>
              </w:rPr>
            </w:pPr>
          </w:p>
        </w:tc>
      </w:tr>
      <w:tr>
        <w:trPr>
          <w:trHeight w:val="224"/>
        </w:trPr>
        <w:tc>
          <w:tcPr>
            <w:tcW w:w="61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(29,170)</w:t>
            </w:r>
          </w:p>
        </w:tc>
        <w:tc>
          <w:tcPr>
            <w:tcW w:w="0" w:type="dxa"/>
            <w:vAlign w:val="bottom"/>
          </w:tcPr>
          <w:p>
            <w:pPr>
              <w:spacing w:after="0"/>
              <w:rPr>
                <w:sz w:val="1"/>
                <w:szCs w:val="1"/>
                <w:color w:val="auto"/>
              </w:rPr>
            </w:pPr>
          </w:p>
        </w:tc>
      </w:tr>
      <w:tr>
        <w:trPr>
          <w:trHeight w:val="224"/>
        </w:trPr>
        <w:tc>
          <w:tcPr>
            <w:tcW w:w="61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(Benefit) provision for income taxes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22,259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(41,394)</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r>
        <w:trPr>
          <w:trHeight w:val="242"/>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568,778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619,050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2,224,151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2,364,917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00"/>
          </w:cols>
          <w:pgMar w:left="340" w:top="869"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501,470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458,816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1,936,715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1,795,604</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37,093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49,649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149,585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202,936</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33,530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31,993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129,007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125,398</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24,262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22,473</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92,090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93,733</w:t>
            </w:r>
          </w:p>
        </w:tc>
        <w:tc>
          <w:tcPr>
            <w:tcW w:w="8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596,355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562,931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2,307,397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2,217,671</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163,527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184,598</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682,900</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733,710</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(6.9)</w:t>
            </w:r>
          </w:p>
        </w:tc>
        <w:tc>
          <w:tcPr>
            <w:tcW w:w="0" w:type="dxa"/>
            <w:vAlign w:val="bottom"/>
          </w:tcPr>
          <w:p>
            <w:pPr>
              <w:spacing w:after="0"/>
              <w:rPr>
                <w:sz w:val="1"/>
                <w:szCs w:val="1"/>
                <w:color w:val="auto"/>
              </w:rPr>
            </w:pPr>
          </w:p>
        </w:tc>
      </w:tr>
      <w:tr>
        <w:trPr>
          <w:trHeight w:val="250"/>
        </w:trPr>
        <w:tc>
          <w:tcPr>
            <w:tcW w:w="4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5,230,720</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3,060,994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16,568,127</w:t>
            </w:r>
          </w:p>
        </w:tc>
        <w:tc>
          <w:tcPr>
            <w:tcW w:w="100" w:type="dxa"/>
            <w:vAlign w:val="bottom"/>
          </w:tcPr>
          <w:p>
            <w:pPr>
              <w:spacing w:after="0"/>
              <w:rPr>
                <w:sz w:val="18"/>
                <w:szCs w:val="18"/>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12,991,235</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148,498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107,438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521,979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449,461</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3.46 %</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31,475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20,935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27,265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21,495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245</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1"/>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2,059,169</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1,678,073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7,665,410</w:t>
            </w:r>
          </w:p>
        </w:tc>
        <w:tc>
          <w:tcPr>
            <w:tcW w:w="10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6,893,092</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448,611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435,465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1,748,290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1,686,503</w:t>
            </w: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24.5 %</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20,200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19,214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19,510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18,770</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729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665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603</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883,995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704,360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3,086,835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2,519,983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221"/>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34,465</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25,698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126,785</w:t>
            </w:r>
          </w:p>
        </w:tc>
        <w:tc>
          <w:tcPr>
            <w:tcW w:w="10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109,488</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0" w:type="dxa"/>
            <w:vAlign w:val="bottom"/>
          </w:tcPr>
          <w:p>
            <w:pPr>
              <w:spacing w:after="0"/>
              <w:rPr>
                <w:sz w:val="1"/>
                <w:szCs w:val="1"/>
                <w:color w:val="auto"/>
              </w:rPr>
            </w:pPr>
          </w:p>
        </w:tc>
      </w:tr>
      <w:tr>
        <w:trPr>
          <w:trHeight w:val="213"/>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496</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98.6 %</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219</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r>
        <w:trPr>
          <w:trHeight w:val="224"/>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tcPr>
          <w:p>
            <w:pPr>
              <w:spacing w:after="0"/>
              <w:rPr>
                <w:sz w:val="19"/>
                <w:szCs w:val="19"/>
                <w:color w:val="auto"/>
              </w:rPr>
            </w:pPr>
          </w:p>
        </w:tc>
        <w:tc>
          <w:tcPr>
            <w:tcW w:w="400" w:type="dxa"/>
            <w:vAlign w:val="bottom"/>
          </w:tcPr>
          <w:p>
            <w:pPr>
              <w:jc w:val="right"/>
              <w:ind w:right="241"/>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306</w:t>
            </w: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869" w:right="37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8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00" w:type="dxa"/>
            <w:vAlign w:val="bottom"/>
            <w:gridSpan w:val="3"/>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311,582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306,500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1,195,001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1,230,351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21,255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24,515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122"/>
              <w:spacing w:after="0"/>
              <w:rPr>
                <w:sz w:val="20"/>
                <w:szCs w:val="20"/>
                <w:color w:val="auto"/>
              </w:rPr>
            </w:pPr>
            <w:r>
              <w:rPr>
                <w:rFonts w:ascii="Times New Roman" w:cs="Times New Roman" w:eastAsia="Times New Roman" w:hAnsi="Times New Roman"/>
                <w:sz w:val="16"/>
                <w:szCs w:val="16"/>
                <w:color w:val="auto"/>
              </w:rPr>
              <w:t>87,443</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100,631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18,067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20,233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color w:val="auto"/>
              </w:rPr>
              <w:t>71,222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80,779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20,430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12,428</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color w:val="auto"/>
              </w:rPr>
              <w:t>56,954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color w:val="auto"/>
              </w:rPr>
              <w:t>52,885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w:t>
            </w: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52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371,334</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363,676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1,410,620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1,464,646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(3.7)</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107,418</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108,161</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(0.7)</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402,125</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441,852</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VIP turnover</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909,572</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1,092,611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4,347,699</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5,047,888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31,746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54,730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110,770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177,435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19,693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19,237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14,282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16,084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09"/>
        </w:trPr>
        <w:tc>
          <w:tcPr>
            <w:tcW w:w="41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21"/>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1,732,741</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1,543,261</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6,526,655</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6,344,794</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295,116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276,817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1,170,262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1,164,012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Table games win %</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13,668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13,783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14,367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906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799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Slot machine handle</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1,109,253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785,967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3,827,458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3,133,488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21"/>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31,508</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26,426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106,657</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103,030</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367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Poker rake</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2,137</w:t>
            </w:r>
          </w:p>
        </w:tc>
        <w:tc>
          <w:tcPr>
            <w:tcW w:w="100" w:type="dxa"/>
            <w:vAlign w:val="bottom"/>
          </w:tcPr>
          <w:p>
            <w:pPr>
              <w:spacing w:after="0"/>
              <w:rPr>
                <w:sz w:val="18"/>
                <w:szCs w:val="18"/>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3,444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Pr>
          <w:p>
            <w:pPr>
              <w:spacing w:after="0"/>
              <w:rPr>
                <w:sz w:val="18"/>
                <w:szCs w:val="18"/>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10,915</w:t>
            </w:r>
          </w:p>
        </w:tc>
        <w:tc>
          <w:tcPr>
            <w:tcW w:w="100" w:type="dxa"/>
            <w:vAlign w:val="bottom"/>
          </w:tcPr>
          <w:p>
            <w:pPr>
              <w:spacing w:after="0"/>
              <w:rPr>
                <w:sz w:val="18"/>
                <w:szCs w:val="18"/>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15,275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99.2 %</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99.3 %</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1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0" w:type="dxa"/>
            <w:vAlign w:val="bottom"/>
          </w:tcPr>
          <w:p>
            <w:pPr>
              <w:spacing w:after="0"/>
              <w:rPr>
                <w:sz w:val="1"/>
                <w:szCs w:val="1"/>
                <w:color w:val="auto"/>
              </w:rPr>
            </w:pPr>
          </w:p>
        </w:tc>
      </w:tr>
      <w:tr>
        <w:trPr>
          <w:trHeight w:val="21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18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9"/>
                <w:szCs w:val="19"/>
                <w:color w:val="auto"/>
              </w:rPr>
            </w:pP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9"/>
                <w:szCs w:val="19"/>
                <w:color w:val="auto"/>
              </w:rPr>
            </w:pPr>
          </w:p>
        </w:tc>
        <w:tc>
          <w:tcPr>
            <w:tcW w:w="28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216</w:t>
            </w:r>
          </w:p>
        </w:tc>
        <w:tc>
          <w:tcPr>
            <w:tcW w:w="100" w:type="dxa"/>
            <w:vAlign w:val="bottom"/>
          </w:tcPr>
          <w:p>
            <w:pPr>
              <w:spacing w:after="0"/>
              <w:rPr>
                <w:sz w:val="19"/>
                <w:szCs w:val="19"/>
                <w:color w:val="auto"/>
              </w:rPr>
            </w:pPr>
          </w:p>
        </w:tc>
        <w:tc>
          <w:tcPr>
            <w:tcW w:w="4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0" w:type="dxa"/>
            <w:vAlign w:val="bottom"/>
          </w:tcPr>
          <w:p>
            <w:pPr>
              <w:spacing w:after="0"/>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Note: Our casino operations in Macau were closed for a 1-day period in September 2025 due to Typhoon Ragasa.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220"/>
          </w:cols>
          <w:pgMar w:left="320" w:top="86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5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40" w:type="dxa"/>
            <w:vAlign w:val="bottom"/>
            <w:tcBorders>
              <w:top w:val="single" w:sz="8" w:color="auto"/>
            </w:tcBorders>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 Supplemental Information</w:t>
            </w: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178,275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190,065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649,346</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600,088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09"/>
        </w:trPr>
        <w:tc>
          <w:tcPr>
            <w:tcW w:w="41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222,916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228,589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813,477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845,660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191,712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184,734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758,559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778,538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95,202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96,151</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351,653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347,627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52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688,105</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699,539</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2,573,035</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2,571,913</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240,819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267,447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902,405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946,762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(4.7)</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8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226</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667,574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655,038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2,521,626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2,376,473</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21"/>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173,842</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202,326</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600,951</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611,663</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8,138</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9,729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7,054</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7,200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1,568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1,599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1,574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1,609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Slot machine handle</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1,975,655</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1,912,711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7,332,128</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6,752,952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129,521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123,609</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499,871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446,152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898</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840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870</w:t>
            </w:r>
          </w:p>
        </w:tc>
        <w:tc>
          <w:tcPr>
            <w:tcW w:w="100" w:type="dxa"/>
            <w:vAlign w:val="bottom"/>
          </w:tcPr>
          <w:p>
            <w:pPr>
              <w:spacing w:after="0"/>
              <w:rPr>
                <w:sz w:val="18"/>
                <w:szCs w:val="18"/>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758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Poker rake</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8,242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7,948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25,824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24,599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9"/>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Occupancy</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86.9 %</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611</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547</w:t>
            </w:r>
          </w:p>
        </w:tc>
        <w:tc>
          <w:tcPr>
            <w:tcW w:w="100" w:type="dxa"/>
            <w:vAlign w:val="bottom"/>
          </w:tcPr>
          <w:p>
            <w:pPr>
              <w:spacing w:after="0"/>
              <w:rPr>
                <w:sz w:val="19"/>
                <w:szCs w:val="19"/>
                <w:color w:val="auto"/>
              </w:rPr>
            </w:pPr>
          </w:p>
        </w:tc>
        <w:tc>
          <w:tcPr>
            <w:tcW w:w="44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555</w:t>
            </w: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527</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476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494</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00"/>
          </w:cols>
          <w:pgMar w:left="340" w:top="869" w:right="359" w:bottom="1440" w:gutter="0" w:footer="0" w:header="0"/>
        </w:sectPr>
      </w:pPr>
    </w:p>
    <w:bookmarkStart w:id="14" w:name="page15"/>
    <w:bookmarkEnd w:id="14"/>
    <w:p>
      <w:pPr>
        <w:jc w:val="center"/>
        <w:ind w:left="340" w:right="2800"/>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1" w:lineRule="exact"/>
        <w:rPr>
          <w:sz w:val="20"/>
          <w:szCs w:val="20"/>
          <w:color w:val="auto"/>
        </w:rPr>
      </w:pPr>
    </w:p>
    <w:tbl>
      <w:tblPr>
        <w:tblLayout w:type="fixed"/>
        <w:tblInd w:w="35"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56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20" w:type="dxa"/>
            <w:vAlign w:val="bottom"/>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20" w:type="dxa"/>
            <w:vAlign w:val="bottom"/>
            <w:gridSpan w:val="3"/>
          </w:tcPr>
          <w:p>
            <w:pPr>
              <w:jc w:val="right"/>
              <w:ind w:right="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1"/>
                <w:szCs w:val="11"/>
                <w:color w:val="auto"/>
              </w:rPr>
            </w:pPr>
          </w:p>
        </w:tc>
        <w:tc>
          <w:tcPr>
            <w:tcW w:w="760" w:type="dxa"/>
            <w:vAlign w:val="bottom"/>
            <w:tcBorders>
              <w:top w:val="single" w:sz="8" w:color="auto"/>
            </w:tcBorders>
          </w:tcPr>
          <w:p>
            <w:pPr>
              <w:jc w:val="right"/>
              <w:ind w:right="8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720" w:type="dxa"/>
            <w:vAlign w:val="bottom"/>
            <w:tcBorders>
              <w:top w:val="single" w:sz="8" w:color="auto"/>
            </w:tcBorders>
          </w:tcPr>
          <w:p>
            <w:pPr>
              <w:ind w:left="120"/>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Encore Boston Harbor Supplemental Information</w:t>
            </w: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revenues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Casino</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152,020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156,810</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629,266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635,314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7"/>
              </w:rPr>
              <w:t>(1.0)</w:t>
            </w:r>
          </w:p>
        </w:tc>
        <w:tc>
          <w:tcPr>
            <w:tcW w:w="0" w:type="dxa"/>
            <w:vAlign w:val="bottom"/>
          </w:tcPr>
          <w:p>
            <w:pPr>
              <w:spacing w:after="0"/>
              <w:rPr>
                <w:sz w:val="1"/>
                <w:szCs w:val="1"/>
                <w:color w:val="auto"/>
              </w:rPr>
            </w:pPr>
          </w:p>
        </w:tc>
      </w:tr>
      <w:tr>
        <w:trPr>
          <w:trHeight w:val="209"/>
        </w:trPr>
        <w:tc>
          <w:tcPr>
            <w:tcW w:w="4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Rooms</w:t>
            </w:r>
          </w:p>
        </w:tc>
        <w:tc>
          <w:tcPr>
            <w:tcW w:w="16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23,832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22,605</w:t>
            </w:r>
          </w:p>
        </w:tc>
        <w:tc>
          <w:tcPr>
            <w:tcW w:w="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90,649</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92,831</w:t>
            </w:r>
          </w:p>
        </w:tc>
        <w:tc>
          <w:tcPr>
            <w:tcW w:w="100" w:type="dxa"/>
            <w:vAlign w:val="bottom"/>
          </w:tcPr>
          <w:p>
            <w:pPr>
              <w:spacing w:after="0"/>
              <w:rPr>
                <w:sz w:val="18"/>
                <w:szCs w:val="18"/>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(2.4)</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Food and beverage</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21,615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21,218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79,062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84,402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7"/>
              </w:rPr>
              <w:t>(6.3)</w:t>
            </w:r>
          </w:p>
        </w:tc>
        <w:tc>
          <w:tcPr>
            <w:tcW w:w="0" w:type="dxa"/>
            <w:vAlign w:val="bottom"/>
          </w:tcPr>
          <w:p>
            <w:pPr>
              <w:spacing w:after="0"/>
              <w:rPr>
                <w:sz w:val="1"/>
                <w:szCs w:val="1"/>
                <w:color w:val="auto"/>
              </w:rPr>
            </w:pPr>
          </w:p>
        </w:tc>
      </w:tr>
      <w:tr>
        <w:trPr>
          <w:trHeight w:val="209"/>
        </w:trPr>
        <w:tc>
          <w:tcPr>
            <w:tcW w:w="4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12,722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12,018</w:t>
            </w:r>
          </w:p>
        </w:tc>
        <w:tc>
          <w:tcPr>
            <w:tcW w:w="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47,895</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44,617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center"/>
              <w:ind w:left="322"/>
              <w:spacing w:after="0"/>
              <w:rPr>
                <w:sz w:val="20"/>
                <w:szCs w:val="20"/>
                <w:color w:val="auto"/>
              </w:rPr>
            </w:pPr>
            <w:r>
              <w:rPr>
                <w:rFonts w:ascii="Times New Roman" w:cs="Times New Roman" w:eastAsia="Times New Roman" w:hAnsi="Times New Roman"/>
                <w:sz w:val="16"/>
                <w:szCs w:val="16"/>
                <w:color w:val="auto"/>
                <w:w w:val="99"/>
              </w:rPr>
              <w:t>7.3</w:t>
            </w:r>
          </w:p>
        </w:tc>
        <w:tc>
          <w:tcPr>
            <w:tcW w:w="0" w:type="dxa"/>
            <w:vAlign w:val="bottom"/>
          </w:tcPr>
          <w:p>
            <w:pPr>
              <w:spacing w:after="0"/>
              <w:rPr>
                <w:sz w:val="1"/>
                <w:szCs w:val="1"/>
                <w:color w:val="auto"/>
              </w:rPr>
            </w:pPr>
          </w:p>
        </w:tc>
      </w:tr>
      <w:tr>
        <w:trPr>
          <w:trHeight w:val="206"/>
        </w:trPr>
        <w:tc>
          <w:tcPr>
            <w:tcW w:w="4120" w:type="dxa"/>
            <w:vAlign w:val="bottom"/>
            <w:shd w:val="clear" w:color="auto" w:fill="CCEEFF"/>
          </w:tcPr>
          <w:p>
            <w:pPr>
              <w:ind w:left="52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210,189</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212,651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846,872</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857,164</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7"/>
              </w:rPr>
              <w:t>(1.2)</w:t>
            </w:r>
          </w:p>
        </w:tc>
        <w:tc>
          <w:tcPr>
            <w:tcW w:w="0" w:type="dxa"/>
            <w:vAlign w:val="bottom"/>
          </w:tcPr>
          <w:p>
            <w:pPr>
              <w:spacing w:after="0"/>
              <w:rPr>
                <w:sz w:val="1"/>
                <w:szCs w:val="1"/>
                <w:color w:val="auto"/>
              </w:rPr>
            </w:pPr>
          </w:p>
        </w:tc>
      </w:tr>
      <w:tr>
        <w:trPr>
          <w:trHeight w:val="250"/>
        </w:trPr>
        <w:tc>
          <w:tcPr>
            <w:tcW w:w="4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14"/>
                <w:szCs w:val="14"/>
                <w:b w:val="1"/>
                <w:bCs w:val="1"/>
                <w:color w:val="auto"/>
              </w:rPr>
              <w:t>(6)</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57,014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b w:val="1"/>
                <w:bCs w:val="1"/>
                <w:color w:val="auto"/>
              </w:rPr>
              <w:t>58,844</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236,721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247,128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b w:val="1"/>
                <w:bCs w:val="1"/>
                <w:color w:val="auto"/>
                <w:w w:val="97"/>
              </w:rPr>
              <w:t>(4.2)</w:t>
            </w:r>
          </w:p>
        </w:tc>
        <w:tc>
          <w:tcPr>
            <w:tcW w:w="0" w:type="dxa"/>
            <w:vAlign w:val="bottom"/>
          </w:tcPr>
          <w:p>
            <w:pPr>
              <w:spacing w:after="0"/>
              <w:rPr>
                <w:sz w:val="1"/>
                <w:szCs w:val="1"/>
                <w:color w:val="auto"/>
              </w:rPr>
            </w:pPr>
          </w:p>
        </w:tc>
      </w:tr>
      <w:tr>
        <w:trPr>
          <w:trHeight w:val="263"/>
        </w:trPr>
        <w:tc>
          <w:tcPr>
            <w:tcW w:w="4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Casino Statistics: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160" w:type="dxa"/>
            <w:vAlign w:val="bottom"/>
          </w:tcPr>
          <w:p>
            <w:pPr>
              <w:spacing w:after="0"/>
              <w:rPr>
                <w:sz w:val="18"/>
                <w:szCs w:val="18"/>
                <w:color w:val="auto"/>
              </w:rPr>
            </w:pP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(4.4)</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14"/>
                <w:szCs w:val="14"/>
                <w:color w:val="auto"/>
              </w:rPr>
              <w:t>(2)</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342,160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337,570</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1,344,387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1,410,319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7"/>
              </w:rPr>
              <w:t>(4.7)</w:t>
            </w:r>
          </w:p>
        </w:tc>
        <w:tc>
          <w:tcPr>
            <w:tcW w:w="0" w:type="dxa"/>
            <w:vAlign w:val="bottom"/>
          </w:tcPr>
          <w:p>
            <w:pPr>
              <w:spacing w:after="0"/>
              <w:rPr>
                <w:sz w:val="1"/>
                <w:szCs w:val="1"/>
                <w:color w:val="auto"/>
              </w:rPr>
            </w:pPr>
          </w:p>
        </w:tc>
      </w:tr>
      <w:tr>
        <w:trPr>
          <w:trHeight w:val="221"/>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14"/>
                <w:szCs w:val="14"/>
                <w:color w:val="auto"/>
              </w:rPr>
              <w:t>(1)</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61,991</w:t>
            </w:r>
          </w:p>
        </w:tc>
        <w:tc>
          <w:tcPr>
            <w:tcW w:w="100" w:type="dxa"/>
            <w:vAlign w:val="bottom"/>
          </w:tcPr>
          <w:p>
            <w:pPr>
              <w:spacing w:after="0"/>
              <w:rPr>
                <w:sz w:val="19"/>
                <w:szCs w:val="19"/>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69,873</w:t>
            </w: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270,147</w:t>
            </w:r>
          </w:p>
        </w:tc>
        <w:tc>
          <w:tcPr>
            <w:tcW w:w="100" w:type="dxa"/>
            <w:vAlign w:val="bottom"/>
          </w:tcPr>
          <w:p>
            <w:pPr>
              <w:spacing w:after="0"/>
              <w:rPr>
                <w:sz w:val="19"/>
                <w:szCs w:val="19"/>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297,369</w:t>
            </w:r>
          </w:p>
        </w:tc>
        <w:tc>
          <w:tcPr>
            <w:tcW w:w="100" w:type="dxa"/>
            <w:vAlign w:val="bottom"/>
          </w:tcPr>
          <w:p>
            <w:pPr>
              <w:spacing w:after="0"/>
              <w:rPr>
                <w:sz w:val="19"/>
                <w:szCs w:val="19"/>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(9.2)</w:t>
            </w:r>
          </w:p>
        </w:tc>
        <w:tc>
          <w:tcPr>
            <w:tcW w:w="0" w:type="dxa"/>
            <w:vAlign w:val="bottom"/>
          </w:tcPr>
          <w:p>
            <w:pPr>
              <w:spacing w:after="0"/>
              <w:rPr>
                <w:sz w:val="1"/>
                <w:szCs w:val="1"/>
                <w:color w:val="auto"/>
              </w:rPr>
            </w:pPr>
          </w:p>
        </w:tc>
      </w:tr>
      <w:tr>
        <w:trPr>
          <w:trHeight w:val="213"/>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3,918</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4,412</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4,303</w:t>
            </w:r>
          </w:p>
        </w:tc>
        <w:tc>
          <w:tcPr>
            <w:tcW w:w="10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Pr>
          <w:p>
            <w:pPr>
              <w:spacing w:after="0"/>
              <w:rPr>
                <w:sz w:val="18"/>
                <w:szCs w:val="18"/>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(4.8)</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2,722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2,694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2,721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2,633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3.3</w:t>
            </w: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Slot machine handle</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1,413,168</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1,402,942</w:t>
            </w:r>
          </w:p>
        </w:tc>
        <w:tc>
          <w:tcPr>
            <w:tcW w:w="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0.7</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5,533,270</w:t>
            </w:r>
          </w:p>
        </w:tc>
        <w:tc>
          <w:tcPr>
            <w:tcW w:w="10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5,604,462</w:t>
            </w:r>
          </w:p>
        </w:tc>
        <w:tc>
          <w:tcPr>
            <w:tcW w:w="100" w:type="dxa"/>
            <w:vAlign w:val="bottom"/>
          </w:tcPr>
          <w:p>
            <w:pPr>
              <w:spacing w:after="0"/>
              <w:rPr>
                <w:sz w:val="18"/>
                <w:szCs w:val="18"/>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(1.3)</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14"/>
                <w:szCs w:val="14"/>
                <w:color w:val="auto"/>
              </w:rPr>
              <w:t>(3)</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110,845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108,379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438,597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424,152</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3.4</w:t>
            </w:r>
          </w:p>
        </w:tc>
        <w:tc>
          <w:tcPr>
            <w:tcW w:w="0" w:type="dxa"/>
            <w:vAlign w:val="bottom"/>
          </w:tcPr>
          <w:p>
            <w:pPr>
              <w:spacing w:after="0"/>
              <w:rPr>
                <w:sz w:val="1"/>
                <w:szCs w:val="1"/>
                <w:color w:val="auto"/>
              </w:rPr>
            </w:pPr>
          </w:p>
        </w:tc>
      </w:tr>
      <w:tr>
        <w:trPr>
          <w:trHeight w:val="209"/>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443</w:t>
            </w:r>
          </w:p>
        </w:tc>
        <w:tc>
          <w:tcPr>
            <w:tcW w:w="100" w:type="dxa"/>
            <w:vAlign w:val="bottom"/>
          </w:tcPr>
          <w:p>
            <w:pPr>
              <w:spacing w:after="0"/>
              <w:rPr>
                <w:sz w:val="18"/>
                <w:szCs w:val="18"/>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437</w:t>
            </w:r>
          </w:p>
        </w:tc>
        <w:tc>
          <w:tcPr>
            <w:tcW w:w="80" w:type="dxa"/>
            <w:vAlign w:val="bottom"/>
          </w:tcPr>
          <w:p>
            <w:pPr>
              <w:spacing w:after="0"/>
              <w:rPr>
                <w:sz w:val="18"/>
                <w:szCs w:val="18"/>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442</w:t>
            </w:r>
          </w:p>
        </w:tc>
        <w:tc>
          <w:tcPr>
            <w:tcW w:w="100" w:type="dxa"/>
            <w:vAlign w:val="bottom"/>
          </w:tcPr>
          <w:p>
            <w:pPr>
              <w:spacing w:after="0"/>
              <w:rPr>
                <w:sz w:val="18"/>
                <w:szCs w:val="18"/>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440</w:t>
            </w:r>
          </w:p>
        </w:tc>
        <w:tc>
          <w:tcPr>
            <w:tcW w:w="100" w:type="dxa"/>
            <w:vAlign w:val="bottom"/>
          </w:tcPr>
          <w:p>
            <w:pPr>
              <w:spacing w:after="0"/>
              <w:rPr>
                <w:sz w:val="18"/>
                <w:szCs w:val="18"/>
                <w:color w:val="auto"/>
              </w:rPr>
            </w:pPr>
          </w:p>
        </w:tc>
        <w:tc>
          <w:tcPr>
            <w:tcW w:w="720" w:type="dxa"/>
            <w:vAlign w:val="bottom"/>
          </w:tcPr>
          <w:p>
            <w:pPr>
              <w:jc w:val="center"/>
              <w:ind w:left="322"/>
              <w:spacing w:after="0"/>
              <w:rPr>
                <w:sz w:val="20"/>
                <w:szCs w:val="20"/>
                <w:color w:val="auto"/>
              </w:rPr>
            </w:pPr>
            <w:r>
              <w:rPr>
                <w:rFonts w:ascii="Times New Roman" w:cs="Times New Roman" w:eastAsia="Times New Roman" w:hAnsi="Times New Roman"/>
                <w:sz w:val="16"/>
                <w:szCs w:val="16"/>
                <w:color w:val="auto"/>
                <w:w w:val="99"/>
              </w:rPr>
              <w:t>0.5</w:t>
            </w: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Poker rake</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5,508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5,328</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21,990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21,750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ind w:left="322"/>
              <w:spacing w:after="0"/>
              <w:rPr>
                <w:sz w:val="20"/>
                <w:szCs w:val="20"/>
                <w:color w:val="auto"/>
              </w:rPr>
            </w:pPr>
            <w:r>
              <w:rPr>
                <w:rFonts w:ascii="Times New Roman" w:cs="Times New Roman" w:eastAsia="Times New Roman" w:hAnsi="Times New Roman"/>
                <w:sz w:val="16"/>
                <w:szCs w:val="16"/>
                <w:color w:val="auto"/>
                <w:w w:val="99"/>
              </w:rPr>
              <w:t>1.1</w:t>
            </w:r>
          </w:p>
        </w:tc>
        <w:tc>
          <w:tcPr>
            <w:tcW w:w="0" w:type="dxa"/>
            <w:vAlign w:val="bottom"/>
          </w:tcPr>
          <w:p>
            <w:pPr>
              <w:spacing w:after="0"/>
              <w:rPr>
                <w:sz w:val="1"/>
                <w:szCs w:val="1"/>
                <w:color w:val="auto"/>
              </w:rPr>
            </w:pPr>
          </w:p>
        </w:tc>
      </w:tr>
      <w:tr>
        <w:trPr>
          <w:trHeight w:val="209"/>
        </w:trPr>
        <w:tc>
          <w:tcPr>
            <w:tcW w:w="41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Room statistics: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Occupancy</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91.1 %</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93.6 %</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12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14"/>
                <w:szCs w:val="14"/>
                <w:color w:val="auto"/>
              </w:rPr>
              <w:t>(4)</w:t>
            </w:r>
          </w:p>
        </w:tc>
        <w:tc>
          <w:tcPr>
            <w:tcW w:w="1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tcPr>
          <w:p>
            <w:pPr>
              <w:spacing w:after="0"/>
              <w:rPr>
                <w:sz w:val="19"/>
                <w:szCs w:val="19"/>
                <w:color w:val="auto"/>
              </w:rPr>
            </w:pP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416</w:t>
            </w:r>
          </w:p>
        </w:tc>
        <w:tc>
          <w:tcPr>
            <w:tcW w:w="80" w:type="dxa"/>
            <w:vAlign w:val="bottom"/>
          </w:tcPr>
          <w:p>
            <w:pPr>
              <w:spacing w:after="0"/>
              <w:rPr>
                <w:sz w:val="19"/>
                <w:szCs w:val="19"/>
                <w:color w:val="auto"/>
              </w:rPr>
            </w:pPr>
          </w:p>
        </w:tc>
        <w:tc>
          <w:tcPr>
            <w:tcW w:w="7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tcPr>
          <w:p>
            <w:pPr>
              <w:spacing w:after="0"/>
              <w:rPr>
                <w:sz w:val="19"/>
                <w:szCs w:val="19"/>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405</w:t>
            </w:r>
          </w:p>
        </w:tc>
        <w:tc>
          <w:tcPr>
            <w:tcW w:w="100" w:type="dxa"/>
            <w:vAlign w:val="bottom"/>
          </w:tcPr>
          <w:p>
            <w:pPr>
              <w:spacing w:after="0"/>
              <w:rPr>
                <w:sz w:val="19"/>
                <w:szCs w:val="19"/>
                <w:color w:val="auto"/>
              </w:rPr>
            </w:pPr>
          </w:p>
        </w:tc>
        <w:tc>
          <w:tcPr>
            <w:tcW w:w="420" w:type="dxa"/>
            <w:vAlign w:val="bottom"/>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9"/>
                <w:szCs w:val="19"/>
                <w:color w:val="auto"/>
              </w:rPr>
            </w:pPr>
          </w:p>
        </w:tc>
        <w:tc>
          <w:tcPr>
            <w:tcW w:w="720" w:type="dxa"/>
            <w:vAlign w:val="bottom"/>
          </w:tcPr>
          <w:p>
            <w:pPr>
              <w:jc w:val="center"/>
              <w:ind w:left="302"/>
              <w:spacing w:after="0"/>
              <w:rPr>
                <w:sz w:val="20"/>
                <w:szCs w:val="20"/>
                <w:color w:val="auto"/>
              </w:rPr>
            </w:pPr>
            <w:r>
              <w:rPr>
                <w:rFonts w:ascii="Times New Roman" w:cs="Times New Roman" w:eastAsia="Times New Roman" w:hAnsi="Times New Roman"/>
                <w:sz w:val="16"/>
                <w:szCs w:val="16"/>
                <w:color w:val="auto"/>
                <w:w w:val="97"/>
              </w:rPr>
              <w:t>(1.7)</w:t>
            </w:r>
          </w:p>
        </w:tc>
        <w:tc>
          <w:tcPr>
            <w:tcW w:w="0" w:type="dxa"/>
            <w:vAlign w:val="bottom"/>
          </w:tcPr>
          <w:p>
            <w:pPr>
              <w:spacing w:after="0"/>
              <w:rPr>
                <w:sz w:val="1"/>
                <w:szCs w:val="1"/>
                <w:color w:val="auto"/>
              </w:rPr>
            </w:pPr>
          </w:p>
        </w:tc>
      </w:tr>
      <w:tr>
        <w:trPr>
          <w:trHeight w:val="226"/>
        </w:trPr>
        <w:tc>
          <w:tcPr>
            <w:tcW w:w="41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14"/>
                <w:szCs w:val="14"/>
                <w:color w:val="auto"/>
              </w:rPr>
              <w:t>(5)</w:t>
            </w:r>
          </w:p>
        </w:tc>
        <w:tc>
          <w:tcPr>
            <w:tcW w:w="1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1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388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rPr>
              <w:t>379</w:t>
            </w: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61"/>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302"/>
              <w:spacing w:after="0"/>
              <w:rPr>
                <w:sz w:val="20"/>
                <w:szCs w:val="20"/>
                <w:color w:val="auto"/>
              </w:rPr>
            </w:pPr>
            <w:r>
              <w:rPr>
                <w:rFonts w:ascii="Times New Roman" w:cs="Times New Roman" w:eastAsia="Times New Roman" w:hAnsi="Times New Roman"/>
                <w:sz w:val="16"/>
                <w:szCs w:val="16"/>
                <w:color w:val="auto"/>
                <w:w w:val="97"/>
              </w:rPr>
              <w:t>(3.1)</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15" w:hanging="315"/>
        <w:spacing w:after="0" w:line="254" w:lineRule="auto"/>
        <w:tabs>
          <w:tab w:leader="none" w:pos="30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shown before discounts, commissions and the allocation of casino revenues to rooms, food and beverage and other revenues for services provided to casino customers on a complimentary basis.</w:t>
      </w:r>
    </w:p>
    <w:p>
      <w:pPr>
        <w:ind w:left="315" w:hanging="315"/>
        <w:spacing w:after="0" w:line="255" w:lineRule="auto"/>
        <w:tabs>
          <w:tab w:leader="none" w:pos="307"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315" w:hanging="315"/>
        <w:spacing w:after="0"/>
        <w:tabs>
          <w:tab w:leader="none" w:pos="3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10" w:lineRule="exact"/>
        <w:rPr>
          <w:rFonts w:ascii="Times New Roman" w:cs="Times New Roman" w:eastAsia="Times New Roman" w:hAnsi="Times New Roman"/>
          <w:sz w:val="14"/>
          <w:szCs w:val="14"/>
          <w:color w:val="auto"/>
        </w:rPr>
      </w:pPr>
    </w:p>
    <w:p>
      <w:pPr>
        <w:ind w:left="315" w:hanging="315"/>
        <w:spacing w:after="0"/>
        <w:tabs>
          <w:tab w:leader="none" w:pos="3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ind w:left="315" w:hanging="315"/>
        <w:spacing w:after="0"/>
        <w:tabs>
          <w:tab w:leader="none" w:pos="3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5" w:lineRule="exact"/>
        <w:rPr>
          <w:rFonts w:ascii="Times New Roman" w:cs="Times New Roman" w:eastAsia="Times New Roman" w:hAnsi="Times New Roman"/>
          <w:sz w:val="14"/>
          <w:szCs w:val="14"/>
          <w:color w:val="auto"/>
        </w:rPr>
      </w:pPr>
    </w:p>
    <w:p>
      <w:pPr>
        <w:ind w:left="315" w:hanging="315"/>
        <w:spacing w:after="0"/>
        <w:tabs>
          <w:tab w:leader="none" w:pos="315"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EBITDAR and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35"/>
          </w:cols>
          <w:pgMar w:left="325" w:top="8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Lauren Seiler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2026-02-12T15:12:38Z</dcterms:created>
  <dcterms:modified xsi:type="dcterms:W3CDTF">2026-02-12T15:12:38Z</dcterms:modified>
</cp:coreProperties>
</file>