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64770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16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92710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9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0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80"/>
          </w:cols>
          <w:pgMar w:left="240" w:top="230" w:right="279" w:bottom="1440" w:gutter="0" w:footer="0" w:header="0"/>
        </w:sectPr>
      </w:pPr>
    </w:p>
    <w:p>
      <w:pPr>
        <w:spacing w:after="0" w:line="27"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22" w:lineRule="exact"/>
        <w:rPr>
          <w:sz w:val="24"/>
          <w:szCs w:val="24"/>
          <w:color w:val="auto"/>
        </w:rPr>
      </w:pPr>
    </w:p>
    <w:p>
      <w:pPr>
        <w:sectPr>
          <w:pgSz w:w="11900" w:h="16838" w:orient="portrait"/>
          <w:cols w:equalWidth="0" w:num="2">
            <w:col w:w="2680" w:space="720"/>
            <w:col w:w="7980"/>
          </w:cols>
          <w:pgMar w:left="240" w:top="230" w:right="279" w:bottom="1440" w:gutter="0" w:footer="0" w:header="0"/>
          <w:type w:val="continuous"/>
        </w:sectPr>
      </w:pPr>
    </w:p>
    <w:p>
      <w:pPr>
        <w:jc w:val="center"/>
        <w:ind w:right="-39"/>
        <w:spacing w:after="0"/>
        <w:rPr>
          <w:sz w:val="20"/>
          <w:szCs w:val="20"/>
          <w:color w:val="auto"/>
        </w:rPr>
      </w:pPr>
      <w:r>
        <w:rPr>
          <w:rFonts w:ascii="Arial" w:cs="Arial" w:eastAsia="Arial" w:hAnsi="Arial"/>
          <w:sz w:val="15"/>
          <w:szCs w:val="15"/>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105410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type w:val="continuous"/>
        </w:sectPr>
      </w:pP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766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w w:val="90"/>
              </w:rPr>
              <w:t>Nevada</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88-0494875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660" w:type="dxa"/>
            <w:vAlign w:val="bottom"/>
            <w:gridSpan w:val="3"/>
          </w:tcPr>
          <w:p>
            <w:pPr>
              <w:jc w:val="center"/>
              <w:ind w:right="276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right="2760"/>
              <w:spacing w:after="0"/>
              <w:rPr>
                <w:sz w:val="20"/>
                <w:szCs w:val="20"/>
                <w:color w:val="auto"/>
              </w:rPr>
            </w:pPr>
            <w:r>
              <w:rPr>
                <w:rFonts w:ascii="Arial" w:cs="Arial" w:eastAsia="Arial" w:hAnsi="Arial"/>
                <w:sz w:val="14"/>
                <w:szCs w:val="14"/>
                <w:b w:val="1"/>
                <w:bCs w:val="1"/>
                <w:color w:val="auto"/>
                <w:w w:val="89"/>
              </w:rPr>
              <w:t>incorporation or organization)</w:t>
            </w: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Identification Number)</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7660" w:type="dxa"/>
            <w:vAlign w:val="bottom"/>
            <w:gridSpan w:val="3"/>
          </w:tcPr>
          <w:p>
            <w:pPr>
              <w:jc w:val="center"/>
              <w:ind w:left="2983"/>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7660" w:type="dxa"/>
            <w:vAlign w:val="bottom"/>
            <w:gridSpan w:val="3"/>
          </w:tcPr>
          <w:p>
            <w:pPr>
              <w:jc w:val="center"/>
              <w:ind w:left="2963"/>
              <w:spacing w:after="0" w:line="147" w:lineRule="exact"/>
              <w:rPr>
                <w:sz w:val="20"/>
                <w:szCs w:val="20"/>
                <w:color w:val="auto"/>
              </w:rPr>
            </w:pPr>
            <w:r>
              <w:rPr>
                <w:rFonts w:ascii="Arial" w:cs="Arial" w:eastAsia="Arial" w:hAnsi="Arial"/>
                <w:sz w:val="14"/>
                <w:szCs w:val="14"/>
                <w:b w:val="1"/>
                <w:bCs w:val="1"/>
                <w:color w:val="auto"/>
                <w:w w:val="86"/>
              </w:rPr>
              <w:t>(Address of principal executive offices)(Zip Code)</w:t>
            </w: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6560" w:type="dxa"/>
            <w:vAlign w:val="bottom"/>
            <w:gridSpan w:val="2"/>
          </w:tcPr>
          <w:p>
            <w:pPr>
              <w:jc w:val="center"/>
              <w:ind w:left="4063"/>
              <w:spacing w:after="0"/>
              <w:rPr>
                <w:sz w:val="20"/>
                <w:szCs w:val="20"/>
                <w:color w:val="auto"/>
              </w:rPr>
            </w:pPr>
            <w:r>
              <w:rPr>
                <w:rFonts w:ascii="Arial" w:cs="Arial" w:eastAsia="Arial" w:hAnsi="Arial"/>
                <w:sz w:val="18"/>
                <w:szCs w:val="18"/>
                <w:b w:val="1"/>
                <w:bCs w:val="1"/>
                <w:color w:val="auto"/>
                <w:w w:val="89"/>
              </w:rPr>
              <w:t>(702) 770-7555</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left="2963"/>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40" w:type="dxa"/>
            <w:vAlign w:val="bottom"/>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660" w:type="dxa"/>
            <w:vAlign w:val="bottom"/>
            <w:gridSpan w:val="3"/>
          </w:tcPr>
          <w:p>
            <w:pPr>
              <w:jc w:val="center"/>
              <w:ind w:left="2963"/>
              <w:spacing w:after="0"/>
              <w:rPr>
                <w:sz w:val="20"/>
                <w:szCs w:val="20"/>
                <w:color w:val="auto"/>
              </w:rPr>
            </w:pPr>
            <w:r>
              <w:rPr>
                <w:rFonts w:ascii="Arial" w:cs="Arial" w:eastAsia="Arial" w:hAnsi="Arial"/>
                <w:sz w:val="14"/>
                <w:szCs w:val="14"/>
                <w:b w:val="1"/>
                <w:bCs w:val="1"/>
                <w:color w:val="auto"/>
                <w:w w:val="85"/>
              </w:rPr>
              <w:t>Securities registered pursuant to Section 12(b) of the Act:</w:t>
            </w: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4140" w:type="dxa"/>
            <w:vAlign w:val="bottom"/>
          </w:tcPr>
          <w:p>
            <w:pPr>
              <w:spacing w:after="0"/>
              <w:rPr>
                <w:sz w:val="23"/>
                <w:szCs w:val="23"/>
                <w:color w:val="auto"/>
              </w:rPr>
            </w:pPr>
          </w:p>
        </w:tc>
        <w:tc>
          <w:tcPr>
            <w:tcW w:w="35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4"/>
              </w:rPr>
              <w:t>None</w:t>
            </w: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7660" w:type="dxa"/>
            <w:vAlign w:val="bottom"/>
            <w:gridSpan w:val="3"/>
          </w:tcPr>
          <w:p>
            <w:pPr>
              <w:jc w:val="center"/>
              <w:ind w:left="2983"/>
              <w:spacing w:after="0"/>
              <w:rPr>
                <w:sz w:val="20"/>
                <w:szCs w:val="20"/>
                <w:color w:val="auto"/>
              </w:rPr>
            </w:pPr>
            <w:r>
              <w:rPr>
                <w:rFonts w:ascii="Arial" w:cs="Arial" w:eastAsia="Arial" w:hAnsi="Arial"/>
                <w:sz w:val="14"/>
                <w:szCs w:val="14"/>
                <w:b w:val="1"/>
                <w:bCs w:val="1"/>
                <w:color w:val="auto"/>
                <w:w w:val="85"/>
              </w:rPr>
              <w:t>Securities registered pursuant to Section 12(g) of the Act:</w:t>
            </w: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140" w:type="dxa"/>
            <w:vAlign w:val="bottom"/>
          </w:tcPr>
          <w:p>
            <w:pPr>
              <w:spacing w:after="0"/>
              <w:rPr>
                <w:sz w:val="22"/>
                <w:szCs w:val="22"/>
                <w:color w:val="auto"/>
              </w:rPr>
            </w:pPr>
          </w:p>
        </w:tc>
        <w:tc>
          <w:tcPr>
            <w:tcW w:w="35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4"/>
              </w:rPr>
              <w:t>None</w:t>
            </w: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4140" w:type="dxa"/>
            <w:vAlign w:val="bottom"/>
          </w:tcPr>
          <w:p>
            <w:pPr>
              <w:spacing w:after="0"/>
              <w:rPr>
                <w:sz w:val="15"/>
                <w:szCs w:val="15"/>
                <w:color w:val="auto"/>
              </w:rPr>
            </w:pPr>
          </w:p>
        </w:tc>
        <w:tc>
          <w:tcPr>
            <w:tcW w:w="35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7"/>
              </w:rPr>
              <w:t>(Title of Class)</w:t>
            </w: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40" w:type="dxa"/>
            <w:vAlign w:val="bottom"/>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1840" w:type="dxa"/>
            <w:vAlign w:val="bottom"/>
            <w:gridSpan w:val="2"/>
          </w:tcPr>
          <w:p>
            <w:pPr>
              <w:spacing w:after="0"/>
              <w:rPr>
                <w:sz w:val="8"/>
                <w:szCs w:val="8"/>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6"/>
        </w:trPr>
        <w:tc>
          <w:tcPr>
            <w:tcW w:w="840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40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right="3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4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3" w:lineRule="exact"/>
        <w:rPr>
          <w:sz w:val="24"/>
          <w:szCs w:val="24"/>
          <w:color w:val="auto"/>
        </w:rPr>
      </w:pPr>
    </w:p>
    <w:p>
      <w:pPr>
        <w:ind w:right="320"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 w:lineRule="exact"/>
        <w:rPr>
          <w:sz w:val="24"/>
          <w:szCs w:val="24"/>
          <w:color w:val="auto"/>
        </w:rPr>
      </w:pPr>
    </w:p>
    <w:p>
      <w:pPr>
        <w:ind w:left="360"/>
        <w:spacing w:after="0" w:line="207" w:lineRule="exact"/>
        <w:tabs>
          <w:tab w:leader="none" w:pos="2500" w:val="left"/>
          <w:tab w:leader="none" w:pos="4280" w:val="left"/>
          <w:tab w:leader="none" w:pos="6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7" w:lineRule="exact"/>
        <w:rPr>
          <w:sz w:val="24"/>
          <w:szCs w:val="24"/>
          <w:color w:val="auto"/>
        </w:rPr>
      </w:pPr>
    </w:p>
    <w:p>
      <w:pPr>
        <w:ind w:left="360"/>
        <w:spacing w:after="0" w:line="207" w:lineRule="exact"/>
        <w:tabs>
          <w:tab w:leader="none" w:pos="8460" w:val="left"/>
          <w:tab w:leader="none" w:pos="91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100" w:firstLine="342"/>
        <w:spacing w:after="0" w:line="268" w:lineRule="auto"/>
        <w:rPr>
          <w:sz w:val="20"/>
          <w:szCs w:val="20"/>
          <w:color w:val="auto"/>
        </w:rPr>
      </w:pPr>
      <w:r>
        <w:rPr>
          <w:rFonts w:ascii="Arial" w:cs="Arial" w:eastAsia="Arial" w:hAnsi="Arial"/>
          <w:sz w:val="18"/>
          <w:szCs w:val="18"/>
          <w:color w:val="auto"/>
        </w:rPr>
        <w:t>The aggregate market value of the registrant’s voting interests held by non-affiliates on June 30, 2009 was $0. Wynn Resorts Holdings, LLC owns all of the membership interests of the registrant.</w:t>
      </w:r>
    </w:p>
    <w:p>
      <w:pPr>
        <w:spacing w:after="0" w:line="31" w:lineRule="exact"/>
        <w:rPr>
          <w:sz w:val="24"/>
          <w:szCs w:val="24"/>
          <w:color w:val="auto"/>
        </w:rPr>
      </w:pPr>
    </w:p>
    <w:p>
      <w:pPr>
        <w:ind w:right="100" w:firstLine="342"/>
        <w:spacing w:after="0" w:line="275" w:lineRule="auto"/>
        <w:rPr>
          <w:sz w:val="20"/>
          <w:szCs w:val="20"/>
          <w:color w:val="auto"/>
        </w:rPr>
      </w:pPr>
      <w:r>
        <w:rPr>
          <w:rFonts w:ascii="Arial" w:cs="Arial" w:eastAsia="Arial" w:hAnsi="Arial"/>
          <w:sz w:val="18"/>
          <w:szCs w:val="18"/>
          <w:b w:val="1"/>
          <w:bCs w:val="1"/>
          <w:color w:val="auto"/>
        </w:rPr>
        <w:t>The registrant meets the conditions set forth in General Instruction I(1)(a) and (b) of Form 10-K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80" w:type="dxa"/>
            <w:vAlign w:val="bottom"/>
            <w:gridSpan w:val="14"/>
          </w:tcPr>
          <w:p>
            <w:pPr>
              <w:ind w:left="80"/>
              <w:spacing w:after="0"/>
              <w:rPr>
                <w:sz w:val="20"/>
                <w:szCs w:val="20"/>
                <w:color w:val="auto"/>
              </w:rPr>
            </w:pPr>
            <w:r>
              <w:rPr>
                <w:rFonts w:ascii="Arial" w:cs="Arial" w:eastAsia="Arial" w:hAnsi="Arial"/>
                <w:sz w:val="18"/>
                <w:szCs w:val="18"/>
                <w:b w:val="1"/>
                <w:bCs w:val="1"/>
                <w:color w:val="auto"/>
              </w:rPr>
              <w:t>TABLE OF CONTENTS</w:t>
            </w:r>
          </w:p>
        </w:tc>
        <w:tc>
          <w:tcPr>
            <w:tcW w:w="1340" w:type="dxa"/>
            <w:vAlign w:val="bottom"/>
          </w:tcPr>
          <w:p>
            <w:pPr>
              <w:spacing w:after="0"/>
              <w:rPr>
                <w:sz w:val="19"/>
                <w:szCs w:val="19"/>
                <w:color w:val="auto"/>
              </w:rPr>
            </w:pPr>
          </w:p>
        </w:tc>
      </w:tr>
      <w:tr>
        <w:trPr>
          <w:trHeight w:val="326"/>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80" w:type="dxa"/>
            <w:vAlign w:val="bottom"/>
            <w:gridSpan w:val="9"/>
          </w:tcPr>
          <w:p>
            <w:pPr>
              <w:jc w:val="center"/>
              <w:ind w:right="382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1340" w:type="dxa"/>
            <w:vAlign w:val="bottom"/>
          </w:tcPr>
          <w:p>
            <w:pPr>
              <w:spacing w:after="0"/>
              <w:rPr>
                <w:sz w:val="24"/>
                <w:szCs w:val="24"/>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6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60" w:type="dxa"/>
            <w:vAlign w:val="bottom"/>
            <w:tcBorders>
              <w:top w:val="single" w:sz="8" w:color="0000EE"/>
            </w:tcBorders>
          </w:tcPr>
          <w:p>
            <w:pPr>
              <w:spacing w:after="0"/>
              <w:rPr>
                <w:sz w:val="24"/>
                <w:szCs w:val="24"/>
                <w:color w:val="auto"/>
              </w:rPr>
            </w:pPr>
          </w:p>
        </w:tc>
        <w:tc>
          <w:tcPr>
            <w:tcW w:w="3820" w:type="dxa"/>
            <w:vAlign w:val="bottom"/>
            <w:gridSpan w:val="8"/>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60" w:type="dxa"/>
            <w:vAlign w:val="bottom"/>
            <w:gridSpan w:val="2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Unresolved Staff Comments</w:t>
              </w:r>
            </w:hyperlink>
          </w:p>
        </w:tc>
        <w:tc>
          <w:tcPr>
            <w:tcW w:w="7060" w:type="dxa"/>
            <w:vAlign w:val="bottom"/>
            <w:gridSpan w:val="18"/>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Properties</w:t>
              </w:r>
            </w:hyperlink>
          </w:p>
        </w:tc>
        <w:tc>
          <w:tcPr>
            <w:tcW w:w="8340" w:type="dxa"/>
            <w:vAlign w:val="bottom"/>
            <w:gridSpan w:val="24"/>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060" w:type="dxa"/>
            <w:vAlign w:val="bottom"/>
            <w:gridSpan w:val="2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060" w:type="dxa"/>
            <w:vAlign w:val="bottom"/>
            <w:gridSpan w:val="2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Submission of Matters to a Vote of Security Holders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04"/>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0"/>
          </w:tcPr>
          <w:p>
            <w:pPr>
              <w:jc w:val="center"/>
              <w:ind w:right="3780"/>
              <w:spacing w:after="0"/>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PART II</w:t>
              </w:r>
            </w:hyperlink>
          </w:p>
        </w:tc>
        <w:tc>
          <w:tcPr>
            <w:tcW w:w="134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Market for Registrant’s Common Equity, Related Stockholder Matters and Issuer Purchases of Equity Securities</w:t>
              </w:r>
            </w:hyperlink>
          </w:p>
        </w:tc>
        <w:tc>
          <w:tcPr>
            <w:tcW w:w="1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060" w:type="dxa"/>
            <w:vAlign w:val="bottom"/>
            <w:gridSpan w:val="2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060" w:type="dxa"/>
            <w:vAlign w:val="bottom"/>
            <w:gridSpan w:val="2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8"/>
          </w:tcPr>
          <w:p>
            <w:pPr>
              <w:spacing w:after="0"/>
              <w:rPr>
                <w:sz w:val="17"/>
                <w:szCs w:val="17"/>
                <w:color w:val="auto"/>
              </w:rPr>
            </w:pPr>
          </w:p>
        </w:tc>
        <w:tc>
          <w:tcPr>
            <w:tcW w:w="2760" w:type="dxa"/>
            <w:vAlign w:val="bottom"/>
            <w:gridSpan w:val="4"/>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9060" w:type="dxa"/>
            <w:vAlign w:val="bottom"/>
            <w:gridSpan w:val="2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Financial Statements and Supplementary Data</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Changes in and Disagreements With Accountants on Accounting and Financial Disclosure</w:t>
              </w:r>
            </w:hyperlink>
          </w:p>
        </w:tc>
        <w:tc>
          <w:tcPr>
            <w:tcW w:w="2700" w:type="dxa"/>
            <w:vAlign w:val="bottom"/>
            <w:gridSpan w:val="3"/>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9060" w:type="dxa"/>
            <w:vAlign w:val="bottom"/>
            <w:gridSpan w:val="2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7340" w:type="dxa"/>
            <w:vAlign w:val="bottom"/>
            <w:gridSpan w:val="20"/>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304"/>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gridSpan w:val="12"/>
          </w:tcPr>
          <w:p>
            <w:pPr>
              <w:jc w:val="center"/>
              <w:ind w:right="3380"/>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III</w:t>
              </w:r>
            </w:hyperlink>
          </w:p>
        </w:tc>
        <w:tc>
          <w:tcPr>
            <w:tcW w:w="1340" w:type="dxa"/>
            <w:vAlign w:val="bottom"/>
          </w:tcPr>
          <w:p>
            <w:pPr>
              <w:spacing w:after="0"/>
              <w:rPr>
                <w:sz w:val="24"/>
                <w:szCs w:val="24"/>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Directors, Executive Officers and Corporate Governance</w:t>
              </w:r>
            </w:hyperlink>
          </w:p>
        </w:tc>
        <w:tc>
          <w:tcPr>
            <w:tcW w:w="620" w:type="dxa"/>
            <w:vAlign w:val="bottom"/>
            <w:gridSpan w:val="2"/>
          </w:tcPr>
          <w:p>
            <w:pPr>
              <w:spacing w:after="0"/>
              <w:rPr>
                <w:sz w:val="24"/>
                <w:szCs w:val="24"/>
                <w:color w:val="auto"/>
              </w:rPr>
            </w:pPr>
          </w:p>
        </w:tc>
        <w:tc>
          <w:tcPr>
            <w:tcW w:w="720" w:type="dxa"/>
            <w:vAlign w:val="bottom"/>
            <w:tcBorders>
              <w:top w:val="single" w:sz="8" w:color="0000EE"/>
            </w:tcBorders>
            <w:gridSpan w:val="6"/>
          </w:tcPr>
          <w:p>
            <w:pPr>
              <w:spacing w:after="0"/>
              <w:rPr>
                <w:sz w:val="24"/>
                <w:szCs w:val="24"/>
                <w:color w:val="auto"/>
              </w:rPr>
            </w:pPr>
          </w:p>
        </w:tc>
        <w:tc>
          <w:tcPr>
            <w:tcW w:w="3720" w:type="dxa"/>
            <w:vAlign w:val="bottom"/>
            <w:gridSpan w:val="5"/>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9060" w:type="dxa"/>
            <w:vAlign w:val="bottom"/>
            <w:gridSpan w:val="2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Executive Compensation</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Security Ownership of Certain Beneficial Owners and Management and Related Stockholder Matters</w:t>
              </w:r>
            </w:hyperlink>
          </w:p>
        </w:tc>
        <w:tc>
          <w:tcPr>
            <w:tcW w:w="1940" w:type="dxa"/>
            <w:vAlign w:val="bottom"/>
            <w:gridSpan w:val="2"/>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34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Certain Relationships and Related Transactions, and Director Independence</w:t>
              </w:r>
            </w:hyperlink>
          </w:p>
        </w:tc>
        <w:tc>
          <w:tcPr>
            <w:tcW w:w="3720" w:type="dxa"/>
            <w:vAlign w:val="bottom"/>
            <w:gridSpan w:val="5"/>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060" w:type="dxa"/>
            <w:vAlign w:val="bottom"/>
            <w:gridSpan w:val="2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Principal Accountant Fees and Services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304"/>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40" w:type="dxa"/>
            <w:vAlign w:val="bottom"/>
            <w:gridSpan w:val="11"/>
          </w:tcPr>
          <w:p>
            <w:pPr>
              <w:jc w:val="center"/>
              <w:ind w:right="3740"/>
              <w:spacing w:after="0"/>
              <w:rPr>
                <w:rFonts w:ascii="Arial" w:cs="Arial" w:eastAsia="Arial" w:hAnsi="Arial"/>
                <w:sz w:val="18"/>
                <w:szCs w:val="18"/>
                <w:b w:val="1"/>
                <w:bCs w:val="1"/>
                <w:color w:val="0000EE"/>
                <w:w w:val="98"/>
              </w:rPr>
            </w:pPr>
            <w:hyperlink w:anchor="page73">
              <w:r>
                <w:rPr>
                  <w:rFonts w:ascii="Arial" w:cs="Arial" w:eastAsia="Arial" w:hAnsi="Arial"/>
                  <w:sz w:val="18"/>
                  <w:szCs w:val="18"/>
                  <w:b w:val="1"/>
                  <w:bCs w:val="1"/>
                  <w:color w:val="0000EE"/>
                  <w:w w:val="98"/>
                </w:rPr>
                <w:t>PART IV</w:t>
              </w:r>
            </w:hyperlink>
          </w:p>
        </w:tc>
        <w:tc>
          <w:tcPr>
            <w:tcW w:w="1340" w:type="dxa"/>
            <w:vAlign w:val="bottom"/>
          </w:tcPr>
          <w:p>
            <w:pPr>
              <w:spacing w:after="0"/>
              <w:rPr>
                <w:sz w:val="24"/>
                <w:szCs w:val="24"/>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640" w:type="dxa"/>
            <w:vAlign w:val="bottom"/>
            <w:gridSpan w:val="1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Exhibits and Financial Statement Schedules</w:t>
              </w:r>
            </w:hyperlink>
          </w:p>
        </w:tc>
        <w:tc>
          <w:tcPr>
            <w:tcW w:w="680" w:type="dxa"/>
            <w:vAlign w:val="bottom"/>
            <w:tcBorders>
              <w:top w:val="single" w:sz="8" w:color="0000EE"/>
            </w:tcBorders>
            <w:gridSpan w:val="4"/>
          </w:tcPr>
          <w:p>
            <w:pPr>
              <w:spacing w:after="0"/>
              <w:rPr>
                <w:sz w:val="24"/>
                <w:szCs w:val="24"/>
                <w:color w:val="auto"/>
              </w:rPr>
            </w:pPr>
          </w:p>
        </w:tc>
        <w:tc>
          <w:tcPr>
            <w:tcW w:w="3740" w:type="dxa"/>
            <w:vAlign w:val="bottom"/>
            <w:gridSpan w:val="6"/>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196"/>
        </w:trPr>
        <w:tc>
          <w:tcPr>
            <w:tcW w:w="1020" w:type="dxa"/>
            <w:vAlign w:val="bottom"/>
            <w:gridSpan w:val="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383"/>
        </w:trPr>
        <w:tc>
          <w:tcPr>
            <w:tcW w:w="7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240" w:type="dxa"/>
            <w:vAlign w:val="bottom"/>
            <w:gridSpan w:val="18"/>
          </w:tcPr>
          <w:p>
            <w:pPr>
              <w:ind w:left="46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and “Encore at Wynn Las Vegas”, or “Encore” which is located adjacent to and is connected with Wynn Las Vegas. Wynn Las Vegas, LLC was formed on April 17, 2001 as a Nevada limited liability company. Unless the context otherwise requires, all references herein to the “Company,” “we,” “us” or “our,” or similar terms, refer to Wynn Las Vegas, LLC and its consolidated subsidiaries. The sole member of the Company is Wynn Resorts Holdings, LLC (“Holdings”). The sole member of Holdings is Wynn Resorts, Limited (“Wynn Resorts”).</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Las Vegas Capital Corp. (“Wynn Capital”) is a wholly owned subsidiary of Wynn Las Vegas, LLC, incorporated on June 3, 2002, solely for the purpose of obtaining financing for Wynn Las Vegas. Wynn Capital is authorized to issue 2,000 shares of common stock, par value $0.01. At December 31, 2009, the Company owned the one share that was issued and outstanding. Wynn Capital has neither any significant net assets nor any operating activity. Its sole function is to serve as the co-issuer of the mortgage notes described below.</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commenced operations with the opening of Wynn Las Vegas on April 28, 2005. We opened Encore on December 22, 2008. Prior to April 28, 2005, we were solely a development stage company.</w:t>
      </w:r>
    </w:p>
    <w:p>
      <w:pPr>
        <w:spacing w:after="0" w:line="118"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Due to a number of factors, including disruptions in global economies, stagnant credit markets, and reduced consumer spending, 2009 was a difficult year for the U.S. casino resort business. Auto traffic into Las Vegas, airline capacity and air travel to McCarran International Airport has declined, resulting in lower casino volumes and a reduced demand for hotel rooms. The current adverse global economic conditions, as well as the addition of new supply in late 2009, will likely continue to cause us to experience lower than historical hotel occupancy rates, room rates, casino volumes and profitability.</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We file annual reports on Form 10-K, quarterly reports on Form 10-Q, current reports on Form 8-K and amendments of such reports with the Securities and Exchange Commission (“SEC”). Any document we file may be inspected, without charge, at the SEC’s public reference room at 100 F Street, N.E. Washington, D.C. 20549 or at the SEC’s internet site address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Information related to the operation of the SEC’s public reference room may be obtained by calling the SEC at 1-800-SEC-0330. In addition, through its own internet address at </w:t>
      </w:r>
      <w:r>
        <w:rPr>
          <w:rFonts w:ascii="Arial" w:cs="Arial" w:eastAsia="Arial" w:hAnsi="Arial"/>
          <w:sz w:val="16"/>
          <w:szCs w:val="16"/>
          <w:i w:val="1"/>
          <w:iCs w:val="1"/>
          <w:color w:val="auto"/>
        </w:rPr>
        <w:t>www.wynnresorts.com</w:t>
      </w:r>
      <w:r>
        <w:rPr>
          <w:rFonts w:ascii="Arial" w:cs="Arial" w:eastAsia="Arial" w:hAnsi="Arial"/>
          <w:sz w:val="16"/>
          <w:szCs w:val="16"/>
          <w:color w:val="auto"/>
        </w:rPr>
        <w:t>, Wynn Resorts provides a hyperlink to a third-party SEC filing website which posts our filings as soon as reasonably practicable, where they can be reviewed without charge. Information found on our website is not a part of this Annual Report on Form 10-K.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that Wynn Las Vegas offers exceptional accommodations, amenities and service with 2,716 rooms and suites, including 36 fairway villas and 6 private-entry villas for our premium guests. The Tower Suites at Wynn Las Vegas has received both the Forbes five-star and AAA five-diamond distinctions for 2010. The Spa at Wynn Las Vegas earned five-star recognition from Forbes for the second year in a row. The Spa at Wynn Las Vegas and the Spa at Encore are the only spas in Las Vegas to be recognized with the Forbes five-star award.</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approximately 110,000 square foot casino features approximately 130 table games, a baccarat salon, private VIP gaming rooms, a poker room, approximately 1,920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Cartier, Chanel, Dior, Graff, Louis Vuitton, Manolo Blahnik, Oscar de la Renta and Vertu. Wynn Las Vegas also has a showroom which features “Le Rêve”, a water-based theatrical production. We believe that the unique experience of Wynn Las Vegas drives the significant visitation experienced since opening.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w:t>
      </w:r>
    </w:p>
    <w:p>
      <w:pPr>
        <w:spacing w:after="0" w:line="8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Encore is located immediately adjacent to and is connected with Wynn Las Vegas and features a 2,034 all-suite hotel as well as an approximately 76,000 square foot casino with approximately 90 table games, a baccarat salon, private VIP gaming rooms, approximately 790 slot machines and a sports book. In its first full year of operations, the Encore Tower Suites has received both the Forbes five-star and AAA five-diamond awards. The Spa at Encore also earned five-star recognition from Forbes. The resort’s 12 food and beverage outlets include five restaurants, many of which feature award winning chefs. Encore also offers a night club, a spa and salon, approximately 60,000 square feet of meeting space and approximately 27,000 square feet of upscale retail outlets featuring boutiques from Hermes, Chanel and others. The Encore Theater featured several headliner entertainment acts during 2009, including the return of Garth Brooks. Our agreement with Garth Brooks provides for the performance of 300 shows in the Encore Theater before 2014, but is cancelable by either party under certain conditions.</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Construction is currently underway to replace Encore’s porte-cochere on Las Vegas Boulevard with the Encore Beach Club that will feature pools, food and beverage, and nightlife offerings. The total project budget for the Encore Beach Club is approximately $68 million. The Beach Club is expected to open on schedule in the second quarter of 2010.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we have made and continue to make certain enhancements and refinements to Wynn Las Vegas and Encore. We have incurred and will continue to incur these capital expenditures at Wynn Las Vegas and Encore.</w:t>
      </w:r>
    </w:p>
    <w:p>
      <w:pPr>
        <w:spacing w:after="0" w:line="12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Approximately 142 acres of land adjacent to both Wynn Las Vegas and Encore is currently improved with a golf course. While we may develop this property in the future, we have no immediate plans to do so.</w:t>
      </w:r>
    </w:p>
    <w:p>
      <w:pPr>
        <w:spacing w:after="0" w:line="118" w:lineRule="exact"/>
        <w:rPr>
          <w:sz w:val="20"/>
          <w:szCs w:val="20"/>
          <w:color w:val="auto"/>
        </w:rPr>
      </w:pPr>
    </w:p>
    <w:p>
      <w:pPr>
        <w:ind w:right="300" w:firstLine="456"/>
        <w:spacing w:after="0" w:line="375" w:lineRule="auto"/>
        <w:rPr>
          <w:sz w:val="20"/>
          <w:szCs w:val="20"/>
          <w:color w:val="auto"/>
        </w:rPr>
      </w:pPr>
      <w:r>
        <w:rPr>
          <w:rFonts w:ascii="Arial" w:cs="Arial" w:eastAsia="Arial" w:hAnsi="Arial"/>
          <w:sz w:val="18"/>
          <w:szCs w:val="18"/>
          <w:color w:val="auto"/>
        </w:rPr>
        <w:t xml:space="preserve">We continually seek out new opportunities for additional gaming or related businesses, in Las Vegas, other markets in the United States and worldwide. </w:t>
      </w:r>
      <w:r>
        <w:rPr>
          <w:rFonts w:ascii="Arial" w:cs="Arial" w:eastAsia="Arial" w:hAnsi="Arial"/>
          <w:sz w:val="18"/>
          <w:szCs w:val="18"/>
          <w:b w:val="1"/>
          <w:bCs w:val="1"/>
          <w:color w:val="auto"/>
        </w:rPr>
        <w:t>Our Strategy</w:t>
      </w:r>
    </w:p>
    <w:p>
      <w:pPr>
        <w:spacing w:after="0" w:line="1"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properties were designed and built to provide a premium experience. Wynn Las Vegas and Encore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0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Mr. Wynn and his team bring significant experience in designing, developing and operating casino resorts. The senior executive team has an average of approximately 25 years of experience in the hotel and gaming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industries. We also have an approximately 70-person design, development and construction affiliate, the senior management of which has significant experience in all major construction disciplines.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Las Vegas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 customer. Wynn Las Vegas and Encore are located on the Las Vegas Strip and compete with other high-quality resorts and hotel casinos on the Strip, those in downtown Las Vegas, as well as a large number of hotels in and near Las Vegas. Many competing properties, such as the Bellagio, Caesars Palace, Luxor Hotel and Casino, Mandalay Bay Resort &amp; Casino, The Mirage, New York-New York Hotel and Casino, Paris Las Vegas, Treasure Island, The Venetian, The Palazzo, the recently opened City Center and others, draw a significant number of visitors and directly compete with our operations. We seek to differentiate Wynn Las Vegas and Encore from other major Las Vegas resorts by concentrating on our fundamental elements of design, atmosphere, personal service and luxury.</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Wynn Las Vegas and Encore will face additional competition from new multi-billion dollar resorts including, without limitation, City Center which, when fully opened, will add approximately 6,000 rooms. Cosmopolitan, a $3.9 billion condo/hotel/casino resort located on the Las Vegas Strip, and the remaining phases of City Center are expected to open in 2010.</w:t>
      </w:r>
    </w:p>
    <w:p>
      <w:pPr>
        <w:spacing w:after="0" w:line="12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In addition, the legalization of casino gaming in or near metropolitan areas from which we attract customers could have a negative effect on our business. New or renovated casinos in Asia, including our properties in Macau, could draw Asian gaming customers away from Las Vegas.</w:t>
      </w:r>
    </w:p>
    <w:p>
      <w:pPr>
        <w:spacing w:after="0" w:line="9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2009, the economic environment in the gaming and hotel markets in Las Vegas continued to experience declines including among other things, a 3.0% decrease in visitation to 36.4 million visitors, a 9.4% decrease in Las Vegas Strip gaming revenue and a 22% decrease in average daily room rates, all as compared to the year ended December 2008. We, along with our competitors, have responded to the deterioration in consumer spending by aggressively marketing and pricing our Las Vegas offerings.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Encore or any other property we may own and operate in the future, we would, to the extent permitted by law, seek to recover our investment by selling the property affected, but we cannot assure you that we would recover its full value.</w:t>
      </w:r>
    </w:p>
    <w:p>
      <w:pPr>
        <w:spacing w:after="0" w:line="102"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Our properties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3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103" w:lineRule="exact"/>
        <w:rPr>
          <w:rFonts w:ascii="Arial" w:cs="Arial" w:eastAsia="Arial" w:hAnsi="Arial"/>
          <w:sz w:val="18"/>
          <w:szCs w:val="18"/>
          <w:color w:val="auto"/>
        </w:rPr>
      </w:pPr>
    </w:p>
    <w:p>
      <w:pPr>
        <w:ind w:left="780" w:right="240" w:hanging="326"/>
        <w:spacing w:after="0" w:line="325"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Wynn Las Vegas’ gaming operations and our financial condition and results of operations.</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and Encore, has been approved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Holdings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registered by the Nevada Gaming Commission as a publicly traded corporation, referred to as a registered company, for the purposes of the Nevada Gaming Control Act. Holdings was found suitable by the Nevada Gaming Commission to own the equity interests of Wynn Las Vegas, LLC and to be registered by the Nevada Gaming Commission as an intermediary company. In addition to being licensed, Wynn Las Vegas, LLC, as an issuer of debt securities that were registered with the SEC, also qualified as a registered company. Wynn Las Vegas Capital Corp., a co-issuer of the debt securities, was not required to be registered or licensed, but may be required to be found suitable as a lender or financing source.</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3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Encore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a registered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or 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0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34"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24"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103"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21"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0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19, 2009, the Nevada Gaming Commission granted us prior approval, subject to certain conditions, to make public offerings for a period of two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0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30"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3"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46"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in Nevada, or is under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26"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26" w:lineRule="exact"/>
        <w:rPr>
          <w:rFonts w:ascii="Arial" w:cs="Arial" w:eastAsia="Arial" w:hAnsi="Arial"/>
          <w:sz w:val="16"/>
          <w:szCs w:val="16"/>
          <w:color w:val="auto"/>
        </w:rPr>
      </w:pPr>
    </w:p>
    <w:p>
      <w:pPr>
        <w:ind w:left="780" w:right="360" w:hanging="326"/>
        <w:spacing w:after="0" w:line="370" w:lineRule="auto"/>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26" w:lineRule="exact"/>
        <w:rPr>
          <w:rFonts w:ascii="Arial" w:cs="Arial" w:eastAsia="Arial" w:hAnsi="Arial"/>
          <w:sz w:val="16"/>
          <w:szCs w:val="16"/>
          <w:color w:val="auto"/>
        </w:rPr>
      </w:pPr>
    </w:p>
    <w:p>
      <w:pPr>
        <w:ind w:left="780" w:right="22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and Encore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we had a total of approximately 12,200 employees.</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2006, we entered into a collective bargaining agreement with the Culinary and Bartenders Union local covering approximately 5,800 of our employees. In May 2007, the dealers at Wynn Las Vegas elected the Transportation Workers Union to represent them. Contract negotiations have concluded with the only remaining item being the duration of the contract. The negotiated agreement is subject to ratification by the bargaining unit and the Transportation Workers Union has advised the Company that they have recommended ratification to the affected employees. Certain other unions may seek to organize the workers at Wynn Las Vegas and Encore. Unionization, pressure to unionize, or other forms of collective bargaining could increase our labor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most important marks are our trademarks and service marks that use the name “WYNN”. Holdings has filed applications with the U.S. Patent and Trademark Office (“PTO”) and various foreign patent and trademark registries, to register a variety of the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13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a mark primarily constituting a surname) is not registerable unless the surname has acquired “secondary meaning.” To date, Holdings has been successful in demonstrating to the PTO such secondary meaning for the Wynn name in certain of the applications based upon Mr. Wynn’s prominence as a resort developer.</w:t>
      </w:r>
    </w:p>
    <w:p>
      <w:pPr>
        <w:spacing w:after="0" w:line="9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7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Singapore, Hong Kong, Taiwan, Japan, certain European countries and various other jurisdictions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throughout the world to register a variety of WYNN-related trademarks and service marks in connection with a variety of goods and services. These marks include many of the same marks filed with the United States Patent and Trademark Office and include “WYNN LAS VEGAS” and “ENCORE.” Some of the applications are based upon ongoing use and others are based upon a bona fide intent to use the marks in the future.</w:t>
      </w:r>
    </w:p>
    <w:p>
      <w:pPr>
        <w:spacing w:after="0" w:line="93"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We have retained counsel and intend to take all steps necessary to not only acquire, but protect our intellectual property rights against unauthorized use throughout the world.</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August 6, 2004, Holdings entered into agreements with Mr. Wynn that confirm and clarify its rights to use the “Wynn” name and Mr. Wynn’s persona in connection with our casino resorts. Under a Surname Rights Agreement, Mr. Wynn has granted Holdings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Holdings the exclusive, royalty-free, worldwide right to use his full name, persona and related rights of publicity for casino resorts and related businesses, together with the ability to sublicense the persona and publicity rights to our affiliates, until October 24, 2017. Holdings has entered into sublicense agreements with us relating to our use of Mr. Wynn’s name and persona, as well as other intellectual property.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set forth in Item 1A (Risk Factors) as well as the following:</w:t>
      </w:r>
    </w:p>
    <w:p>
      <w:pPr>
        <w:spacing w:after="0" w:line="25"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tourism and consumer spending trends given the current domestic and international 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 reaction to adverse economic conditions;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Wynn Las Vegas and Encore for all of our cash flow;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w:t>
      </w:r>
    </w:p>
    <w:p>
      <w:pPr>
        <w:spacing w:after="0" w:line="103"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85"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occurs, our business, financial condition or operating results could be harmed substantially.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Substantial Indebtedness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1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a substantial amount of consolidated debt in relation to our equity. As of December 31, 2009, we had total outstanding debt of approximately $2.6 billion. In addition, our credit agreement and indenture permit us to incur additional indebtedness in the future. Our substantial indebtedness could have important consequences. For example:</w:t>
      </w:r>
    </w:p>
    <w:p>
      <w:pPr>
        <w:spacing w:after="0" w:line="46" w:lineRule="exact"/>
        <w:rPr>
          <w:sz w:val="20"/>
          <w:szCs w:val="20"/>
          <w:color w:val="auto"/>
        </w:rPr>
      </w:pPr>
    </w:p>
    <w:p>
      <w:pPr>
        <w:ind w:left="780" w:right="140" w:hanging="326"/>
        <w:spacing w:after="0" w:line="347" w:lineRule="auto"/>
        <w:tabs>
          <w:tab w:leader="none" w:pos="7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020" w:hanging="215"/>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103" w:lineRule="exact"/>
        <w:rPr>
          <w:rFonts w:ascii="Arial" w:cs="Arial" w:eastAsia="Arial" w:hAnsi="Arial"/>
          <w:sz w:val="18"/>
          <w:szCs w:val="18"/>
          <w:color w:val="auto"/>
        </w:rPr>
      </w:pPr>
    </w:p>
    <w:p>
      <w:pPr>
        <w:ind w:left="1020" w:hanging="215"/>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initiate judicial foreclosure against us; and</w:t>
      </w:r>
    </w:p>
    <w:p>
      <w:pPr>
        <w:spacing w:after="0" w:line="103" w:lineRule="exact"/>
        <w:rPr>
          <w:rFonts w:ascii="Arial" w:cs="Arial" w:eastAsia="Arial" w:hAnsi="Arial"/>
          <w:sz w:val="18"/>
          <w:szCs w:val="18"/>
          <w:color w:val="auto"/>
        </w:rPr>
      </w:pPr>
    </w:p>
    <w:p>
      <w:pPr>
        <w:ind w:left="1020" w:hanging="215"/>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 w:hanging="326"/>
        <w:spacing w:after="0" w:line="306"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required to use a substantial portion of our cash flow from the operations of Wynn Las Vegas and Encore to service and amortize our Wynn Las Vegas indebtedness, which will reduce the amount of available cash, if any, to fund working capital, other capital expenditures and other general corporate purposes, and may give us greater exposure to the current adverse economic and industry condition;</w:t>
      </w:r>
    </w:p>
    <w:p>
      <w:pPr>
        <w:spacing w:after="0" w:line="12" w:lineRule="exact"/>
        <w:rPr>
          <w:rFonts w:ascii="Arial" w:cs="Arial" w:eastAsia="Arial" w:hAnsi="Arial"/>
          <w:sz w:val="16"/>
          <w:szCs w:val="16"/>
          <w:color w:val="auto"/>
        </w:rPr>
      </w:pPr>
    </w:p>
    <w:p>
      <w:pPr>
        <w:ind w:left="780" w:right="20" w:hanging="326"/>
        <w:spacing w:after="0" w:line="255"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due to the current adverse economic and industry conditions, and could fail to generate sufficient cash to fund our liquidity needs and/or fail to satisfy the financial and other restrictive covenants to which we are subject to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48"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37"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w:t>
      </w:r>
    </w:p>
    <w:p>
      <w:pPr>
        <w:spacing w:after="0" w:line="37"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while we do hedge a certain amount of our debt under our credit facilities, rates with respect to a portion of interest we pay will fluctuate with market rates and, accordingly, our interest expense will increase if market interest rates increase; and</w:t>
      </w:r>
    </w:p>
    <w:p>
      <w:pPr>
        <w:spacing w:after="0" w:line="37"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impair the repayment of our credit facilities and first mortgage notes.</w:t>
      </w:r>
    </w:p>
    <w:p>
      <w:pPr>
        <w:spacing w:after="0" w:line="12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Under the terms of the documents governing our debt facilities, we may, subject to certain limitations, be permitted to incur additional indebtedness, including secured senior and subordinated indebtedness. If we incur additional indebtedness, the risks described above will be exacerbated.</w:t>
      </w:r>
    </w:p>
    <w:p>
      <w:pPr>
        <w:spacing w:after="0" w:line="72" w:lineRule="exact"/>
        <w:rPr>
          <w:sz w:val="20"/>
          <w:szCs w:val="20"/>
          <w:color w:val="auto"/>
        </w:rPr>
      </w:pPr>
    </w:p>
    <w:p>
      <w:pPr>
        <w:ind w:left="240" w:right="660"/>
        <w:spacing w:after="0" w:line="325" w:lineRule="auto"/>
        <w:rPr>
          <w:sz w:val="20"/>
          <w:szCs w:val="20"/>
          <w:color w:val="auto"/>
        </w:rPr>
      </w:pPr>
      <w:r>
        <w:rPr>
          <w:rFonts w:ascii="Arial" w:cs="Arial" w:eastAsia="Arial" w:hAnsi="Arial"/>
          <w:sz w:val="16"/>
          <w:szCs w:val="16"/>
          <w:b w:val="1"/>
          <w:bCs w:val="1"/>
          <w:i w:val="1"/>
          <w:iCs w:val="1"/>
          <w:color w:val="auto"/>
        </w:rPr>
        <w:t>The agreements governing our debt facilities contain certain financial covenants and other covenants that restrict our ability to engage in certain transactions and may impair our ability to respond to changing business and economic conditions.</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debt facilities require us to satisfy various financial covenants, which include requirements for a minimum interest coverage ratio and a ratio pertaining to total debt to earnings before interest, tax, depreciation and amortization. If our operations fail to generate adequate cash flow, we may violate those covenants causing a default in our agreements. Future indebtedness or other contracts could contain covenants more restrictive than those contained in our existing debt facilities.</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ability to comply with the terms of our outstanding facilities may be affected by general economic conditions, industry conditions and other events some of which may be beyond our control. As a result, we may not be able to maintain compliance with these covenants. Our failure to comply with the terms of our debt facilities, including failure as a result of events beyond our control, could result in an event of default, which could materially and adversely affect our operating results and our financial condition or result in our lenders taking action to enforce their security interests in our various assets.</w:t>
      </w:r>
    </w:p>
    <w:p>
      <w:pPr>
        <w:spacing w:after="0" w:line="9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 debt facilities impose operating and financial restrictions on us and our restricted subsidiaries, including, among other things, limitations on the ability to:</w:t>
      </w:r>
    </w:p>
    <w:p>
      <w:pPr>
        <w:spacing w:after="0" w:line="46"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77"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Continued weakness and further weakening in global economic conditions may adversely affect consumer and corporate spending and tourism trends, resulting in additional deterioration in our business.</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Discretionary consumer spending has been adversely affected by the current economic crisis. Worldwide, consumers are traveling less and spending less when they do travel. Likewise, corporate spending on conventions and business development is being significantly curtailed as businesses cut their budgets. Since our business model relies on significant expenditures on luxury and discretionary items, continuation or deepening of the crisis will further adversely affect our operations.</w:t>
      </w:r>
    </w:p>
    <w:p>
      <w:pPr>
        <w:spacing w:after="0" w:line="130"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The current conditions in the world’s financial and credit markets adversely affects prospects of debt refinancing, availability of credit to us and to our customers and the profitability of our business.</w:t>
      </w:r>
    </w:p>
    <w:p>
      <w:pPr>
        <w:spacing w:after="0" w:line="37"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There was continued instability in financial and credit markets worldwide in 2009. There can be no assurance that the decline is over and there can be no assurance that government response to these conditions will successfully address the fundamental weakness, restore consumer confidence or lead to improvement or increase liquidity in the markets. Customer demand for luxury amenities and leisure activities that we offer may be depressed or continue to decline.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may be excess room supply particularly in the luxury segment.</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have been and will continue to be large additions to the room supply in Las Vegas. Even after the global economy begins to recover, there may be excess supply particularly in the luxury segment.</w:t>
      </w:r>
    </w:p>
    <w:p>
      <w:pPr>
        <w:spacing w:after="0" w:line="118"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We are entirely dependent on Wynn Las Vegas and Encore for all of our cash flow, which subjects us to greater risks than a gaming company with more operating properties.</w:t>
      </w:r>
    </w:p>
    <w:p>
      <w:pPr>
        <w:spacing w:after="0" w:line="3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and Encore. We are entirely dependent upon Wynn Las Vegas and Encore for all of our cash flow. As a result, we are subject to a greater degree of risk than a gaming company with more operating properties. The risks to which we have a greater degree of exposure include the following:</w:t>
      </w:r>
    </w:p>
    <w:p>
      <w:pPr>
        <w:spacing w:after="0" w:line="46"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the number of visitors to Las Vegas;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and Encore;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outbreak of an infectious disease such as H1N1 or the avian flu.</w:t>
      </w:r>
    </w:p>
    <w:p>
      <w:pPr>
        <w:spacing w:after="0" w:line="1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casino/hotel industry is highly competitive and additional developments have recently opened or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 Wynn Las Vegas and Encore may also compete with one another.</w:t>
      </w:r>
    </w:p>
    <w:p>
      <w:pPr>
        <w:spacing w:after="0" w:line="93"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In addition, the legalization of casino gaming in or near metropolitan areas from which we attract customers could have a negative effect on our business. New or renovated casinos in Asia, including our property in Macau, could draw Asian gaming customers away from Las Vegas.</w:t>
      </w:r>
    </w:p>
    <w:p>
      <w:pPr>
        <w:spacing w:after="0" w:line="99"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3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significant portion of our table game revenue at Wynn Las Vegas and Encore is attributable to the play of a limited number of international customers. The loss or a reduction in the play of the most significant of these customers could have a substantial negative effect on our future operating results. A continued downturn in economic conditions in the countries in which these customers reside could cause a further reduction in the frequency of visits by and revenue generated from these customers.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8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While gaming debts evidenced by a credit instrument, including what is commonly referred to as a “marker,”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dramatic changes in the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as a result of downturns in the economy.</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the factors such as perceived or actual general economic conditions, the current housing crisis, the current credit crisis, bank failures and the potential for additional bank failures, perceived or actual changes disposable consumer income and wealth, the current global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10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current recession and economic crisis have resulted in a significant decline in the amount of tourism and spending in Las Vegas. In 2009, the occupancy rates across Las Vegas have declined by approximately 4.5%, average daily room rates have declined by approximately 22% and Las Vegas Strip gaming revenue has declined approximately 9.4%, compared to 2008. We also experienced increased levels of attrition and cancellation in the group business segment during 2009. If these trends continue, our financial condition, results of operations and cash flows will be adversely affected.</w:t>
      </w:r>
    </w:p>
    <w:p>
      <w:pPr>
        <w:spacing w:after="0" w:line="99"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3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operations of Wynn Las Vegas and Encore are contingent upon maintaining all necessary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on December 22, 2008; however, we are subject to ongoing regulation to maintain these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2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subject to taxation in the United States at the federal, state and local level. Specific rates of taxation can be changed by legislative action. Increases in taxation could adversely affect our results.</w:t>
      </w:r>
    </w:p>
    <w:p>
      <w:pPr>
        <w:spacing w:after="0" w:line="118"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Terrorism and the uncertainty of military conflicts, natural disasters and contagious diseases, as well as other factors affecting discretionary consumer spending, may harm our operating results.</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our properties offer. Changes in consumer preferences or discretionary consumer spending could harm our business. The terrorist attacks of September 11, 2001, other terrorist activities in the United States and elsewhere, military conflicts in Iraq, Afghanistan and in the Middle East, outbreaks of infectious disease and pandemics, and natural disasters such as hurricanes, tsunamis and earthquakes, among other things, have had negative impacts on travel and leisure expenditures. We cannot predict the extent to which similar events and conditions may continue to affect us in the future. An extended period of reduced discretionary spending and/or disruptions or declines in airline travel and business conventions could significantly harm our operations. In particular, because our business relies heavily upon high-end customers, particularly international customers, factors resulting in a decreased propensity to travel internationally could have a negative impact on our operations.</w:t>
      </w:r>
    </w:p>
    <w:p>
      <w:pPr>
        <w:spacing w:after="0" w:line="105"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addition, other factors affecting travel and discretionary consumer spending, including general economic conditions, disposable consumer income, fears of recession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00"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our properties for up to $800 million of losses that could result from these acts. However, these types of acts could expose us to losses that exceed our coverage and could have a significant negative impact on our operations.</w:t>
      </w:r>
    </w:p>
    <w:p>
      <w:pPr>
        <w:spacing w:after="0" w:line="7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insurance premiums have increased and we may not have sufficient insurance coverage in the event of a catastrophic property or casualty loss. We may also suffer disruption of our business in the event of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75"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Holdings’ ownership of, or right to use, the Wynn-related service marks, our business or results of operations could be harmed.</w:t>
      </w:r>
    </w:p>
    <w:p>
      <w:pPr>
        <w:spacing w:after="0" w:line="3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sublicensed certain Wynn-related trademarks and services from Holdings. Holdings has filed applications with the United States Patent and Trademark Office (“PTO”), to register a variety of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a mark primarily constituting a surname) cannot be registered unless the surname has acquired “secondary meaning.” To date, Holdings has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LAS VEGAS” and “ENCORE.” Some of the applications are based upon ongoing use and others are based upon a bona fide intent to use the marks in the future.</w:t>
      </w:r>
    </w:p>
    <w:p>
      <w:pPr>
        <w:spacing w:after="0" w:line="129"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0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7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ability to maintain our competitive position is dependent to a large degree on the efforts and skills of Stephen A. Wynn, the Chairman of the Board, Chief Executive Officer and one of the principal stockholders of Wynn Resorts. In 2008, Wynn Resorts extended the term of Mr. Wynn’s employment agreement until October 2020. However, we cannot assure you that Mr. Wynn will remain with Wynn Resorts. If Wynn Resorts loses the services of Mr. Wynn, or if he is unable to devote sufficient attention to our operations for any other reason, our 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first mortgage notes and would constitute an event of default under our credit facilities.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control over our operations and future direction.</w:t>
      </w:r>
    </w:p>
    <w:p>
      <w:pPr>
        <w:spacing w:after="0" w:line="10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Our ultimate parent company is Wynn Resorts. Mr. Wynn, Elaine P. Wynn, and Aruze USA, Inc., a company controlled by one of our directors, together own approximately 37.9% of Wynn Resorts’ outstanding common stock. As a result, Mr. Wynn, Elaine P. Wynn, and Aruze USA, Inc., to the extent they vote their shares in a similar manner, may be able to control all matters requiring our stockholders’ approval, including the approval of significant corporate transactions.</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November 2006, Mr. Wynn, and Aruze USA, Inc., entered into a stockholders’ agreement. On January 6, 2010, the agreement was amended and restated to, among other things, recognize Mr. Wynn’s transfer of 11,076,709 shares to Elaine P. Wynn. Pursuant to the amended and restated stockholders agreement, Elaine P. Wynn became party to the agreement in connection with her ownership of 11,076,709 shares of the Company’s common stock. Under the amended and restated stockholders’ agreement, Mr. Wynn, Elaine P. Wynn, and Aruze USA, Inc., have agreed to vote their shares of our common stock for a slate of directors supported by Mr. Wynn,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our board of directors. In addition, with stated exceptions, the agreement requires the written consent of Mr. Wynn, Elaine P. Wynn, and Aruze USA, Inc. prior to any party selling any shares of Wynn Resorts that it owns.</w:t>
      </w:r>
    </w:p>
    <w:p>
      <w:pPr>
        <w:spacing w:after="0" w:line="10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November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109" w:lineRule="exact"/>
        <w:rPr>
          <w:sz w:val="20"/>
          <w:szCs w:val="20"/>
          <w:color w:val="auto"/>
        </w:rPr>
      </w:pPr>
    </w:p>
    <w:p>
      <w:pPr>
        <w:ind w:left="240" w:right="84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3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9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Regulation could have a negative impact on us.</w:t>
      </w:r>
    </w:p>
    <w:p>
      <w:pPr>
        <w:spacing w:after="0" w:line="10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are subject to regulations imposed by the Foreign Corrupt Practices Act (the “FCPA”), which generally prohibits U.S. companies and their intermediaries from making improper payments to foreign officials for the purpose of obtaining or retaining business. Any determination that we have violated the FCPA could have a material adverse effect on our financial condition. We also deal with significant amounts of cash in our operations and are subject to various reporting and anti-money laundering regulations. Any violation of anti-money laundering laws or regulations by any of our properties could have a negative effect on our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currently own approximately 240 acres of land on or near the Las Vegas Strip. This consists of approximately 75 acres at the northeast corner of the intersection of Las Vegas Boulevard and Sands Avenue on which Wynn Las Vegas and Encore are located,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Our Las Vegas property, with limited exceptions, is encumbered by a first priority security interest in favor of our lenders under our first mortgage notes and bank credit facilities.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83"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matters submitted to a vote of our security holder during the fourth quarter of 2009.</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ind w:right="2320" w:firstLine="56"/>
        <w:spacing w:after="0" w:line="33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There is no established trading market for our membership interests. We do not intend to list the membership interests on any national securities exchange or seek the admission thereof to trading in the National Association of Securities Dealers Automated Quotation System. We do not intend to make a market in the membership interests, nor are we obligated to do so.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Holdings owns all of the membership interests in the Company as of the date of this filing.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have never declared or paid cash distributions on our membership interests. We currently intend to retain all available funds and any future consolidated earnings to fund our operations and the development and growth of our business and therefore do not anticipate paying any cash distributions.</w:t>
      </w:r>
    </w:p>
    <w:p>
      <w:pPr>
        <w:spacing w:after="0" w:line="7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Restrictions imposed by our debt instruments significantly restrict us from making dividends or distributions. Specifically, we are restricted under the indentures governing the first mortgage notes from making certain “restricted payments” as defined in the indentures. These restricted payments include the payment of distributions to any direct or indirect holders of our membership interests. These restricted payments cannot be made unless certain financial and non-financial criteria have been satisfied. In addition, the terms of our other loan agreements contain similar restrictions.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reflects the selected consolidated financial data of Wynn Las Vegas, LLC and its subsidiaries. This data should be read together with our consolidated financial statements and notes thereto, “Item 7. Management’s Discussion and Analysis of Financial Condition and Results of Operations” and the other information contained in this Annual Report on Form 10-K.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0" w:type="dxa"/>
            <w:vAlign w:val="bottom"/>
            <w:gridSpan w:val="5"/>
          </w:tcPr>
          <w:p>
            <w:pPr>
              <w:jc w:val="center"/>
              <w:ind w:left="637"/>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95"/>
        </w:trPr>
        <w:tc>
          <w:tcPr>
            <w:tcW w:w="4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r>
      <w:tr>
        <w:trPr>
          <w:trHeight w:val="263"/>
        </w:trPr>
        <w:tc>
          <w:tcPr>
            <w:tcW w:w="4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22"/>
                <w:szCs w:val="22"/>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r>
      <w:tr>
        <w:trPr>
          <w:trHeight w:val="95"/>
        </w:trPr>
        <w:tc>
          <w:tcPr>
            <w:tcW w:w="4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r>
      <w:tr>
        <w:trPr>
          <w:trHeight w:val="250"/>
        </w:trPr>
        <w:tc>
          <w:tcPr>
            <w:tcW w:w="4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revenues [1]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1,230,120</w:t>
            </w:r>
          </w:p>
        </w:tc>
        <w:tc>
          <w:tcPr>
            <w:tcW w:w="4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$1,099,891</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$ 1,295,851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1,139,348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722,292</w:t>
            </w: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72,373</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6,457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(144,279)</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(58,616)</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199,825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115,047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12,446</w:t>
            </w: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(309,870)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(129,794)</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124,219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(45,274)</w:t>
            </w:r>
          </w:p>
        </w:tc>
      </w:tr>
      <w:tr>
        <w:trPr>
          <w:trHeight w:val="378"/>
        </w:trPr>
        <w:tc>
          <w:tcPr>
            <w:tcW w:w="4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As of December 31,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5"/>
        </w:trPr>
        <w:tc>
          <w:tcPr>
            <w:tcW w:w="4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r>
      <w:tr>
        <w:trPr>
          <w:trHeight w:val="263"/>
        </w:trPr>
        <w:tc>
          <w:tcPr>
            <w:tcW w:w="4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22"/>
                <w:szCs w:val="22"/>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r>
      <w:tr>
        <w:trPr>
          <w:trHeight w:val="95"/>
        </w:trPr>
        <w:tc>
          <w:tcPr>
            <w:tcW w:w="4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r>
      <w:tr>
        <w:trPr>
          <w:trHeight w:val="250"/>
        </w:trPr>
        <w:tc>
          <w:tcPr>
            <w:tcW w:w="4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66,354</w:t>
            </w:r>
          </w:p>
        </w:tc>
        <w:tc>
          <w:tcPr>
            <w:tcW w:w="4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123,315</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  146,521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93,820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87,777</w:t>
            </w: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 [2]</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31,052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394,757</w:t>
            </w: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23,973</w:t>
            </w:r>
          </w:p>
        </w:tc>
        <w:tc>
          <w:tcPr>
            <w:tcW w:w="4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4,579</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865,130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214,574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30,996</w:t>
            </w: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4,584,271</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3,647,256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3,119,888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3,195,828</w:t>
            </w: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Total long-term obligations [3]</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2,638,083</w:t>
            </w:r>
          </w:p>
        </w:tc>
        <w:tc>
          <w:tcPr>
            <w:tcW w:w="4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2,897,328</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2,034,603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1,678,597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1,749,267</w:t>
            </w: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1,385,553</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1,257,563</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1,375,020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1,242,770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1,224,829</w:t>
            </w:r>
          </w:p>
        </w:tc>
        <w:tc>
          <w:tcPr>
            <w:tcW w:w="120" w:type="dxa"/>
            <w:vAlign w:val="bottom"/>
            <w:shd w:val="clear" w:color="auto" w:fill="CCEEFF"/>
          </w:tcPr>
          <w:p>
            <w:pPr>
              <w:spacing w:after="0"/>
              <w:rPr>
                <w:sz w:val="18"/>
                <w:szCs w:val="18"/>
                <w:color w:val="auto"/>
              </w:rPr>
            </w:pPr>
          </w:p>
        </w:tc>
      </w:tr>
      <w:tr>
        <w:trPr>
          <w:trHeight w:val="363"/>
        </w:trPr>
        <w:tc>
          <w:tcPr>
            <w:tcW w:w="448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Wynn Las Vegas opened on April 28, 2005 and Encore opened on December 22, 2008.</w:t>
      </w:r>
    </w:p>
    <w:p>
      <w:pPr>
        <w:spacing w:after="0" w:line="15"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Restricted cash and investments primarily reflect the proceeds of our debt and equity financings that were restricted for the construction of Encore and prior to December 31, 2005, for Wynn Las Vegas.</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long-term debt, long-term amounts due to affiliates, and the interest rate swap.</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We are a developer, owner and operator of destination casino resorts. We currently own and operate Wynn Las Vegas, a destination casino resort in Las Vegas, Nevada, which opened on April 28, 2005, and Encore at Wynn Las Vegas (“Encore”), a destination casino resort located adjacent to and connected to Wynn Las Vegas, which opened on December 22, 2008. Until the opening of Wynn Las Vegas in 2005, we were solely a development stage company.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February 2010: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Approximate</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Hotel Rooms &amp;</w:t>
            </w:r>
          </w:p>
        </w:tc>
        <w:tc>
          <w:tcPr>
            <w:tcW w:w="800" w:type="dxa"/>
            <w:vAlign w:val="bottom"/>
          </w:tcPr>
          <w:p>
            <w:pPr>
              <w:spacing w:after="0"/>
              <w:rPr>
                <w:sz w:val="12"/>
                <w:szCs w:val="12"/>
                <w:color w:val="auto"/>
              </w:rPr>
            </w:pPr>
          </w:p>
        </w:tc>
        <w:tc>
          <w:tcPr>
            <w:tcW w:w="20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6"/>
              </w:rPr>
              <w:t>Approximate Casino</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 Table</w:t>
            </w:r>
          </w:p>
        </w:tc>
        <w:tc>
          <w:tcPr>
            <w:tcW w:w="82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900" w:type="dxa"/>
            <w:vAlign w:val="bottom"/>
          </w:tcPr>
          <w:p>
            <w:pPr>
              <w:jc w:val="right"/>
              <w:ind w:right="202"/>
              <w:spacing w:after="0"/>
              <w:rPr>
                <w:sz w:val="20"/>
                <w:szCs w:val="20"/>
                <w:color w:val="auto"/>
              </w:rPr>
            </w:pPr>
            <w:r>
              <w:rPr>
                <w:rFonts w:ascii="Arial" w:cs="Arial" w:eastAsia="Arial" w:hAnsi="Arial"/>
                <w:sz w:val="14"/>
                <w:szCs w:val="14"/>
                <w:b w:val="1"/>
                <w:bCs w:val="1"/>
                <w:color w:val="auto"/>
              </w:rPr>
              <w:t>Suites</w:t>
            </w:r>
          </w:p>
        </w:tc>
        <w:tc>
          <w:tcPr>
            <w:tcW w:w="800" w:type="dxa"/>
            <w:vAlign w:val="bottom"/>
          </w:tcPr>
          <w:p>
            <w:pPr>
              <w:spacing w:after="0"/>
              <w:rPr>
                <w:sz w:val="15"/>
                <w:szCs w:val="15"/>
                <w:color w:val="auto"/>
              </w:rPr>
            </w:pPr>
          </w:p>
        </w:tc>
        <w:tc>
          <w:tcPr>
            <w:tcW w:w="20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8"/>
              </w:rPr>
              <w:t>Square Footage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Games</w:t>
            </w:r>
          </w:p>
        </w:tc>
        <w:tc>
          <w:tcPr>
            <w:tcW w:w="820" w:type="dxa"/>
            <w:vAlign w:val="bottom"/>
          </w:tcPr>
          <w:p>
            <w:pPr>
              <w:spacing w:after="0"/>
              <w:rPr>
                <w:sz w:val="15"/>
                <w:szCs w:val="15"/>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Slots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110,000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Encore</w:t>
            </w:r>
          </w:p>
        </w:tc>
        <w:tc>
          <w:tcPr>
            <w:tcW w:w="900" w:type="dxa"/>
            <w:vAlign w:val="bottom"/>
          </w:tcPr>
          <w:p>
            <w:pPr>
              <w:jc w:val="right"/>
              <w:spacing w:after="0"/>
              <w:rPr>
                <w:sz w:val="20"/>
                <w:szCs w:val="20"/>
                <w:color w:val="auto"/>
              </w:rPr>
            </w:pPr>
            <w:r>
              <w:rPr>
                <w:rFonts w:ascii="Arial" w:cs="Arial" w:eastAsia="Arial" w:hAnsi="Arial"/>
                <w:sz w:val="18"/>
                <w:szCs w:val="18"/>
                <w:color w:val="auto"/>
              </w:rPr>
              <w:t>2,034</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76,000</w:t>
            </w:r>
          </w:p>
        </w:tc>
        <w:tc>
          <w:tcPr>
            <w:tcW w:w="8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Wynn Las Vegas is located at the intersection of the Las Vegas Strip and Sands Avenue, occupies approximately 217 acres of land fronting the Las Vegas Strip, approximately 18 additional acres across Sands Avenue, a portion of which is improved with an employee parking garage and approximately 5 acres adjacent to the golf course on which an office building is located.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77" w:lineRule="exact"/>
        <w:rPr>
          <w:sz w:val="20"/>
          <w:szCs w:val="20"/>
          <w:color w:val="auto"/>
        </w:rPr>
      </w:pPr>
    </w:p>
    <w:p>
      <w:pPr>
        <w:ind w:left="780" w:right="8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baccarat salons, a poker room, and a sports book;</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22 food and beverage outlets including the AAA five-diamond and Forbes five-star award-winning restaurant, </w:t>
      </w:r>
      <w:r>
        <w:rPr>
          <w:rFonts w:ascii="Arial" w:cs="Arial" w:eastAsia="Arial" w:hAnsi="Arial"/>
          <w:sz w:val="18"/>
          <w:szCs w:val="18"/>
          <w:i w:val="1"/>
          <w:iCs w:val="1"/>
          <w:color w:val="auto"/>
        </w:rPr>
        <w:t>Alex</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03"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showroom, two nightclubs and a lounge.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opened Encore on December 22, 2008. This resort is located immediately adjacent to and connected with Wynn Las Vegas. Encore features:</w:t>
      </w:r>
    </w:p>
    <w:p>
      <w:pPr>
        <w:spacing w:after="0" w:line="100"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approximately 76,000 square foot casino offering 24-hour gaming and a full range of games, including private baccarat salons and a sports book;</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Luxury hotel accommodation in 2,034 all-suite rooms;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Twelve food and beverage outlets;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featuring Hermes, Chanel and others;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showroom, nightclub and lounges.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response to our evaluation of our properties and the reactions of our guests, we have and expect to continue to remodel and make enhancements and refinements at both Wynn Las Vegas and Encore.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Construction is currently underway to replace Encore’s porte-cochere on Las Vegas Boulevard with the Encore Beach Club that will feature pools, food and beverage, and nightlife offerings. The total project budget for the Encore Beach Club is approximately $68 million. The Beach Club is expected to open on schedule in the second quarter of 2010.</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Approximately 142 acres of land immediately adjacent to both Wynn Las Vegas and Encore, is currently improved with a golf course. While we may develop this property in the future, we have no immediate plans to do so.</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reduced consumer and corporate spending, and new U.S. political leadership, the outlook for the gaming, travel, and entertainment industries both domestically and abroad remains highly uncertain. Auto traffic into Las Vegas, airline capacity and air travel to McCarran International airport have continued to declined year over year, resulting in lower casino volumes and a reduced demand for hotel rooms. This slow down was particularly significant in the fourth quarter of 2008 and continued throughout 2009. Based on our experience over this past year and current market conditions, we believe that Wynn Las Vegas and Encore have, and are likely to continue to experience lower than historical hotel occupancy rates, room rates, casino volumes and accordingly lower departmental profitability. In addition, significant new supply in Las Vegas will put additional pressure on occupancy and room rates during 2010.</w:t>
      </w:r>
    </w:p>
    <w:p>
      <w:pPr>
        <w:spacing w:after="0" w:line="10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a result of the current economic and market conditions, we have increasingly focused on efficiency initiatives that we began implementing at Wynn Las Vegas in early 2009. These initiatives include reductions in pay for salaried employees in Las Vegas, reduced work weeks for full-time hourly employees, the substantial reduction of 2009 bonus accruals and a suspension of the employer match to the 401(k) contributions.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results of operations for the periods presented are not comparable as the year ended December 31, 2009 includes a full year of operations for Encore, whereas in 2008, Encore was open for only 10 days. Encore did not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significantly impact our results of operations for the year ended December 31, 2008. We also believe that our operating results at both properties for the years ended December 31, 2009 and 2008, were adversely impacted by the weakened global economy. Disruptions in the global financial and stock markets and reduced levels of consumer spending have and are likely to continue to adversely impact our financial results.</w:t>
      </w:r>
    </w:p>
    <w:p>
      <w:pPr>
        <w:spacing w:after="0" w:line="9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offer gaming, hotel accommodations, dining, entertainment, retail shopping, convention services and other amenities at Wynn Las Vegas and Encore. We currently rely solely upon the operations of Wynn Las Vegas and Encore for our operating cash flow. Concentration of our cash flows to Wynn Las Vegas and Encore exposes us to certain risks that competitors, whose operations are more diversified, may be better able to control. In addition to the concentration of operations to Wynn Las Vegas and Encore, many of our customers are high-end gaming customers who wager on credit, thus exposing us to increased credit risk. High-end gaming also increases the potential for variability in our results.</w:t>
      </w:r>
    </w:p>
    <w:p>
      <w:pPr>
        <w:spacing w:after="0" w:line="102"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We recorded a net loss for the year ended December 31, 2009 of $309.9 million, which represents a $180.1 million increase from the net loss of $129.8 million recorded during the year ended December 31, 2008. This decrease is primarily due to an increase in depreciation and amortization expense of $144.1 million associated with the assets placed in service for Encore and an increase in interest expense of $81.4 million as we no longer capitalized interest during 2009 with the opening of Encore in December 2008.</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is presented. Below are definitions of the gaming statistics discussed:</w:t>
      </w:r>
    </w:p>
    <w:p>
      <w:pPr>
        <w:spacing w:after="0" w:line="70"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“Slot win” is the amount of “handle” (represents the total amount wagered) that is retained and recorded as casino revenue.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2009 compared to the year ended December 31, 2008.</w:t>
      </w:r>
    </w:p>
    <w:p>
      <w:pPr>
        <w:spacing w:after="0" w:line="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earlier, our financial results for the year ended December 31, 2009 are not comparable to the year ended December 31, 2008, as the year ended December 31, 2009 includes a full year of operations for Encore, whereas the prior year includes only 10 days of operations for Encore.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2009 are comprised of $505.8 million in casino revenues (41.1% of total net revenues) and $724.3 million of net non-casino revenues (58.9% of total net revenues). Net revenues for the year ended December 31, 2008 were comprised of $479.7 million in casino revenues (43.6% of total net revenues) and $620.2 million of net non-casino revenues (56.4% of total net revenues).</w:t>
      </w:r>
    </w:p>
    <w:p>
      <w:pPr>
        <w:spacing w:after="0" w:line="9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expanded Wynn Las Vegas with the opening of Encore in December 2008, which added approximately 90 table games and approximately 800 slot machines to our casino operations. Even with these additions in capacity, we experienced only a modest increase in casino revenues of approximately $26.1 million to $505.8 million for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year ended December 31, 2009, compared to $479.7 million for the year ended December 31, 2008. During the year ended December 31, 2009, we experienced a 1.2% increase in drop and a slight increase in the average table games win percentage compared to the prior year. Our average table games win percentage (before discounts) of 20.2% for the year ended December 31, 2009, was below the expected range of 21% to 24%. For the year ended December 31, 2008, our average table games win percentage (before discounts) was 20.0%. Slot handle decreased 2.5% during the year ended December 31, 2009, as compared to 2008, and the slot win percentage was within the expected range of 4.5% to 5.5%.</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2009, room revenues were approximately $321.2 million, which represents a $52.6 million (or 19.6%) increase over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$268.5 million generated in the year ended December 31, 2008. This increase is a result of the addition of 2,034 suites at Encore which opened in December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2008. We continued to experience a decrease in occupancy and room rates during the year ended December 31, 2009, compared to the year ended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2008. See the table below for key operating measures related to our room revenue.</w:t>
      </w:r>
    </w:p>
    <w:p>
      <w:pPr>
        <w:spacing w:after="0" w:line="147"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60325</wp:posOffset>
            </wp:positionV>
            <wp:extent cx="10636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3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$ 217</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Occupancy</w:t>
            </w:r>
          </w:p>
        </w:tc>
        <w:tc>
          <w:tcPr>
            <w:tcW w:w="3860" w:type="dxa"/>
            <w:vAlign w:val="bottom"/>
            <w:gridSpan w:val="3"/>
          </w:tcPr>
          <w:p>
            <w:pPr>
              <w:jc w:val="right"/>
              <w:ind w:right="360"/>
              <w:spacing w:after="0"/>
              <w:rPr>
                <w:sz w:val="20"/>
                <w:szCs w:val="20"/>
                <w:color w:val="auto"/>
              </w:rPr>
            </w:pPr>
            <w:r>
              <w:rPr>
                <w:rFonts w:ascii="Arial" w:cs="Arial" w:eastAsia="Arial" w:hAnsi="Arial"/>
                <w:sz w:val="18"/>
                <w:szCs w:val="18"/>
                <w:color w:val="auto"/>
              </w:rPr>
              <w:t>85.2%</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$ 185</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Other non-casino revenues for the year ended December 31, 2009 include: food and beverage revenues of approximately $385.8 million, retail revenues of approximately $85.8 million, entertainment revenues of approximately $57.1 million, and other revenues from outlets such as the spa and salon, of approximately $60.5 million. Other non-gaming revenues for the year ended December 31, 2008 included food and beverage revenues of approximately $305.7 million, retail revenues of approximately $86.1 million, entertainment revenues of approximately $66.2 million, and other revenues from outlets, including the spa and salon, of approximately $49.8 million. On a comparable basis, excluding the Encore expansion, which opened in December 2008, all of our revenues have declined when compared to the prior year due to the current economic environment in which we are operating. Food and beverage revenues increased during the year ended December 31, 2009 as a result of the additional 12 food and beverage outlets located in the Encore expansion. Although we added new retail outlets at Encore, retail revenues have declined due to reduced consumer spending as a result of the current economic environment. Entertainment revenues decreased over the prior year primarily due to the closure of the Spamalot production show in July 2008. This decrease was offset in part by revenue from headliner acts that performed during 2009, including Garth Brooks, who began performing in the Encore Theater in December 2009.</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During the year ended December 31, 2009, departmental expenses included casino expense of $277.6 million, rooms expense of $106.8 million, food and beverage expense of $238.3 million, and entertainment, retail and other expense of $133.8 million. Also included are general and administrative expenses of approximately $248.5 million and approximately $12.4 million charged as a provision for doubtful accounts receivable. During the year ended December 31, 2008, departmental expenses included casino expenses of $258 million, room expenses of $73.8 million, food and beverage expenses of $188.5 million, and entertainment, retail and other expenses of $132.9 million. Also included are general and administrative expenses of approximately $199.5 million and approximately $24.9 million charged as a provision for doubtful accounts receivable. Expenses for the year ended December 31, 2009, increased compared to December 31, 2008 as a result of the Encore expansion which opened in December 2008. Our provision for doubtful accounts receivable declined during the year ended December 31, 2009 compared to the prior year. In the prior year we increased our reserves in light of the economic uncertainty that existed at that time. Due to continued strong collection experience we have reduced the additional reserves we recorded in the third quarter of 2008.</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bank credit facilities and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indentures. Management fees were $18.4 million for the year ended December 31, 2009, compared to $16.5 million for the year ended December 31, 2008.</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2009, we incurred $0.3 million pre-opening costs compared to $72.4 million for the year ended December 31,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Pre-opening costs incurred during the year ended December 31, 2008 were related to Encore which opened in December 2008.</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year ended December 31, 2009, was $313.8 million compared to $169.6 million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 This increase is primarily due to depreciation on the assets of Encore, which were placed into service in December 2008.</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Property charges and other for the year ended December 31, 2009, were $24.5 million compared to $22.4 million for the year ended December 31, 2008. In response to the evaluation of our properties and the reactions of our guests, we make enhancements and refinements to the properties. Costs relating to assets retired as a result of these enhancement and remodel efforts have been expensed as property charges. Property charges and other for the year ended December 31, 2009 include the following: (a) a $16.7 million charge for the abandonment of the front porte-cochere at Encore at Wynn Las Vegas to make way for an addition to that property; (b) a $5.3 million charge for the write-off of two aircraft deposits; and (c) $2.5 million related to miscellaneous remodels, abandonments and loss on sale of equipment.</w:t>
      </w:r>
    </w:p>
    <w:p>
      <w:pPr>
        <w:spacing w:after="0" w:line="13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Property charges and other for the year ended December 31,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response to our evaluation of Wynn Las Vegas and Encore and the reactions of our guests, we continue to make enhancements to the property. The costs relating to assets retired as a result of these enhancement and remodel efforts will be expensed as property charges.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Interest income decreased by $4.8 million for the year ended December 31, 2009, compared to the year ended December 31, 2008. This decrease is due to the repayment of an $80 million note receivable from Wynn Resorts in July 2008, that resulted in $3.3 million of interest income in the prior year, as well as a decrease in the average interest rate earned on our invested cash balances and reduced average invested cash balances during the year ended December 31, 2009, compared to the prior year.</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Interest expense was $157.2 million, net of capitalized interest of $0, for the year ended December 31, 2009, compared to $75.9 million, net of capitalized interest of $80.4 million during the year ended December 31, 2008.</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Interest expense increased primarily due to an $80.4 million decrease in capitalized interest with the opening of Encore. Also increasing interest expense was approximately $8.4 million of interest related to the 7 7/8% $500 million First Mortgage Notes issued in October 2009. These increases were offset by lower interest rates on our variable rate debt and lower average balances outstanding during 2009 compared to the prior year.</w:t>
      </w:r>
    </w:p>
    <w:p>
      <w:pPr>
        <w:spacing w:after="0" w:line="9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Changes in the fair value of our interest rate swap are recorded as increase (or decrease) in swap fair value in each year. We recorded an expense of approximately $4.2 million for the year ended December 31, 2009, resulting from the decrease in the fair value of our interest rate swap from August 2009 (the date we entered into the agreement) to December 31, 2009. We recorded an expense of approximately $0.4 million for the year ended December 31, 2008 resulting from the decrease in the fair value of our interest rate swap that matured on December 31, 2008.</w:t>
      </w:r>
    </w:p>
    <w:p>
      <w:pPr>
        <w:spacing w:after="0" w:line="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recorded a loss on early extinguishment of debt of $3.8 million during the year ended December 31, 2009. Through an offer to purchase loans outstanding under our bank credit facilities, we purchased loans with a face-value of $87.6 million for $84.4 million, reflecting a discounted price of 96.37%. In connection with this transaction, we recognized a gain of approximately $2.1 million on early retirement of debt in the fourth quarter of 2009. Offsetting this gain was the write-off of deferred financing costs totaling $5.7 million in connection with the permanent reduction in the availability under our bank credit facilities as described below.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2008 compared to financial results for the year ended December 31, 2007.</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Net revenues for the year ended December 31, 2008 were comprised of $479.7 million in net casino revenues (43.6% of total net revenues) and $620.2 million of net non-casino revenues (56.4% of total net revenues). Net revenues for the year ended December 31, 2007 were comprised of $642.3 million in net casino revenues (49.6% of total net revenues) and $653.5 million of net non-casino revenues (50.4% of total net revenues). Our results for 2008 include the 10 days of operations at Encore which opened December 22, 2008.</w:t>
      </w:r>
    </w:p>
    <w:p>
      <w:pPr>
        <w:spacing w:after="0" w:line="130"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year ended December 31, 2008 of approximately $479.7 million represents a decrease of approximately $162.6 million (or 25.3%) from casino revenues of $642.3 million for the year ended December 31, 2007. For the year ended December 31, 2008, we experienced a 7.1% decrease in drop and our average table games win percentage (before discounts) of 20.0% was below the expected range of 21% to 24%. During the year ended December 31, 2007, our average table games win percentage (before discounts) was 25.3%. Slot handle decreased 12.9% during the year ended December 31, 2008 as compared to 2007, and our slot win percentage for the years ended December 31, 2008 and 2007 were within the expected range of 4.5% and 5.5%. As noted above, we believe the decrease in casino volumes reflect the overall slowdown in the global economy. In the fourth quarter of 2008, casino revenue at Wynn Las Vegas, including Encore, declined 43.3% compared to the fourth quarter of 2007 as a result of a decrease in table games drop of 20.2% and a decline in our average table games win percentage to 15.3% compared to</w:t>
      </w:r>
    </w:p>
    <w:p>
      <w:pPr>
        <w:spacing w:after="0" w:line="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23.5% in the prior year fourth quarter. Slot handle at Wynn Las Vegas, including Encore, decreased 22.7% during the fourth quarter of 2008 compared to the fourth quarter of 2007.</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2008, room revenues were approximately $268.5 million, which represents a $17.2 million (or 6%) decrease from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$285.7 million generated for the year ended December 31, 2007. The decrease is primarily driven by decreased occupancy and rates at Wynn Las Vegas, offset by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revenues generated from the 10 days of operations at Encore. In the fourth quarter of 2008, room revenue at Wynn Las Vegas, including Encore, declined by 14%</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our occupancy percentage declined 14.6% and the average daily rate declined 6%, all compared to the fourth quarter of 2007. Room rates have continued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decline as the economic slow down reduces demand for our product.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 for Wynn Las Vegas, including Encore.</w:t>
      </w:r>
    </w:p>
    <w:p>
      <w:pPr>
        <w:spacing w:after="0" w:line="153"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60325</wp:posOffset>
            </wp:positionV>
            <wp:extent cx="11150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w:t>
            </w: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Occupancy</w:t>
            </w:r>
          </w:p>
        </w:tc>
        <w:tc>
          <w:tcPr>
            <w:tcW w:w="3840" w:type="dxa"/>
            <w:vAlign w:val="bottom"/>
            <w:gridSpan w:val="3"/>
          </w:tcPr>
          <w:p>
            <w:pPr>
              <w:jc w:val="right"/>
              <w:ind w:right="380"/>
              <w:spacing w:after="0"/>
              <w:rPr>
                <w:sz w:val="20"/>
                <w:szCs w:val="20"/>
                <w:color w:val="auto"/>
              </w:rPr>
            </w:pPr>
            <w:r>
              <w:rPr>
                <w:rFonts w:ascii="Arial" w:cs="Arial" w:eastAsia="Arial" w:hAnsi="Arial"/>
                <w:sz w:val="18"/>
                <w:szCs w:val="18"/>
                <w:color w:val="auto"/>
              </w:rPr>
              <w:t>91.8%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$ 265</w:t>
            </w: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Other non-casino revenues for the year ended December 31, 2008 included food and beverage revenues of approximately $305.7 million, retail revenues of approximately $86.1 million, entertainment revenues of approximately $66.2 million, and other revenues from outlets, including the spa and salon, of approximately $49.8 million. Other non-casino revenues for the year ended December 31, 2007 included food and beverage revenues of approximately $311 million, retail revenues of approximately $94.8 million, entertainment revenues of approximately $64.5 million, and other revenues from outlets, including the spa and salon, of approximately $50.2 million. Food and beverage revenues and retail revenues declined in 2008 as compared to 2007 as a result in fewer customers and customers spending less due to current economic conditions. Entertainment revenues increased approximately $10.9 million from Le Rêve at Wynn Las Vegas, offset by a decrease of $9.2 million due to the close of Spamalot in mid-July 2008. Together with the producers, we elected to end Spamalot’s run at Wynn Las Vegas in July 2008 pursuant to the terms of our contract.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2008, departmental expenses included casino expenses of $258 million, rooms expenses of $73.8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$188.5 million, and entertainment, retail and other expenses of $132.9 million. General and administrative expenses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$199.5 million and approximately $24.9 million charged as a provision for doubtful accounts receivable. During the year ended December 31, 2007, departmental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included casino expenses of $276.5 million, room expenses of $75.8 million, food and beverage expenses of $192.5 million, and entertainment, retail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expenses of $145.5 million. Also included are general and administrative expenses of approximately $199.8 million and approximately $21.1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charged as a provision for doubtful accounts receivable. Departmental expenses decreased commensurate with the decrease in revenues.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increased with the opening of Encore, offset by a reduction in employee bonuses for the year ended December 31, 2008. Our provision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doubtful accounts receivable increased compared to prior year primarily due to an additional provision in light of global economic uncertainties.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77"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$16.5 million for the year ended December 31, 2008 compared to $19.5 million for the prior year as a result of decreased revenues.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Pre-opening costs for the year ended December 31, 2008 of $72.4 million increased by $65.9 million compared to the $6.5 million incurred during the year ended December 31, 2007. Pre-opening costs for the year ended December 31, 2008 relate to Encore. Pre-opening costs related to Encore ceased once it opened on December 22,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Depreciation and amortization expense for the year ended December 31, 2008 was $169.6 million, an increase of $16.8 million compared to the $152.8 million incurred in the year ended December 31, 2007. This increase related primarily to shortened estimated lives, beginning in March 2008, of certain hotel room furniture, fixtures and equipment at Wynn Las Vegas based on a planned room renovation and the opening of Encore.</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construction of Wynn Las Vegas and Encore, costs incurred in the construction of the buildings, improvements to land and the purchases of assets for use in operations were capitalized. Once Wynn Las Vegas and Encore opened on April 28, 2005 and December 22, 2008, respectively, these assets were placed into service and we began recognizing the associated depreciation expense. Depreciation expense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2008 of $22.4 million increased by $16.4 million compared to the $6 million incurred for the year ended December 31, 2007.</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Based upon our evaluation of Wynn Las Vegas and the reactions of our guests, we continue to make enhancements and refinements to Wynn Las Vegas. Costs relating to assets retired as a result of these enhancement and remodel efforts have been expensed as property charges. During the year ended December 31, 2008, property charges included $17.8 million of costs associated with Spamalot at Wynn Las Vegas which closed in mid-July 2008. Together with the producers, we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Property charges for the year ended December 31, 2007 were related to renovations to portions of the Le Rêve Theater, the abandonment of a marquee sign, the conversion of two retail outlets and a nightclub at Wynn Las Vegas.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continue to remodel and make enhancements at our properties.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77"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Interest income was $4.8 million for the year ended December 31, 2008, a decrease of $9.4 million compared to $14.2 million for the year ended December 31, 2007. This decrease was primarily due to reduced interest income earned on invested cash balances during the year ended December 31, 2008 compared to 2007 as our cash was used to fund costs related to the development and construction of Encore, along with a decrease in interest rates on our invested cash balance.</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expense was $75.9 million, net of capitalized interest of $80.4 million for the year ended December 31, 2008 compared to $86.1 million, net of capitalized interest of $33.6 million, for the year ended December 31, 2007. Interest expense increased approximately $24.1 million related to the additional $400 million first mortgage notes issued in November 2007 and approximately $12.5 million net related to borrowings under our bank credit facilities and other. This increase was offset by an approximate $46.8 million increase in capitalized interest due to the construction costs of Encore. In future periods, interest expense will increase significantly as we no longer capitalize such costs with the opening of Encore.</w:t>
      </w:r>
    </w:p>
    <w:p>
      <w:pPr>
        <w:spacing w:after="0" w:line="10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Changes in the fair value of our interest rate swap are recorded as an increase (decrease) in swap fair value. We recorded a decrease in swap fair value of approximately $0.4 million for the year ended December 31, 2008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and a decrease in swap fair value of approximately $4.4 million for the year ended December 31, 2007 resulting from a decrease in the fair value of our interest rate swap from December 31, 2007 to December 31, 2008 and a decrease in the fair value of our interest rate swap from December 31, 2006 to December 31, 2007, respectively.</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Loss on extinguishment of debt for the year ended December 31, 2007 was $157,000. In March 2007, World Travel, LLC, a subsidiary of Wynn Las Vegas, LLC, refinanced a $44.75 million note payable. The new loan had an original principal balance of $42 million and is due April 1, 2017. In connection with this transaction, we incurred a net loss from extinguishment of debt of $157,000 related to the write-off of unamortized debt issue costs associated with the original loan during the year ended December 31, 2007.</w:t>
      </w:r>
    </w:p>
    <w:p>
      <w:pPr>
        <w:spacing w:after="0" w:line="124"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Liquidity and Capital Resources</w:t>
      </w:r>
    </w:p>
    <w:p>
      <w:pPr>
        <w:spacing w:after="0" w:line="106" w:lineRule="exact"/>
        <w:rPr>
          <w:sz w:val="20"/>
          <w:szCs w:val="20"/>
          <w:color w:val="auto"/>
        </w:rPr>
      </w:pPr>
    </w:p>
    <w:p>
      <w:pPr>
        <w:jc w:val="center"/>
        <w:ind w:right="8960"/>
        <w:spacing w:after="0"/>
        <w:rPr>
          <w:sz w:val="20"/>
          <w:szCs w:val="20"/>
          <w:color w:val="auto"/>
        </w:rPr>
      </w:pPr>
      <w:r>
        <w:rPr>
          <w:rFonts w:ascii="Arial" w:cs="Arial" w:eastAsia="Arial" w:hAnsi="Arial"/>
          <w:sz w:val="18"/>
          <w:szCs w:val="18"/>
          <w:i w:val="1"/>
          <w:iCs w:val="1"/>
          <w:color w:val="auto"/>
        </w:rPr>
        <w:t>Cash Flow from Operations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provided by operations for the year ended December 31, 2009 was $80.4 million compared to $135.1 million provided by operations for the year ended December 31, 2008. Operating cash flows were negatively impacted by increased interest as we no longer capitalized such cost with the opening of Encore in 2008, a decrease in departmental profit due to current economic conditions and the opening of Encore, and decreased benefits from ordinary working capital changes, offset by decreases in pre-opening costs that were incurred during 2008 related to Encore.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At December 31, 2009, we had approximately $66.4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As of December 31, 2009, we have $185 million of availability under our senior revolving credit facility. We anticipate such funds, together with any other cash needs during 2010 in excess of what we generate from operations or additional borrowings, will be provided with capital contributions from Wynn Resorts. Except for scheduled quarterly payments on one note payable, we have no debt maturities until September 2012.</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Capital expenditures were approximately $245 million for the year ended December 31, 2009, and were related primarily to cash payments on construction and retention payables for Encore. Capital expenditures were approximately $1.1 billion for the year ended December 31, 2008 and were almost entirely related to the construction of Encore.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August 15, 2005, the Company loaned $80 million to Wynn Resorts. In July 2008, Wynn Resorts repaid the $80 million.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During the year ended December 31, 2009, Wynn Resorts made capital contributions to us in the amount of $413 million. The proceeds from these contributions were used to fund construction costs of Encore paid during the year, to fund the paydown on the Wynn Las Vegas Revolver pursuant to the fourth amendment to our credit facilities, and to fund the offer to purchase loans outstanding under the Credit Agreement described below.</w:t>
      </w:r>
    </w:p>
    <w:p>
      <w:pPr>
        <w:spacing w:after="0" w:line="9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As of December 31, 2009, our Wynn Las Vegas Amended and Restated Credit Agreement (the “Credit Agreement”), consisted of a $457.9 million revolving credit facility (the “Wynn Las Vegas Revolver”) and 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$80.4 million term loan facility (the “Wynn Las Vegas Term Loan”) (together the “Wynn Las Vegas Credit Facilities”). As of December 31, 2009, we had borrowed $252.7 million under the Wynn Las Vegas Revolver. We also had $20.2 million of outstanding letters of credit that reduce our availability under the Wynn Las Vegas Revolver. Consequently, we have availability of $185 million under the Wynn Las Vegas Revolver as of December 31, 2009. As described below, during the year ended December 31, 2009, we (a) extended the maturity of the Wynn Las Vegas Revolver, (b) received relief from certain financial covenants, (c) increased the Wynn Las Vegas Revolver by $65 million, (d) repurchased $87.6 million of Wynn Las Vegas Revolver loans at a discount, and</w:t>
      </w:r>
    </w:p>
    <w:p>
      <w:pPr>
        <w:spacing w:after="0" w:line="2" w:lineRule="exact"/>
        <w:rPr>
          <w:sz w:val="20"/>
          <w:szCs w:val="20"/>
          <w:color w:val="auto"/>
        </w:rPr>
      </w:pPr>
    </w:p>
    <w:p>
      <w:pPr>
        <w:ind w:right="400" w:firstLine="8"/>
        <w:spacing w:after="0" w:line="261" w:lineRule="auto"/>
        <w:tabs>
          <w:tab w:leader="none" w:pos="2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used the net proceeds received from our $500 million first mortgage notes issuance to repay amounts outstanding, including a permanent reduction in the Wynn Las Vegas Credit Facilities of $360 million.</w:t>
      </w:r>
    </w:p>
    <w:p>
      <w:pPr>
        <w:spacing w:after="0" w:line="12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April 2009, we entered into a fourth amendment to our Credit Agreement. This amendment, among other things, (i) provides a waiver of the Consolidated Leverage Ratio, as defined in the Credit Agreement, until the quarter ending June 30, 2011, and increases such thresholds thereafter; (ii) provides additional flexibility with our Consolidated Interest Coverage Ratio, as defined in the Credit Agreement, by reducing such ratio from 1.75 : 1 to 1.25 : 1 beginning June 30, 2009 through March 31, 2011; and (iii) removes the dollar limit on the equity cure provisions for the purpose of the Consolidated Leverage Ratio and the Consolidated Interest Coverage Ratio over the life of the loan. In exchange for the amendments, we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we expanded the availability of the Wynn Las Vegas Revolver by $65 million.</w:t>
      </w:r>
    </w:p>
    <w:p>
      <w:pPr>
        <w:spacing w:after="0" w:line="181"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In September 2009, we entered into a fifth amendment to our Credit Agreement. This amendment, among other things, (i) permits Wynn Las Vegas to issue, on or before March 31, 2010, up to $500 million of new senior secured notes and (ii) requires that 75% of the net cash proceeds of any issuance of new senior secured notes be applied to prepay loans and reduce commitments under the Credit Agreement.</w:t>
      </w:r>
    </w:p>
    <w:p>
      <w:pPr>
        <w:spacing w:after="0" w:line="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we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2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In October 2009, Wynn Las Vegas, LLC and Wynn Las Vegas Capital Corp. (the “Issuers”), our wholly owned subsidiaries,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November 1, 2017 at a price of 97.823% of the principal amount. The notes rank pari passu with the borrowing under the Wynn Las Vegas Credit Facilities and the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previously issued by the Issuers.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 In accordance with the fifth amendment to the Wynn Las Vegas Credit Agreement described above, we used the proceeds of this offering to repay amounts outstanding under the Wynn Las Vegas Revolver and Wynn Las Vegas Term Loan.</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Wynn Las Vegas Term Loan will be payable in two installments of $40.2 million each on September 30, 2012 and August 15, 2013. The Wynn Las Vegas Revolver matures on July 15, 2013.</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borrowings under the Wynn Las Vegas Revolver we have historically elected Eurodollar loans, which bear interest at 1-month LIBOR and currently include a margin of 3.0% on the outstanding balance. We also incur a fee of 1.0% on the daily average of unborrowed amounts. For borrowings under the Wynn Las Vegas Term Loan we have historically elected Eurodollar loans, which bear interest at 1-month LIBOR and currently include a margin of 1.875% on the outstanding balance.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55" w:lineRule="auto"/>
        <w:rPr>
          <w:sz w:val="20"/>
          <w:szCs w:val="20"/>
          <w:color w:val="auto"/>
        </w:rPr>
      </w:pPr>
      <w:r>
        <w:rPr>
          <w:rFonts w:ascii="Arial" w:cs="Arial" w:eastAsia="Arial" w:hAnsi="Arial"/>
          <w:sz w:val="18"/>
          <w:szCs w:val="18"/>
          <w:color w:val="auto"/>
        </w:rPr>
        <w:t xml:space="preserve">The Wynn Las Vegas Credit Facilities are an obligation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Agreement rank pari passu in right of payment with their existing and future senior indebtedness, including indebtedness with respect to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senior in right of payment to all of their existing and future subordinated indebtedness.</w:t>
      </w:r>
    </w:p>
    <w:p>
      <w:pPr>
        <w:spacing w:after="0" w:line="12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Wynn Las Vegas Credit Agreement contains a requirement that we must make mandatory repayments of indebtedness from specified percentages of excess cash flow. If our Wynn Las Vegas subsidiary meets a Consolidated Leverage Ratio, as defined in the Credit Agreement, of greater than 3.5 to 1, such repayment is defined as 50% of Excess Cash Flow, as defined in the Credit Agreement. If the Consolidated Leverage Ratio is less than 3.5 : 1, then no repayment is required. Based on the current economic conditions in which we are operating, we do not believe that Wynn Las Vegas will have excess cash flow for mandatory repayment pursuant to this provision of the Credit Agreement during the fiscal year ending December 31, 2010, and therefore we do not expect to make any mandatory repayments pursuant to this requirement during 2010.</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Wynn Las Vegas Credit Agreement contains customary covenants restricting our activities including, but not limited to: the ability to sell assets, make capital expenditures, enter into capital leases, make loans or other investments and incur additional indebtedness. In addition, we were required by the financial covenants to maintain a Consolidated Interest Coverage Ratio, as defined, not less than 1.25 : 1 as of December 31, 2009. Management believes that we were in compliance with all covenants at December 31, 2009. We will be required to maintain a Consolidated Leverage Ratio, as defined, of 6.50 : 1 for the quarterly reporting date ending June 30, 2011, 6.25 : 1 for the quarterly reporting date ending September 30, 2011 and 6.00 : 1 for each quarterly reporting date thereafter to maturity. The Consolidated Interest Coverage Ratio remains at 1.25 : 1 for the quarterly reporting dates through March 31, 2011, and then increases to 1.75 : 1 for the quarterly reporting dates June 30, 2011 to maturity.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December 31, 2009, we had outstanding letters of credit totaling $20.2 million.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2009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gridSpan w:val="6"/>
          </w:tcPr>
          <w:p>
            <w:pPr>
              <w:spacing w:after="0"/>
              <w:rPr>
                <w:sz w:val="20"/>
                <w:szCs w:val="20"/>
                <w:color w:val="auto"/>
              </w:rPr>
            </w:pPr>
            <w:r>
              <w:rPr>
                <w:rFonts w:ascii="Arial" w:cs="Arial" w:eastAsia="Arial" w:hAnsi="Arial"/>
                <w:sz w:val="14"/>
                <w:szCs w:val="14"/>
                <w:b w:val="1"/>
                <w:bCs w:val="1"/>
                <w:color w:val="auto"/>
              </w:rPr>
              <w:t>Payments Due By Period</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Less</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Than 1</w:t>
            </w:r>
          </w:p>
        </w:tc>
        <w:tc>
          <w:tcPr>
            <w:tcW w:w="80" w:type="dxa"/>
            <w:vAlign w:val="bottom"/>
          </w:tcPr>
          <w:p>
            <w:pPr>
              <w:spacing w:after="0"/>
              <w:rPr>
                <w:sz w:val="12"/>
                <w:szCs w:val="12"/>
                <w:color w:val="auto"/>
              </w:rPr>
            </w:pPr>
          </w:p>
        </w:tc>
        <w:tc>
          <w:tcPr>
            <w:tcW w:w="42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81"/>
              </w:rPr>
              <w:t>1 to 3</w:t>
            </w:r>
          </w:p>
        </w:tc>
        <w:tc>
          <w:tcPr>
            <w:tcW w:w="340" w:type="dxa"/>
            <w:vAlign w:val="bottom"/>
          </w:tcPr>
          <w:p>
            <w:pPr>
              <w:spacing w:after="0"/>
              <w:rPr>
                <w:sz w:val="12"/>
                <w:szCs w:val="12"/>
                <w:color w:val="auto"/>
              </w:rPr>
            </w:pP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4 to 5</w:t>
            </w: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After 5</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Year</w:t>
            </w:r>
          </w:p>
        </w:tc>
        <w:tc>
          <w:tcPr>
            <w:tcW w:w="80" w:type="dxa"/>
            <w:vAlign w:val="bottom"/>
          </w:tcPr>
          <w:p>
            <w:pPr>
              <w:spacing w:after="0"/>
              <w:rPr>
                <w:sz w:val="15"/>
                <w:szCs w:val="15"/>
                <w:color w:val="auto"/>
              </w:rPr>
            </w:pPr>
          </w:p>
        </w:tc>
        <w:tc>
          <w:tcPr>
            <w:tcW w:w="420" w:type="dxa"/>
            <w:vAlign w:val="bottom"/>
          </w:tcPr>
          <w:p>
            <w:pPr>
              <w:jc w:val="right"/>
              <w:ind w:right="16"/>
              <w:spacing w:after="0"/>
              <w:rPr>
                <w:sz w:val="20"/>
                <w:szCs w:val="20"/>
                <w:color w:val="auto"/>
              </w:rPr>
            </w:pPr>
            <w:r>
              <w:rPr>
                <w:rFonts w:ascii="Arial" w:cs="Arial" w:eastAsia="Arial" w:hAnsi="Arial"/>
                <w:sz w:val="14"/>
                <w:szCs w:val="14"/>
                <w:b w:val="1"/>
                <w:bCs w:val="1"/>
                <w:color w:val="auto"/>
                <w:w w:val="78"/>
              </w:rPr>
              <w:t>Years</w:t>
            </w:r>
          </w:p>
        </w:tc>
        <w:tc>
          <w:tcPr>
            <w:tcW w:w="34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8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9"/>
              </w:rPr>
              <w:t>Years</w:t>
            </w:r>
          </w:p>
        </w:tc>
        <w:tc>
          <w:tcPr>
            <w:tcW w:w="6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$1,995.7</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$531.5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$ 2,571.3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Fixed interest payments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304.0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294.6</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Estimated variable interest payments [1]</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leases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Employment agreements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[2]</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commitments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266.8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430.4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$2,332.8</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$647.1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$ 3,677.1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40" w:type="dxa"/>
            <w:vAlign w:val="bottom"/>
            <w:vMerge w:val="restart"/>
          </w:tcPr>
          <w:p>
            <w:pPr>
              <w:jc w:val="right"/>
              <w:ind w:right="141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-325755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-325755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-325755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-325755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right="62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2009. Such rates are at historical lows as of December 31, 2009. Actual rates will vary.</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includes open purchase orders and other contracts.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We are restricted under the indentures governing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from making certain “restricted payments” as defined in the indentures. These restricted payments include the payment of dividends or distributions to any direct or indirect holders of equity interests of Wynn Las Vegas, LLC. The restricted payments may not be made until certain other financial and non-financial criteria have been satisfied. In addition, the Credit Facilities contain similar restrictions.</w:t>
      </w:r>
    </w:p>
    <w:p>
      <w:pPr>
        <w:spacing w:after="0" w:line="130"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Wynn Las Vegas and Encore will fund their operations and capital requirements from operating cash flow, and to the extent required and available, from capital contributions from Wynn Resorts. We cannot be sure that Wynn Las Vegas and Encore will generate sufficient cash flow from operations or that future borrowings or contributions from Wynn Resorts that are available to us, if any, will be sufficient to enable us to service and repay Wynn Las Vegas, LLC’s indebtedness and to fund its other liquidity needs. We cannot be sure that we will be able to refinance any of our indebtedness on acceptable terms or at all.</w:t>
      </w:r>
    </w:p>
    <w:p>
      <w:pPr>
        <w:spacing w:after="0" w:line="8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future development would require us to obtain additional financing.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7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our properties, significant start-up costs are incurred and charged to pre-opening costs through their respective openings. Once our properties open, expenses associated with the opening of the resorts are no longer charged as pre-opening costs.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properties, we begin recognizing depreciation expense on the resort’s fixed assets.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 and adjusted as necessary.</w:t>
      </w:r>
    </w:p>
    <w:p>
      <w:pPr>
        <w:spacing w:after="0" w:line="158"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accounting standards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7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 to casino credit play. Credit play, through the issuance of markers, represents a significant portion of the table games volume at Wynn Las Vegas and Encore.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December 31, 2009 and 2008, approximately 68% and 69%, respectively, of our casino accounts receivable were owed by customers from foreign countries, primarily in Asia. The collectability of markers given by foreign customers is affected by a number of factors including changes in currency exchange rates and economic conditions in the customers’ home countries.</w:t>
      </w:r>
    </w:p>
    <w:p>
      <w:pPr>
        <w:spacing w:after="0" w:line="10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receivables (amounts in thousands):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720" w:type="dxa"/>
            <w:vAlign w:val="bottom"/>
            <w:gridSpan w:val="4"/>
          </w:tcPr>
          <w:p>
            <w:pPr>
              <w:ind w:left="144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5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149,786</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142,515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5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66,328</w:t>
            </w:r>
          </w:p>
        </w:tc>
        <w:tc>
          <w:tcPr>
            <w:tcW w:w="50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64,530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37.9%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our employees regarding realizability, the state of the economy and our credit policy.</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At December 31, 2009, a 100 basis-point change in the allowance for doubtful accounts as a percentage of casino accounts receivable would change the provision for doubtful accounts by approximately $1.5 million.</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our customer payment experience evolves, we will continue to refine our estimated reserve for bad debts. Accordingly, the associated provision for doubtful accounts charge may fluctuate. Because individual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account balances can be significant, the reserve and the provision can change significantly between periods, as we become aware of additional information about a customer or as changes in a region’s economy or legal system.</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or comprehensive income, as applicable. As of December 31, 2009, changes in the swap fair values are being recorded in our Consolidated Statements of Operations, as the swaps do not qualify for hedge accounting.</w:t>
      </w:r>
    </w:p>
    <w:p>
      <w:pPr>
        <w:spacing w:after="0" w:line="129"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measure the fair value of our interest rate swaps on a recurring basis.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 these swap contracts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Accounting standards for share-based payments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we issue.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our assumptions are appropriate in calculating the fair value of the options we grant. We estimate the expected stock price volatility using a combination of implied and historical factors related to our stock price in accordance with applicable accounting standards. As our stock price fluctuates, this estimate will change. For example, a 10% change in the volatility assumption for 2009 would have resulted in an approximate $1.8 million change in fair value. Expected term represents the estimated average time between the option’s grant date and its exercise date. Because of our limited trading history as a public company we have elected to use the simplified method prescribed by applicable accounting standards, for companies with a limited trading history to estimate the expected term. Once we have sufficient trading history, we will estimate the expected term using historical experience for options that have been granted to employees within our stock option plan. A 10% change in the expected term assumption for 2009 would have resulted in an approximate $1.0 million change in fair value. These assumed changes in fair value would have been recognized over the vesting schedule of such awards.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We are currently evaluating the impact, if any, of adopting these new accounting standards on our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See “Item 7.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believed by us to be appropriate. We cannot be sure that these risk management strategies have had the desired effect, and interest rate fluctuations could have a negative impact on our results of operations.</w:t>
      </w:r>
    </w:p>
    <w:p>
      <w:pPr>
        <w:spacing w:after="0" w:line="12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table provides estimated future cash flow information derived from our best estimates of repayments at December 31, 2009 on our expected long-term indebtedness. However, we cannot predict the LIBOR rate that will be in effect in the future. As of December 31, 2009, such rates were at historic lows. Actual rates will vary. The one-month LIBOR rate at December 31, 2009 of 0.23% was used for all variable rate calculations in the table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w w:val="89"/>
              </w:rPr>
              <w:t>As of December 31,</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95"/>
        </w:trPr>
        <w:tc>
          <w:tcPr>
            <w:tcW w:w="48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gridSpan w:val="2"/>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263"/>
        </w:trPr>
        <w:tc>
          <w:tcPr>
            <w:tcW w:w="48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2010</w:t>
            </w:r>
          </w:p>
        </w:tc>
        <w:tc>
          <w:tcPr>
            <w:tcW w:w="26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22"/>
                <w:szCs w:val="22"/>
                <w:color w:val="auto"/>
              </w:rPr>
            </w:pPr>
          </w:p>
        </w:tc>
        <w:tc>
          <w:tcPr>
            <w:tcW w:w="66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22"/>
                <w:szCs w:val="22"/>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22"/>
                <w:szCs w:val="2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95"/>
        </w:trPr>
        <w:tc>
          <w:tcPr>
            <w:tcW w:w="48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250"/>
        </w:trPr>
        <w:tc>
          <w:tcPr>
            <w:tcW w:w="4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Fixed rate</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1,700.0</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2,200.0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Variable rate</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$ 1.1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$ 1.4</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$41.6</w:t>
            </w:r>
          </w:p>
        </w:tc>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rPr>
              <w:t>$294.3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371.3</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363"/>
        </w:trPr>
        <w:tc>
          <w:tcPr>
            <w:tcW w:w="4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December 31, 2009, we have one interest rate swap agreement to hedge a portion of the underlying interest rate risk on borrowings under the Wynn Las Vegas Credit Agreement. Under this swap agreement, we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 Changes in the fair value of this interest rate swap have and will continue to be recorded as an increase/ (decrease) in swap fair value in our Consolidated Statements of Operations as the swap does not qualify for hedge accounting.</w:t>
      </w:r>
    </w:p>
    <w:p>
      <w:pPr>
        <w:spacing w:after="0" w:line="10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As of December 31, 2009, our interest rate swap had an approximate liability fair value of $4.2 million and is included in long-term liabilities in the accompanying Consolidated Balance Sheets. The fair value approximates the amount we would have paid if this contract had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provides information about our interest rate swaps, by contractual maturity dates, as of December 31, 2009 and using estimated future LIBOR rates based upon implied forward rates in the yield curve.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8"/>
          </w:tcPr>
          <w:p>
            <w:pPr>
              <w:jc w:val="center"/>
              <w:ind w:left="112"/>
              <w:spacing w:after="0"/>
              <w:rPr>
                <w:sz w:val="20"/>
                <w:szCs w:val="20"/>
                <w:color w:val="auto"/>
              </w:rPr>
            </w:pPr>
            <w:r>
              <w:rPr>
                <w:rFonts w:ascii="Arial" w:cs="Arial" w:eastAsia="Arial" w:hAnsi="Arial"/>
                <w:sz w:val="14"/>
                <w:szCs w:val="14"/>
                <w:b w:val="1"/>
                <w:bCs w:val="1"/>
                <w:color w:val="auto"/>
                <w:w w:val="85"/>
              </w:rPr>
              <w:t>Years Ending December 31,</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4"/>
        </w:trPr>
        <w:tc>
          <w:tcPr>
            <w:tcW w:w="6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8"/>
          </w:tcPr>
          <w:p>
            <w:pPr>
              <w:jc w:val="center"/>
              <w:ind w:left="112"/>
              <w:spacing w:after="0"/>
              <w:rPr>
                <w:sz w:val="20"/>
                <w:szCs w:val="20"/>
                <w:color w:val="auto"/>
              </w:rPr>
            </w:pPr>
            <w:r>
              <w:rPr>
                <w:rFonts w:ascii="Arial" w:cs="Arial" w:eastAsia="Arial" w:hAnsi="Arial"/>
                <w:sz w:val="14"/>
                <w:szCs w:val="14"/>
                <w:b w:val="1"/>
                <w:bCs w:val="1"/>
                <w:color w:val="auto"/>
                <w:w w:val="89"/>
              </w:rPr>
              <w:t>Expected Maturity Date</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95"/>
        </w:trPr>
        <w:tc>
          <w:tcPr>
            <w:tcW w:w="66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263"/>
        </w:trPr>
        <w:tc>
          <w:tcPr>
            <w:tcW w:w="66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2010</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7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220" w:type="dxa"/>
            <w:vAlign w:val="bottom"/>
          </w:tcPr>
          <w:p>
            <w:pPr>
              <w:spacing w:after="0"/>
              <w:rPr>
                <w:sz w:val="22"/>
                <w:szCs w:val="2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95"/>
        </w:trPr>
        <w:tc>
          <w:tcPr>
            <w:tcW w:w="66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250"/>
        </w:trPr>
        <w:tc>
          <w:tcPr>
            <w:tcW w:w="6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w:t>
            </w: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Average pay rate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2.49%</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bl>
    <w:p>
      <w:pPr>
        <w:spacing w:after="0" w:line="140" w:lineRule="exact"/>
        <w:rPr>
          <w:sz w:val="20"/>
          <w:szCs w:val="20"/>
          <w:color w:val="auto"/>
        </w:rPr>
      </w:pPr>
    </w:p>
    <w:p>
      <w:pPr>
        <w:ind w:left="240" w:right="560" w:firstLine="228"/>
        <w:spacing w:after="0" w:line="375" w:lineRule="auto"/>
        <w:rPr>
          <w:sz w:val="20"/>
          <w:szCs w:val="20"/>
          <w:color w:val="auto"/>
        </w:rPr>
      </w:pPr>
      <w:r>
        <w:rPr>
          <w:rFonts w:ascii="Arial" w:cs="Arial" w:eastAsia="Arial" w:hAnsi="Arial"/>
          <w:sz w:val="18"/>
          <w:szCs w:val="18"/>
          <w:color w:val="auto"/>
        </w:rPr>
        <w:t xml:space="preserve">We do not use derivative financial instruments, other financial instruments or derivative commodity instruments for trading or speculative purposes. </w:t>
      </w:r>
      <w:r>
        <w:rPr>
          <w:rFonts w:ascii="Arial" w:cs="Arial" w:eastAsia="Arial" w:hAnsi="Arial"/>
          <w:sz w:val="18"/>
          <w:szCs w:val="18"/>
          <w:i w:val="1"/>
          <w:iCs w:val="1"/>
          <w:color w:val="auto"/>
        </w:rPr>
        <w:t>Interest Rate Sensitivity</w:t>
      </w:r>
    </w:p>
    <w:p>
      <w:pPr>
        <w:spacing w:after="0" w:line="1"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As of December 31, 2009, approximately 95% of our long-term debt was based on fixed rates, including the notional amount related to our interest rate swap. Based on our borrowings as of December 31, 2009, an assumed 1% change in variable rates would cause our annual interest cost to change by $1.2 million.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5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Page</w:t>
            </w:r>
          </w:p>
        </w:tc>
      </w:tr>
      <w:tr>
        <w:trPr>
          <w:trHeight w:val="95"/>
        </w:trPr>
        <w:tc>
          <w:tcPr>
            <w:tcW w:w="2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r>
      <w:tr>
        <w:trPr>
          <w:trHeight w:val="277"/>
        </w:trPr>
        <w:tc>
          <w:tcPr>
            <w:tcW w:w="4880" w:type="dxa"/>
            <w:vAlign w:val="bottom"/>
            <w:gridSpan w:val="7"/>
          </w:tcPr>
          <w:p>
            <w:pPr>
              <w:spacing w:after="0"/>
              <w:rPr>
                <w:sz w:val="20"/>
                <w:szCs w:val="20"/>
                <w:color w:val="auto"/>
              </w:rPr>
            </w:pPr>
            <w:r>
              <w:rPr>
                <w:rFonts w:ascii="Arial" w:cs="Arial" w:eastAsia="Arial" w:hAnsi="Arial"/>
                <w:sz w:val="18"/>
                <w:szCs w:val="18"/>
                <w:color w:val="0000EE"/>
              </w:rPr>
              <w:t>Report of Independent Registered Public Accounting Firm</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4120" w:type="dxa"/>
            <w:vAlign w:val="bottom"/>
            <w:tcBorders>
              <w:top w:val="single" w:sz="8" w:color="0000EE"/>
            </w:tcBorders>
            <w:gridSpan w:val="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Consolidated Balance Sheets</w:t>
              </w:r>
            </w:hyperlink>
          </w:p>
        </w:tc>
        <w:tc>
          <w:tcPr>
            <w:tcW w:w="760" w:type="dxa"/>
            <w:vAlign w:val="bottom"/>
          </w:tcPr>
          <w:p>
            <w:pPr>
              <w:spacing w:after="0"/>
              <w:rPr>
                <w:sz w:val="22"/>
                <w:szCs w:val="22"/>
                <w:color w:val="auto"/>
              </w:rPr>
            </w:pP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r>
      <w:tr>
        <w:trPr>
          <w:trHeight w:val="264"/>
        </w:trPr>
        <w:tc>
          <w:tcPr>
            <w:tcW w:w="2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Consolidated Statements of Operations</w:t>
              </w:r>
            </w:hyperlink>
          </w:p>
        </w:tc>
        <w:tc>
          <w:tcPr>
            <w:tcW w:w="2120" w:type="dxa"/>
            <w:vAlign w:val="bottom"/>
            <w:gridSpan w:val="5"/>
          </w:tcPr>
          <w:p>
            <w:pPr>
              <w:spacing w:after="0"/>
              <w:rPr>
                <w:sz w:val="22"/>
                <w:szCs w:val="22"/>
                <w:color w:val="auto"/>
              </w:rPr>
            </w:pP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64"/>
        </w:trPr>
        <w:tc>
          <w:tcPr>
            <w:tcW w:w="322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Consolidated Statements of Member’s Equity</w:t>
              </w:r>
            </w:hyperlink>
          </w:p>
        </w:tc>
        <w:tc>
          <w:tcPr>
            <w:tcW w:w="1660" w:type="dxa"/>
            <w:vAlign w:val="bottom"/>
            <w:gridSpan w:val="2"/>
          </w:tcPr>
          <w:p>
            <w:pPr>
              <w:spacing w:after="0"/>
              <w:rPr>
                <w:sz w:val="22"/>
                <w:szCs w:val="22"/>
                <w:color w:val="auto"/>
              </w:rPr>
            </w:pP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64"/>
        </w:trPr>
        <w:tc>
          <w:tcPr>
            <w:tcW w:w="488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Cash Flows</w:t>
              </w:r>
            </w:hyperlink>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r>
      <w:tr>
        <w:trPr>
          <w:trHeight w:val="264"/>
        </w:trPr>
        <w:tc>
          <w:tcPr>
            <w:tcW w:w="4880" w:type="dxa"/>
            <w:vAlign w:val="bottom"/>
            <w:gridSpan w:val="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Notes to Consolidated Financial Statements</w:t>
              </w:r>
            </w:hyperlink>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44-70</w:t>
            </w: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40" w:type="dxa"/>
            <w:vAlign w:val="bottom"/>
          </w:tcPr>
          <w:p>
            <w:pPr>
              <w:jc w:val="right"/>
              <w:ind w:right="4932"/>
              <w:spacing w:after="0"/>
              <w:rPr>
                <w:sz w:val="20"/>
                <w:szCs w:val="20"/>
                <w:color w:val="auto"/>
              </w:rPr>
            </w:pPr>
            <w:r>
              <w:rPr>
                <w:rFonts w:ascii="Arial" w:cs="Arial" w:eastAsia="Arial" w:hAnsi="Arial"/>
                <w:sz w:val="18"/>
                <w:szCs w:val="18"/>
                <w:color w:val="auto"/>
              </w:rPr>
              <w:t>38</w:t>
            </w:r>
          </w:p>
        </w:tc>
        <w:tc>
          <w:tcPr>
            <w:tcW w:w="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Member of Wynn Las Vegas, LLC:</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2009 and 2008, and the related consolidated statements of operations, member’s equity, and cash flows for each of the three years in the period ended December 31, 2009.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2009 and 2008, and the consolidated results of their operations and their cash flows for each of the three years in the period ended December 31, 2009,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80"/>
          </w:cols>
          <w:pgMar w:left="240" w:top="459"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110,860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98,282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25,187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3,851,668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4,108,953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42,025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28,226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46,701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37,521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101,507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96,358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230,688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2,551,520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2,833,423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4,224</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2,868,771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3,326,708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1,912,146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1,474,286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(526,593)</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1,385,553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1,257,563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jc w:val="center"/>
              <w:ind w:left="207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40" w:type="dxa"/>
            <w:vAlign w:val="bottom"/>
            <w:gridSpan w:val="2"/>
          </w:tcPr>
          <w:p>
            <w:pPr>
              <w:jc w:val="right"/>
              <w:ind w:right="335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-4193540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-4193540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-4193540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-4193540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-4193540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-4193540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-557530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-557530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505,779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479,711</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321,150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385,774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305,702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203,399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1,416,102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1,256,050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1,448,569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w w:val="95"/>
              </w:rPr>
              <w:t>(185,982)</w:t>
            </w:r>
          </w:p>
        </w:tc>
        <w:tc>
          <w:tcPr>
            <w:tcW w:w="80" w:type="dxa"/>
            <w:vAlign w:val="bottom"/>
          </w:tcPr>
          <w:p>
            <w:pPr>
              <w:spacing w:after="0"/>
              <w:rPr>
                <w:sz w:val="19"/>
                <w:szCs w:val="19"/>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(156,159)</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1,230,120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1,099,891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1,295,851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277,557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257,983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238,272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188,521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248,489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199,540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313,759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169,640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1,374,399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1,158,507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(144,279)</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(58,616)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(157,228)</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(75,855)</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(4,224)</w:t>
            </w:r>
          </w:p>
        </w:tc>
        <w:tc>
          <w:tcPr>
            <w:tcW w:w="8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(3,779)</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(165,591)</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(71,178)</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(309,870)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(129,794)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$ 1,242,770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124,219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1,375,020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Contributions from Wynn Resorts, Ltd</w:t>
            </w:r>
          </w:p>
        </w:tc>
        <w:tc>
          <w:tcPr>
            <w:tcW w:w="860" w:type="dxa"/>
            <w:vAlign w:val="bottom"/>
          </w:tcPr>
          <w:p>
            <w:pPr>
              <w:jc w:val="right"/>
              <w:spacing w:after="0"/>
              <w:rPr>
                <w:sz w:val="20"/>
                <w:szCs w:val="20"/>
                <w:color w:val="auto"/>
              </w:rPr>
            </w:pPr>
            <w:r>
              <w:rPr>
                <w:rFonts w:ascii="Arial" w:cs="Arial" w:eastAsia="Arial" w:hAnsi="Arial"/>
                <w:sz w:val="18"/>
                <w:szCs w:val="18"/>
                <w:color w:val="auto"/>
              </w:rPr>
              <w:t>2,835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1,257,563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Contributions from Wynn Resorts, Ltd</w:t>
            </w:r>
          </w:p>
        </w:tc>
        <w:tc>
          <w:tcPr>
            <w:tcW w:w="860" w:type="dxa"/>
            <w:vAlign w:val="bottom"/>
          </w:tcPr>
          <w:p>
            <w:pPr>
              <w:jc w:val="right"/>
              <w:spacing w:after="0"/>
              <w:rPr>
                <w:sz w:val="20"/>
                <w:szCs w:val="20"/>
                <w:color w:val="auto"/>
              </w:rPr>
            </w:pPr>
            <w:r>
              <w:rPr>
                <w:rFonts w:ascii="Arial" w:cs="Arial" w:eastAsia="Arial" w:hAnsi="Arial"/>
                <w:sz w:val="18"/>
                <w:szCs w:val="18"/>
                <w:color w:val="auto"/>
              </w:rPr>
              <w:t>429,490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$ 1,385,553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60" w:type="dxa"/>
            <w:vAlign w:val="bottom"/>
            <w:vMerge w:val="restart"/>
          </w:tcPr>
          <w:p>
            <w:pPr>
              <w:jc w:val="center"/>
              <w:ind w:left="83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8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4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80" w:type="dxa"/>
            <w:vAlign w:val="bottom"/>
            <w:gridSpan w:val="2"/>
          </w:tcPr>
          <w:p>
            <w:pPr>
              <w:jc w:val="right"/>
              <w:ind w:right="4592"/>
              <w:spacing w:after="0"/>
              <w:rPr>
                <w:sz w:val="20"/>
                <w:szCs w:val="20"/>
                <w:color w:val="auto"/>
              </w:rPr>
            </w:pPr>
            <w:r>
              <w:rPr>
                <w:rFonts w:ascii="Arial" w:cs="Arial" w:eastAsia="Arial" w:hAnsi="Arial"/>
                <w:sz w:val="18"/>
                <w:szCs w:val="18"/>
                <w:color w:val="auto"/>
              </w:rPr>
              <w:t>42</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-557530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(309,870)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(129,794)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313,759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169,640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24,468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22,406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(25,016)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(38,706)</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(14,227)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41,879</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22,455</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135,140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315,714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(245,040)</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(1,129,525)</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166,465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80,000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(35,061)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Due to affliates, net</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18,546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(249,188)</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(1,032,451)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(562,021)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(929,909)</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649,481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585,460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412,951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(20,698)</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874,105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299,008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(56,961)</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(23,206)</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123,315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138,787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147,209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110,298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construction payables and retention</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(183,842)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Capitalized stock-based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parent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-781685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-781685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-781685</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-781685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-781685</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-781685</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-781685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-781685</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-781685</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In April 2006, the Company commenced construction of Encore at Wynn Las Vegas (“Encore”), a 2,034 all-suite hotel fully integrated with Wynn Las Vegas. Encore opened on December 22, 2008.</w:t>
      </w:r>
    </w:p>
    <w:p>
      <w:pPr>
        <w:spacing w:after="0" w:line="13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2009,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23" w:lineRule="exact"/>
        <w:rPr>
          <w:sz w:val="20"/>
          <w:szCs w:val="20"/>
          <w:color w:val="auto"/>
        </w:rPr>
      </w:pPr>
    </w:p>
    <w:p>
      <w:pPr>
        <w:ind w:left="240" w:right="7920" w:hanging="232"/>
        <w:spacing w:after="0" w:line="332" w:lineRule="auto"/>
        <w:tabs>
          <w:tab w:leader="none" w:pos="187"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2009 and 2008, approximately 68% and 69%,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Airplane</w:t>
            </w:r>
          </w:p>
        </w:tc>
        <w:tc>
          <w:tcPr>
            <w:tcW w:w="3880" w:type="dxa"/>
            <w:vAlign w:val="bottom"/>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8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4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operations.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$0, $80.4 million and $33.6 million was capitalized for the years ended December 31, 2009, 2008 and 2007, respectively.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Company’s indefinite-lived intangible assets consist primarily of water rights acquired as part of the overall purchase price of the land on which Wynn Las Vegas is located, and trademarks. Indefinite-lived intangible assets are not amortized, but are reviewed annually for impairment. The Company’s finite-lived intangible assets consist of show production rights. Finite-lived intangible assets are amortized over the shorter of their contractual terms or estimated useful lives.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$9.3 million, $8.5 million and $7.2 million, was amortized to interest expense during the years ended December 31, 2009, 2008 and 2007, respectively. Debt discounts incurred in connection with the issuance of debt has been capitalized and is being amortized to interest expense using the effective interest method.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(loss) or comprehensive income (loss) as applicable. The Company’s interest rate swaps do not qualify for hedge accounting. Accordingly, changes in the fair value of the interest rate swaps are presented as an increase (decrease) in fair value of swaps in the accompanying Consolidated Statements of Operations.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3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Revenues are recognized net of certain sales incentives which are required to be recorded as a reduction of revenues; consequently, the Company’s casino revenues are reduced by discounts and points earned in customer loyalty programs, such as the player’s club loyalty program.</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10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41,591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$ 27,292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Food and beverage</w:t>
            </w:r>
          </w:p>
        </w:tc>
        <w:tc>
          <w:tcPr>
            <w:tcW w:w="3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59,441</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53,006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12,014</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113,046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$ 90,325</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$ 88,259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3060" w:type="dxa"/>
            <w:vAlign w:val="bottom"/>
            <w:vMerge w:val="restart"/>
          </w:tcPr>
          <w:p>
            <w:pPr>
              <w:jc w:val="right"/>
              <w:ind w:right="1632"/>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-325755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-325755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-325755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-325755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3898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989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Operations. These taxes totaled approximately $36.5 million, $33.4 million and $45.6 million for the years ended December 31, 2009, 2008 and 2007,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$17.3 million, $27.1 million including $11.1 million of pre-opening related to Encore and $21.4 million, respectively, for the years ended December 31, 2009, 2008 and 2007.</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Pre-opening costs, consisting primarily of direct salaries and wages, legal and consulting fees, insurance, utilities and advertising, are expensed as incurred.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pre-opening costs in connection with Encore prior to its opening on December 22, 2008.</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The Company’s operations are reported on the consolidated tax return of Wynn Resorts. As a limited liability company, the Company is considered a partnership for federal income tax purposes. Accordingly, no provision has been made for federal income taxes as such taxes are liabilities of its member.</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7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Accounting standards require an entity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30" w:lineRule="exact"/>
        <w:rPr>
          <w:sz w:val="20"/>
          <w:szCs w:val="20"/>
          <w:color w:val="auto"/>
        </w:rPr>
      </w:pPr>
    </w:p>
    <w:p>
      <w:pPr>
        <w:ind w:left="240" w:right="440" w:firstLine="228"/>
        <w:spacing w:after="0" w:line="375" w:lineRule="auto"/>
        <w:rPr>
          <w:sz w:val="20"/>
          <w:szCs w:val="20"/>
          <w:color w:val="auto"/>
        </w:rPr>
      </w:pPr>
      <w:r>
        <w:rPr>
          <w:rFonts w:ascii="Arial" w:cs="Arial" w:eastAsia="Arial" w:hAnsi="Arial"/>
          <w:sz w:val="18"/>
          <w:szCs w:val="18"/>
          <w:color w:val="auto"/>
        </w:rPr>
        <w:t xml:space="preserve">Further information on the Company’s share-based compensation arrangements is included in Note 11 “Benefit Plans—Share-Based Compensation”. </w:t>
      </w:r>
      <w:r>
        <w:rPr>
          <w:rFonts w:ascii="Arial" w:cs="Arial" w:eastAsia="Arial" w:hAnsi="Arial"/>
          <w:sz w:val="18"/>
          <w:szCs w:val="18"/>
          <w:i w:val="1"/>
          <w:iCs w:val="1"/>
          <w:color w:val="auto"/>
        </w:rPr>
        <w:t>Recent Accounting Pronouncements</w:t>
      </w:r>
    </w:p>
    <w:p>
      <w:pPr>
        <w:spacing w:after="0" w:line="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The Company is currently evaluating the impact, if any, of adopting these new accounting standards on its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amounts in the consolidated financial statements for 2008 and 2007 have been reclassified to be consistent with the current year presentation. These reclassifications had no effect on the previously reported net (loss)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12"/>
          </w:tcPr>
          <w:p>
            <w:pPr>
              <w:ind w:lef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b w:val="1"/>
                <w:bCs w:val="1"/>
                <w:color w:val="auto"/>
                <w:w w:val="96"/>
              </w:rPr>
              <w:t>2009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$149,786</w:t>
            </w:r>
          </w:p>
        </w:tc>
        <w:tc>
          <w:tcPr>
            <w:tcW w:w="2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$142,515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Hotel</w:t>
            </w: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17,490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13,051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10,990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178,266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163,696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240" w:type="dxa"/>
            <w:vAlign w:val="bottom"/>
            <w:gridSpan w:val="6"/>
          </w:tcPr>
          <w:p>
            <w:pPr>
              <w:jc w:val="right"/>
              <w:ind w:right="240"/>
              <w:spacing w:after="0"/>
              <w:rPr>
                <w:sz w:val="20"/>
                <w:szCs w:val="20"/>
                <w:color w:val="auto"/>
              </w:rPr>
            </w:pPr>
            <w:r>
              <w:rPr>
                <w:rFonts w:ascii="Arial" w:cs="Arial" w:eastAsia="Arial" w:hAnsi="Arial"/>
                <w:sz w:val="18"/>
                <w:szCs w:val="18"/>
                <w:color w:val="auto"/>
              </w:rPr>
              <w:t>(67,406)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5"/>
              </w:rPr>
              <w:t>(65,414)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$ 110,860</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98,282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28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22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12"/>
          </w:tcPr>
          <w:p>
            <w:pPr>
              <w:ind w:left="2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9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692,677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695,474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2,554,224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2,557,489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1,325,677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1,301,182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gridSpan w:val="3"/>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4,640,805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4,602,978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(789,137)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7"/>
          </w:tcPr>
          <w:p>
            <w:pPr>
              <w:jc w:val="right"/>
              <w:ind w:right="60"/>
              <w:spacing w:after="0"/>
              <w:rPr>
                <w:sz w:val="20"/>
                <w:szCs w:val="20"/>
                <w:color w:val="auto"/>
              </w:rPr>
            </w:pPr>
            <w:r>
              <w:rPr>
                <w:rFonts w:ascii="Arial" w:cs="Arial" w:eastAsia="Arial" w:hAnsi="Arial"/>
                <w:sz w:val="18"/>
                <w:szCs w:val="18"/>
                <w:color w:val="auto"/>
              </w:rPr>
              <w:t>(494,025)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gridSpan w:val="3"/>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$3,851,668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$ 4,108,953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-2567940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-2567940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-2567940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-2567940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-2567940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-2567940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Depreciation expense for the years ended December 31, 2009, 2008 and 2007 was $300.8 million, $156.4 million and $139.5 million, respectively. The increase during 2009 is due to the depreciation of assets placed in service for Encore in December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6"/>
              </w:rPr>
              <w:t>Show</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200" w:type="dxa"/>
            <w:vAlign w:val="bottom"/>
            <w:gridSpan w:val="5"/>
          </w:tcPr>
          <w:p>
            <w:pPr>
              <w:ind w:left="2240"/>
              <w:spacing w:after="0" w:line="149" w:lineRule="exact"/>
              <w:rPr>
                <w:sz w:val="20"/>
                <w:szCs w:val="20"/>
                <w:color w:val="auto"/>
              </w:rPr>
            </w:pPr>
            <w:r>
              <w:rPr>
                <w:rFonts w:ascii="Arial" w:cs="Arial" w:eastAsia="Arial" w:hAnsi="Arial"/>
                <w:sz w:val="14"/>
                <w:szCs w:val="14"/>
                <w:b w:val="1"/>
                <w:bCs w:val="1"/>
                <w:color w:val="auto"/>
              </w:rPr>
              <w:t>Production</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Water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Rights</w:t>
            </w:r>
          </w:p>
        </w:tc>
        <w:tc>
          <w:tcPr>
            <w:tcW w:w="2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1"/>
              </w:rPr>
              <w:t>Rights</w:t>
            </w:r>
          </w:p>
        </w:tc>
        <w:tc>
          <w:tcPr>
            <w:tcW w:w="1300" w:type="dxa"/>
            <w:vAlign w:val="bottom"/>
            <w:gridSpan w:val="3"/>
          </w:tcPr>
          <w:p>
            <w:pPr>
              <w:ind w:left="580"/>
              <w:spacing w:after="0"/>
              <w:rPr>
                <w:sz w:val="20"/>
                <w:szCs w:val="20"/>
                <w:color w:val="auto"/>
              </w:rPr>
            </w:pPr>
            <w:r>
              <w:rPr>
                <w:rFonts w:ascii="Arial" w:cs="Arial" w:eastAsia="Arial" w:hAnsi="Arial"/>
                <w:sz w:val="14"/>
                <w:szCs w:val="14"/>
                <w:b w:val="1"/>
                <w:bCs w:val="1"/>
                <w:color w:val="auto"/>
                <w:w w:val="88"/>
              </w:rPr>
              <w:t>Trademarks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January 1, 2008</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17,826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Additions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(6,340)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Amortization</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(2,339)</w:t>
            </w:r>
          </w:p>
        </w:tc>
        <w:tc>
          <w:tcPr>
            <w:tcW w:w="280" w:type="dxa"/>
            <w:vAlign w:val="bottom"/>
          </w:tcPr>
          <w:p>
            <w:pPr>
              <w:spacing w:after="0"/>
              <w:rPr>
                <w:sz w:val="19"/>
                <w:szCs w:val="19"/>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Additions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(2,071)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45847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Show production rights represent the amounts paid to purchase the rights to present the “Le Rêve” and “Monty Python’s Spamalot” production shows. During the year ended December 31, 2008, the Company wrote-off the show production rights associated with Spamalot as the contract for that show was terminated. The Company expects that amortization of show production rights will be approximately $2.1 million for each of the years 2010 through 2012, and approximately $0.8 million in 2013.</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6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5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$ 11,826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Base stock</w:t>
            </w:r>
          </w:p>
        </w:tc>
        <w:tc>
          <w:tcPr>
            <w:tcW w:w="5620" w:type="dxa"/>
            <w:vAlign w:val="bottom"/>
            <w:gridSpan w:val="3"/>
          </w:tcPr>
          <w:p>
            <w:pPr>
              <w:jc w:val="right"/>
              <w:spacing w:after="0"/>
              <w:rPr>
                <w:sz w:val="20"/>
                <w:szCs w:val="20"/>
                <w:color w:val="auto"/>
              </w:rPr>
            </w:pPr>
            <w:r>
              <w:rPr>
                <w:rFonts w:ascii="Arial" w:cs="Arial" w:eastAsia="Arial" w:hAnsi="Arial"/>
                <w:sz w:val="18"/>
                <w:szCs w:val="18"/>
                <w:color w:val="auto"/>
              </w:rPr>
              <w:t>22,027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5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Golf memberships</w:t>
            </w:r>
          </w:p>
        </w:tc>
        <w:tc>
          <w:tcPr>
            <w:tcW w:w="5620" w:type="dxa"/>
            <w:vAlign w:val="bottom"/>
            <w:gridSpan w:val="3"/>
          </w:tcPr>
          <w:p>
            <w:pPr>
              <w:jc w:val="right"/>
              <w:spacing w:after="0"/>
              <w:rPr>
                <w:sz w:val="20"/>
                <w:szCs w:val="20"/>
                <w:color w:val="auto"/>
              </w:rPr>
            </w:pPr>
            <w:r>
              <w:rPr>
                <w:rFonts w:ascii="Arial" w:cs="Arial" w:eastAsia="Arial" w:hAnsi="Arial"/>
                <w:sz w:val="18"/>
                <w:szCs w:val="18"/>
                <w:color w:val="auto"/>
              </w:rPr>
              <w:t>3,750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$ 58,733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$ 77,969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5000" w:type="dxa"/>
            <w:vAlign w:val="bottom"/>
            <w:vMerge w:val="restart"/>
          </w:tcPr>
          <w:p>
            <w:pPr>
              <w:jc w:val="right"/>
              <w:ind w:right="3315"/>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-325755</wp:posOffset>
            </wp:positionV>
            <wp:extent cx="3898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-325755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21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8"/>
              </w:rPr>
              <w:t xml:space="preserve">6 </w:t>
            </w:r>
            <w:r>
              <w:rPr>
                <w:rFonts w:ascii="Arial" w:cs="Arial" w:eastAsia="Arial" w:hAnsi="Arial"/>
                <w:sz w:val="11"/>
                <w:szCs w:val="11"/>
                <w:color w:val="auto"/>
                <w:w w:val="98"/>
              </w:rPr>
              <w:t>5</w:t>
            </w:r>
            <w:r>
              <w:rPr>
                <w:rFonts w:ascii="Arial" w:cs="Arial" w:eastAsia="Arial" w:hAnsi="Arial"/>
                <w:sz w:val="18"/>
                <w:szCs w:val="18"/>
                <w:color w:val="auto"/>
                <w:w w:val="98"/>
              </w:rPr>
              <w:t>/</w:t>
            </w:r>
            <w:r>
              <w:rPr>
                <w:rFonts w:ascii="Arial" w:cs="Arial" w:eastAsia="Arial" w:hAnsi="Arial"/>
                <w:sz w:val="13"/>
                <w:szCs w:val="13"/>
                <w:color w:val="auto"/>
                <w:w w:val="98"/>
              </w:rPr>
              <w:t>8</w:t>
            </w:r>
            <w:r>
              <w:rPr>
                <w:rFonts w:ascii="Arial" w:cs="Arial" w:eastAsia="Arial" w:hAnsi="Arial"/>
                <w:sz w:val="18"/>
                <w:szCs w:val="18"/>
                <w:color w:val="auto"/>
                <w:w w:val="98"/>
              </w:rPr>
              <w:t>% First Mortgage Notes, due December 1, 2014, net of original issue discount of $8,214 and $9,561, 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$1,626,016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$ 1,690,439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9"/>
              </w:rPr>
              <w:t xml:space="preserve">7 </w:t>
            </w:r>
            <w:r>
              <w:rPr>
                <w:rFonts w:ascii="Arial" w:cs="Arial" w:eastAsia="Arial" w:hAnsi="Arial"/>
                <w:sz w:val="11"/>
                <w:szCs w:val="11"/>
                <w:color w:val="auto"/>
                <w:w w:val="99"/>
              </w:rPr>
              <w:t>7</w:t>
            </w:r>
            <w:r>
              <w:rPr>
                <w:rFonts w:ascii="Arial" w:cs="Arial" w:eastAsia="Arial" w:hAnsi="Arial"/>
                <w:sz w:val="18"/>
                <w:szCs w:val="18"/>
                <w:color w:val="auto"/>
                <w:w w:val="99"/>
              </w:rPr>
              <w:t>/</w:t>
            </w:r>
            <w:r>
              <w:rPr>
                <w:rFonts w:ascii="Arial" w:cs="Arial" w:eastAsia="Arial" w:hAnsi="Arial"/>
                <w:sz w:val="13"/>
                <w:szCs w:val="13"/>
                <w:color w:val="auto"/>
                <w:w w:val="99"/>
              </w:rPr>
              <w:t>8</w:t>
            </w:r>
            <w:r>
              <w:rPr>
                <w:rFonts w:ascii="Arial" w:cs="Arial" w:eastAsia="Arial" w:hAnsi="Arial"/>
                <w:sz w:val="18"/>
                <w:szCs w:val="18"/>
                <w:color w:val="auto"/>
                <w:w w:val="99"/>
              </w:rPr>
              <w:t>% First Mortgage Notes, due November 1, 2017, net of original issue discount of $10,529 at December 31, 2009</w:t>
            </w:r>
          </w:p>
        </w:tc>
        <w:tc>
          <w:tcPr>
            <w:tcW w:w="800" w:type="dxa"/>
            <w:vAlign w:val="bottom"/>
          </w:tcPr>
          <w:p>
            <w:pPr>
              <w:jc w:val="right"/>
              <w:spacing w:after="0"/>
              <w:rPr>
                <w:sz w:val="20"/>
                <w:szCs w:val="20"/>
                <w:color w:val="auto"/>
              </w:rPr>
            </w:pPr>
            <w:r>
              <w:rPr>
                <w:rFonts w:ascii="Arial" w:cs="Arial" w:eastAsia="Arial" w:hAnsi="Arial"/>
                <w:sz w:val="18"/>
                <w:szCs w:val="18"/>
                <w:color w:val="auto"/>
              </w:rPr>
              <w:t>489,471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Revolving Credit Facility; due July 15, 2013; interest at LIBOR plus 3.0% and 1.625% (approximately 3.24% and 2.2%),</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3"/>
              </w:rPr>
              <w:t>Term Loan Facility; $40.2 million due September 30, 2012 with the remaining $40.2 million due August 15, 2013; interest at</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LIBOR plus 1.875% (approximately 2.12% and 3.1%, respectively)</w:t>
            </w:r>
          </w:p>
        </w:tc>
        <w:tc>
          <w:tcPr>
            <w:tcW w:w="800" w:type="dxa"/>
            <w:vAlign w:val="bottom"/>
          </w:tcPr>
          <w:p>
            <w:pPr>
              <w:jc w:val="right"/>
              <w:spacing w:after="0"/>
              <w:rPr>
                <w:sz w:val="20"/>
                <w:szCs w:val="20"/>
                <w:color w:val="auto"/>
              </w:rPr>
            </w:pPr>
            <w:r>
              <w:rPr>
                <w:rFonts w:ascii="Arial" w:cs="Arial" w:eastAsia="Arial" w:hAnsi="Arial"/>
                <w:sz w:val="18"/>
                <w:szCs w:val="18"/>
                <w:color w:val="auto"/>
              </w:rPr>
              <w:t>80,446</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$42 million Note Payable; due April 1, 2017; interest at LIBOR plus 1.25% (approximately 1.8% and, 3.0% 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Payable to Affiliate</w:t>
            </w:r>
          </w:p>
        </w:tc>
        <w:tc>
          <w:tcPr>
            <w:tcW w:w="800" w:type="dxa"/>
            <w:vAlign w:val="bottom"/>
          </w:tcPr>
          <w:p>
            <w:pPr>
              <w:jc w:val="right"/>
              <w:spacing w:after="0"/>
              <w:rPr>
                <w:sz w:val="20"/>
                <w:szCs w:val="20"/>
                <w:color w:val="auto"/>
              </w:rPr>
            </w:pPr>
            <w:r>
              <w:rPr>
                <w:rFonts w:ascii="Arial" w:cs="Arial" w:eastAsia="Arial" w:hAnsi="Arial"/>
                <w:sz w:val="18"/>
                <w:szCs w:val="18"/>
                <w:color w:val="auto"/>
              </w:rPr>
              <w:t>65,770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2,552,570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2,834,473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(1,050)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$2,551,520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$ 2,833,423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On December 14, 2004, the Issuers issued $1.3 billion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December 1, 2014. On November 6, 2007, the Issuers issued, in a private offering, $400 million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December 1, 2014 at a price of 97.25% of the principal amount. These notes were issued under the same indenture as the original $1.3 billion first mortgage notes. Both offerings are referred to herein as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The Company pays interest on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on June 1st and December 1st of each year. Commencing December 1, 2009,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are redeemable at the Company’s option at a price equal to 103.313% of the principal amount redeemed and declining ratably on December 1st of each year thereafter to zero on or after December 1, 2012.</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The indenture governing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 xml:space="preserve">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the guarantees thereof are secured by: (1) a first priority pledge of all of the member’s interests owned by Wynn Las Vegas, LLC in its subsidiaries (other than Wynn Completion Guarantor, LLC) and of Wynn Resorts Holdings, LLC’s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among other things, an aircraft beneficially owned by World Travel, LLC.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6 5/8% First Mortgage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During the year ended December 31, 2009, Wynn Resorts purchased $65.8 million face amount of the 6 </w:t>
      </w:r>
      <w:r>
        <w:rPr>
          <w:rFonts w:ascii="Arial" w:cs="Arial" w:eastAsia="Arial" w:hAnsi="Arial"/>
          <w:sz w:val="10"/>
          <w:szCs w:val="10"/>
          <w:color w:val="auto"/>
        </w:rPr>
        <w:t>5</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First Mortgage Notes through open market purchases at a discount. The purchase of the notes by Wynn Resorts has not been contributed to the Company and the notes have not been retired. Accordingly, $65.8 million of the 6 5/8%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$13.7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October 2009,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November 1, 2017 at a price of 97.823% of the principal amount. Net proceeds to the Company were approximately $480 million, after deducting the original issue discount and underwriting fees and other expenses. The Company pays interest on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on May 1st and November 1st of each year. Commencing November 1, 2013,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are redeemable at the Company’s option at a price equal to 103.938% of the principal amount redeemed and decline ratably on November 1st of each year thereafter to zero on or after November 1, 2015. The notes rank pari passu with the borrowings under the Wynn Las Vegas credit facilities and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have not been registered under the Securities Act of 1933 or under any state securities laws. Therefore, the holders may not offer or sell the notes within the United States to, or for the account or benefit of, any United States person unless the offer or sale would qualify for a registration exemption from the Securities Act and applicable state securities laws. The Issuers have agreed to make an offer to exchange the notes for registered, publically traded notes that have substantially identical terms as the notes.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the Wynn Las Vegas Amended and Restated Credit Agreement (the “Credit Agreement”), consisted of a $457.9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(the “Wynn Las Vegas Revolver”) and an $80.4 million term loan facility (the “Wynn Las Vegas Term Loan”) (together the “Wynn Las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Vegas Credit Facilities”). As of December 31, 2009, the Company had borrowed $252.7 million under the Wynn Las Vegas Revolver. The Company also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 million of outstanding letters of credit that reduce the availability under the Wynn Las Vegas Revolver. Consequently, there was availability of $185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Wynn Las Vegas Revolver as of December 31, 2009. As described below, during the year ended December 31, 2009, the Company (a) extended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maturity of the Wynn Las Vegas Revolver, (b) received relief from certain financial covenants, (c) increased the Wynn Las Vegas Revolver by $65 million,</w:t>
      </w:r>
    </w:p>
    <w:p>
      <w:pPr>
        <w:spacing w:after="0" w:line="32" w:lineRule="exact"/>
        <w:rPr>
          <w:sz w:val="20"/>
          <w:szCs w:val="20"/>
          <w:color w:val="auto"/>
        </w:rPr>
      </w:pPr>
    </w:p>
    <w:p>
      <w:pPr>
        <w:ind w:right="660" w:firstLine="8"/>
        <w:spacing w:after="0" w:line="323" w:lineRule="auto"/>
        <w:tabs>
          <w:tab w:leader="none" w:pos="2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repurchased $87.6 million of Wynn Las Vegas Revolver loans at a discount, and (e) used the net proceeds received from the $500 million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issuance to repay amounts outstanding, including a permanent reduction in the Wynn Las Vegas Credit Facilities of $360 million.</w:t>
      </w:r>
    </w:p>
    <w:p>
      <w:pPr>
        <w:spacing w:after="0" w:line="7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April 2009, the Company entered into a fourth amendment to the Credit Agreement. This amendment, among other things, (i) provides a waiver of the Consolidated Leverage Ratio, as defined in the Credit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Agreement, until the quarter ending June 30, 2011, and increases such thresholds thereafter; (ii) provides additional flexibility with the Consolidated Interest Coverage Ratio, as defined in the Credit Agreement, by reducing such ratio from 1.75 : 1 to 1.25 : 1 beginning June 30, 2009 through March 31, 2011; and</w:t>
      </w:r>
    </w:p>
    <w:p>
      <w:pPr>
        <w:jc w:val="both"/>
        <w:ind w:right="40" w:firstLine="8"/>
        <w:spacing w:after="0" w:line="254" w:lineRule="auto"/>
        <w:tabs>
          <w:tab w:leader="none" w:pos="3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removes the dollar limit on the equity cure provisions for the purpose of the Consolidated Leverage Ratio and the Consolidated Interest Coverage Ratio over the life of the loan. In exchange for the amendments, the Company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the Company expanded the availability of the Wynn Las Vegas Revolver by $65 million.</w:t>
      </w:r>
    </w:p>
    <w:p>
      <w:pPr>
        <w:spacing w:after="0" w:line="18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September 2009, the Company entered into a fifth amendment to the Credit Agreement. This amendment, among other things, (i) permits Wynn Las Vegas to issue, on or before March 31, 2010, up to $500 million of new senior secured notes and (ii) requires that 75% of the net cash proceeds of any issuance of new senior secured notes be applied to prepay loans and reduce commitments under the Credit Agreement.</w:t>
      </w:r>
    </w:p>
    <w:p>
      <w:pPr>
        <w:spacing w:after="0" w:line="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the Company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In October 2009, in accordance with the fifth amendment to the Wynn Las Vegas Credit Agreement described above, the Company used the proceeds of the $500 million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to repay amounts outstanding under the Wynn Las Vegas Revolver and Wynn Las Vegas Term Loan.</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Wynn Las Vegas Term Loan is payable in two installments of $40.2 million each on September 30, 2012 and August 15, 2013. The Wynn Las Vegas Revolver matures on July 15, 2013.</w:t>
      </w:r>
    </w:p>
    <w:p>
      <w:pPr>
        <w:spacing w:after="0" w:line="118"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For purposes of calculating interest, loans under the Wynn Las Vegas Credit Facilities will be designated, at the election of Wynn Las Vegas, LLC, as Eurodollar Loans or, in certain circumstances, Base Rate Loans. As of December 31, 2009, Eurodollar Loans under the Wynn Las Vegas Revolver and Wynn Las Vegas Term Loan bear interest initially at the Eurodollar rate plus 3.0%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greatest of (i) the rate most recently announced by Deutsche Bank as its “prime rate,” (ii) the Federal Funds Rate plus 1/2 of 1% per annum, and (iii) in the case of a Wynn Las Vegas Revolver loan the one month Eurodollar rate; plus (b) a borrowing margin of 2.0% for Wynn Las Vegas Revolver loans and 0.875% for Wynn Las Vegas Term Loans. Interest on Base Rate Loans will be payable quarterly in arrears. Wynn Las Vegas, LLC also pays, quarterly in arrears, 1.0% per annum on the daily average of unborrowed amounts under the Wynn Las Vegas Revolver.</w:t>
      </w:r>
    </w:p>
    <w:p>
      <w:pPr>
        <w:spacing w:after="0" w:line="9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Wynn Las Vegas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Wynn Las Vegas Credit Facilities are secured by: (1) a first priority pledge of all member’s interests owned by Wynn Las Vegas, LLC in its subsidiaries (other than Wynn Completion Guarantor, LLC) and Wynn Resorts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Holdings, LLC’s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an aircraft beneficially owned by World Travel, LLC.</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obligations of Wynn Las Vegas, LLC and the guarantors under the Wynn Las Vegas Credit Facilities rank equal in right of payment with their existing and future senior indebtedness, including indebtedness with respect to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ranks senior in right of payment to all of their existing and future subordinated indebtedness.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Wynn Las Vegas Credit Facilities from the net proceeds of all debt offerings (other than those constituting certain permitted debt). Wynn Las Vegas, LLC is also required to make mandatory repayments of indebtedness under the Wynn Las Vegas credit facilities from specified percentages of excess cash flow, which percentages may decrease and/or be eliminated based on Wynn Las Vegas, LLC’s leverage ratio. Wynn Las Vegas, LLC has the option to prepay all or any portion of the indebtedness under the Wynn Las Vegas Credit Facilities at any time without premium or penalty.</w:t>
      </w:r>
    </w:p>
    <w:p>
      <w:pPr>
        <w:spacing w:after="0" w:line="10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Consolidated Interest Coverage Ratio, as defined, not less than 1.25 : 1 as of December 31, 2009. Management believes that the Company was in compliance with all covenants at December 31, 2009. The Company will be required to maintain a Consolidated Leverage Ratio, as defined, of 6.50 : 1 for the quarterly reporting date ending June 30, 2011, 6.25 : 1 for the quarterly reporting date ending September 30, 2011 and 6.00 : 1 for each quarterly reporting date thereafter to maturity. The Consolidated Interest Coverage Ratio remains at 1.25 : 1 for the quarterly reporting dates through March 31, 2011, and then increases to 1.75 : 1 for the quarterly reporting dates June 30, 2011 to maturity.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$42 Million Note Payable for Aircraft</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one of the Company’s aircraft. Principal payments of $350,000 plus interest are made quarterly with a balloon payment of $28 million due at maturity, April 1, 2017. Interest is calculated at 90-day LIBOR plus 125 basis points.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net book value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at December 31, 2009 and 2008, was approximately $2.2 billion and $1.7 billion, respectively. The estimated fair value of the First Mortgage Notes based upon most recent trades at December 31, 2009 and 2008, was approximately $2.1 billion and $1.25 billion, respectively. The net book value of the Company’s other debt instruments was $400 million and the approximate fair value of such debt was approximately $350 million as of December 31, 2009.</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459"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Scheduled maturities of long-term debt including the accretion of debt discounts of approximately $18.7 million are as follows (amounts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Years Ending December 31,</w:t>
            </w:r>
          </w:p>
        </w:tc>
        <w:tc>
          <w:tcPr>
            <w:tcW w:w="33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83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35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540" w:type="dxa"/>
            <w:vAlign w:val="bottom"/>
            <w:shd w:val="clear" w:color="auto" w:fill="CCEEFF"/>
          </w:tcPr>
          <w:p>
            <w:pPr>
              <w:spacing w:after="0"/>
              <w:rPr>
                <w:sz w:val="18"/>
                <w:szCs w:val="18"/>
                <w:color w:val="auto"/>
              </w:rPr>
            </w:pPr>
          </w:p>
        </w:tc>
        <w:tc>
          <w:tcPr>
            <w:tcW w:w="34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2011</w:t>
            </w:r>
          </w:p>
        </w:tc>
        <w:tc>
          <w:tcPr>
            <w:tcW w:w="35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5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2013</w:t>
            </w:r>
          </w:p>
        </w:tc>
        <w:tc>
          <w:tcPr>
            <w:tcW w:w="35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294,339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5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1,701,400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3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531,500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90" w:type="dxa"/>
            <w:vAlign w:val="bottom"/>
            <w:tcBorders>
              <w:bottom w:val="single" w:sz="8" w:color="808080"/>
            </w:tcBorders>
          </w:tcPr>
          <w:p>
            <w:pPr>
              <w:spacing w:after="0"/>
              <w:rPr>
                <w:sz w:val="8"/>
                <w:szCs w:val="8"/>
                <w:color w:val="auto"/>
              </w:rPr>
            </w:pPr>
          </w:p>
        </w:tc>
        <w:tc>
          <w:tcPr>
            <w:tcW w:w="83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34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2,571,312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90" w:type="dxa"/>
            <w:vAlign w:val="bottom"/>
            <w:tcBorders>
              <w:bottom w:val="single" w:sz="8" w:color="808080"/>
            </w:tcBorders>
          </w:tcPr>
          <w:p>
            <w:pPr>
              <w:spacing w:after="0"/>
              <w:rPr>
                <w:sz w:val="11"/>
                <w:szCs w:val="11"/>
                <w:color w:val="auto"/>
              </w:rPr>
            </w:pPr>
          </w:p>
        </w:tc>
        <w:tc>
          <w:tcPr>
            <w:tcW w:w="83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Operations, as the interest rate swaps do not qualify for hedge accounting.</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its swap contract as Level 2.</w:t>
      </w:r>
    </w:p>
    <w:p>
      <w:pPr>
        <w:spacing w:after="0" w:line="1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currently has one interest rate swap agreement to hedge a portion of the underlying interest rate risk on borrowings under the Wynn Las Vegas Credit Facilities. Under this swap agreement, beginning November 27, 2009,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December 31, 2009, the fair value of this interest rate swap was a liability of $4.2 million, which is included in long term liabilities in the accompanying balance sheet.</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December 2008, the Company’s $200 million notional amount interest rate swap that essentially fixed the interest rate on $200 million of the $225 million Wynn Las Vegas Term Loan borrowings matured. Pursuant to the terms of this interest rate swap, the Company paid a fixed rate of 3.793% on the $200 million notional amount and received payments based on LIBOR. This swap fixed the interest rate at approximately 5.7% on $200 million of the then outstanding $225 million term loan.</w:t>
      </w:r>
    </w:p>
    <w:p>
      <w:pPr>
        <w:spacing w:after="0" w:line="124" w:lineRule="exact"/>
        <w:rPr>
          <w:sz w:val="20"/>
          <w:szCs w:val="20"/>
          <w:color w:val="auto"/>
        </w:rPr>
      </w:pPr>
    </w:p>
    <w:p>
      <w:pPr>
        <w:ind w:left="240" w:right="8860" w:hanging="232"/>
        <w:spacing w:after="0" w:line="398" w:lineRule="auto"/>
        <w:tabs>
          <w:tab w:leader="none" w:pos="187"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As of December 31, 2009 the Company’s current Due to affiliates, net was comprised of construction payables of approximately $21.4 million, construction retention of approximately $1.8 million and other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amounts due to affiliates totaling $1.7 million (including corporate allocations discussed below). The long-term Due to affiliates is management fees of $82.3 million (equal to 1.5% of revenues and payable upon meeting certain leverage ratios as specified in the documents governing the Company’s Credit Facilities and the First Mortgage Notes indentures).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of December 31, 2008, the Company’s current Due to affiliates, net was comprised of construction payables of approximately $123.4 million, construction retention of approximately $77.7 million and other net amounts receivable from affiliates totaling $0.7 million. The long-term Due to affiliates is management fees of $63.9 million (equal to 1.5% of net revenues and payable upon meeting certain leverage ratios as specified in the documents governing the Company’s Credit Facilities and the First Mortgage Notes indenture).</w:t>
      </w:r>
    </w:p>
    <w:p>
      <w:pPr>
        <w:spacing w:after="0" w:line="13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Company’s Credit Facilities and the First Mortgage Notes indenture.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with the fourth quarter of 2008 and ending with the third quarter of 2009, the Company was unable to and did not intend to settle this corporate allocation and accordingly, such allocations were recorded as a contribution to equity from Wynn Resorts. During the years ended December 31, 2009, 2008 and 2007, approximately $25.0 million, $22 million, and $25.9 million, respectively, was charged to the Company for such corporate allocations.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 At December 31, 2009 and 2008, Wynn Resorts owed Mr. Wynn and the other officers and directors approximately $789,095 and $434,003,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Effective July 1, 2005, Mr. Wynn and Elaine P. Wynn, who is also a director of Wynn Resorts, lease from year to year a villa suite in the Wynn Las Vegas resort. In March 2009, this lease was amended to add an additional unit to the leased premises.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Certain services for, and maintenance of, the suites are included in the rental. For the two year period commencing July 1, 2008 and ending June 30, 2010, based on a third-party appraisal and a reduction in housekeeping services to be provided, the Audit Committee determined the rent for each year will be $520,000. There was no change in the rent when the additional unit was added to the lease in March 2009 due to significant deterioration in the Las Vegas rental market.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years ended December 31, 2009, 2008 and 2007, were $24.5 million, $22.4 million and $6 million, respectively.</w:t>
      </w:r>
    </w:p>
    <w:p>
      <w:pPr>
        <w:spacing w:after="0" w:line="18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response to the Company’s evaluation of its properties and the reactions of its guests, the Company makes enhancements and refinements to the properties. Costs relating to assets retired as a result of these enhancement and remodel efforts have been expensed as property charges. Property charges and other for the year ended December 31, 2009 include the following: (a) a $16.7 million charge for the abandonment of the front porte-cochere at Encore to make way for an addition to that property, (b) a $5.3 million charge for the write-off of two aircraft deposits, and (c) $2.5 million related to miscellaneous remodels, abandonments and loss on sale of equipment.</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Property charges and other for the year ended December 31, 2008 include $17.8 million of costs associated with Spamalot at Wynn Las Vegas which closed in mid-July 2008. Together with the producers, the Company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 During the year ended December 31, 2007, property charges were recorded related to the remodel and enhancements made to the Le Rêve Theater, the abandonment of a marquee sign, two retail outlet conversions and the conversion of </w:t>
      </w:r>
      <w:r>
        <w:rPr>
          <w:rFonts w:ascii="Arial" w:cs="Arial" w:eastAsia="Arial" w:hAnsi="Arial"/>
          <w:sz w:val="16"/>
          <w:szCs w:val="16"/>
          <w:i w:val="1"/>
          <w:iCs w:val="1"/>
          <w:color w:val="auto"/>
        </w:rPr>
        <w:t>Lure</w:t>
      </w:r>
      <w:r>
        <w:rPr>
          <w:rFonts w:ascii="Arial" w:cs="Arial" w:eastAsia="Arial" w:hAnsi="Arial"/>
          <w:sz w:val="16"/>
          <w:szCs w:val="16"/>
          <w:color w:val="auto"/>
        </w:rPr>
        <w:t xml:space="preserve"> to the nighclub </w:t>
      </w:r>
      <w:r>
        <w:rPr>
          <w:rFonts w:ascii="Arial" w:cs="Arial" w:eastAsia="Arial" w:hAnsi="Arial"/>
          <w:sz w:val="16"/>
          <w:szCs w:val="16"/>
          <w:i w:val="1"/>
          <w:iCs w:val="1"/>
          <w:color w:val="auto"/>
        </w:rPr>
        <w:t>Blush.</w:t>
      </w:r>
    </w:p>
    <w:p>
      <w:pPr>
        <w:spacing w:after="0" w:line="101" w:lineRule="exact"/>
        <w:rPr>
          <w:sz w:val="20"/>
          <w:szCs w:val="20"/>
          <w:color w:val="auto"/>
        </w:rPr>
      </w:pPr>
    </w:p>
    <w:p>
      <w:pPr>
        <w:ind w:left="240" w:right="9520" w:hanging="232"/>
        <w:spacing w:after="0" w:line="398" w:lineRule="auto"/>
        <w:tabs>
          <w:tab w:leader="none" w:pos="266"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$1.2 million, $4.8 million and $4.5 million for the years ended December 31, 2009, 2008 and 2007, respectively. Effective March 16, 2009, the Company suspended matching contributions to this plan.</w:t>
      </w:r>
    </w:p>
    <w:p>
      <w:pPr>
        <w:spacing w:after="0" w:line="13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$6.2 million, $4.6 million and $4.5 million under such plans for the years ended December 31, 2009, 2008 and 2007, respectively. Information from the plans’ sponsors is not available to permit the Company to determine its share of unfunded vested benefits, if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maximum of 9,750,000 shares of Wynn Resorts’ common stock has been reserved for issuance under the Stock Plan. As of December 31, 2009, 419,545 shares remain available for the grant of stock options or nonvested shares of Wynn Resorts’ common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with no vesting in the first two years; cliff vesting at a determined date; and others to be determined at the time of grant. All options expire ten years from the date of grant.</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option activity under the Stock Plan that relates to employees of the Company, as of December 31, 2009, and changes during the year then ended is presented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10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5"/>
                <w:szCs w:val="15"/>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Term</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1,484,466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$ 63.32</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920,000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$ 50.03</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5"/>
              </w:rPr>
              <w:t>(184,916)</w:t>
            </w: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$ 24.66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w w:val="95"/>
              </w:rPr>
              <w:t>(173,333)</w:t>
            </w: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$ 69.44</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 of employees from affiliate</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$ 57.16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2,174,592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$ 60.14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13,989,061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2,022,615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$ 59.39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13,269,627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683,168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$ 52.65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5,466,946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-629285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-629285</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-329565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-329565</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weighted average fair value of options granted during the years ended December 31, 2009, 2008 and 2007 was $29.04, $60.09 and $0, respectively. The total intrinsic value of the options exercised for the years ended December 31, 2009, 2008 and 2007 was $6 million, $1.3 million and $7.9 million, respectively. As of December 31, 2009, there was a total of $38.1 million of unamortized compensation related to stock options, which is expected to be recognized as compensation over the vesting period of the related grants through May 2019.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Nonvested Shares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nonvested share activity under the Stock Plan that relates to employees of the Company, as of December 31, 2009, and changes during the year then ended is presented below:</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Shares</w:t>
            </w:r>
          </w:p>
        </w:tc>
        <w:tc>
          <w:tcPr>
            <w:tcW w:w="26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231,750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85.40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Granted</w:t>
            </w: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(4,500)</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center"/>
              <w:ind w:left="96"/>
              <w:spacing w:after="0"/>
              <w:rPr>
                <w:sz w:val="20"/>
                <w:szCs w:val="20"/>
                <w:color w:val="auto"/>
              </w:rPr>
            </w:pPr>
            <w:r>
              <w:rPr>
                <w:rFonts w:ascii="Arial" w:cs="Arial" w:eastAsia="Arial" w:hAnsi="Arial"/>
                <w:sz w:val="18"/>
                <w:szCs w:val="18"/>
                <w:color w:val="auto"/>
                <w:w w:val="88"/>
              </w:rPr>
              <w:t>69.05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227,250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85.72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weighted average grant date fair value of nonvested shares granted during the years ended December 31, 2008 and 2007 was $104.27 and $123.73, respectively. The total fair value of shares vested during the year ended December 31, 2008 was $0.8 million. No shares vested during the years ended December 31, 2009 and 2007. Approximately $10 million of unamortized compensation cost relating to nonvested shares at December 31, 2009, will be recognized as compensation over the vesting period of the related grants through December 2016.</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Cost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Wynn Resort’s common stock. Expected term represents the weighted average time between the option’s grant date and its exercise date. Wynn Resorts uses the simplified method for companies with a limited trading history to estimate the expected term. The risk-free interest rate used for each period presented is based on the U.S. Treasury yield curve at the time of grant for the period equal to the expected term.</w:t>
      </w:r>
    </w:p>
    <w:p>
      <w:pPr>
        <w:spacing w:after="0" w:line="10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fair value per option was estimated on the date of grant using the weighted-average assumptions noted in the table below. There were no options granted during the year ended December 31, 2007.</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4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6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1140" w:type="dxa"/>
            <w:vAlign w:val="bottom"/>
          </w:tcPr>
          <w:p>
            <w:pPr>
              <w:spacing w:after="0"/>
              <w:rPr>
                <w:sz w:val="22"/>
                <w:szCs w:val="22"/>
                <w:color w:val="auto"/>
              </w:rPr>
            </w:pP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74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0.30%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740" w:type="dxa"/>
            <w:vAlign w:val="bottom"/>
            <w:gridSpan w:val="3"/>
          </w:tcPr>
          <w:p>
            <w:pPr>
              <w:jc w:val="right"/>
              <w:ind w:right="1000"/>
              <w:spacing w:after="0"/>
              <w:rPr>
                <w:sz w:val="20"/>
                <w:szCs w:val="20"/>
                <w:color w:val="auto"/>
              </w:rPr>
            </w:pPr>
            <w:r>
              <w:rPr>
                <w:rFonts w:ascii="Arial" w:cs="Arial" w:eastAsia="Arial" w:hAnsi="Arial"/>
                <w:sz w:val="18"/>
                <w:szCs w:val="18"/>
                <w:color w:val="auto"/>
              </w:rPr>
              <w:t>56.2%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74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2.8%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040" w:type="dxa"/>
            <w:vAlign w:val="bottom"/>
          </w:tcPr>
          <w:p>
            <w:pPr>
              <w:jc w:val="right"/>
              <w:ind w:right="1936"/>
              <w:spacing w:after="0"/>
              <w:rPr>
                <w:sz w:val="20"/>
                <w:szCs w:val="20"/>
                <w:color w:val="auto"/>
              </w:rPr>
            </w:pPr>
            <w:r>
              <w:rPr>
                <w:rFonts w:ascii="Arial" w:cs="Arial" w:eastAsia="Arial" w:hAnsi="Arial"/>
                <w:sz w:val="18"/>
                <w:szCs w:val="18"/>
                <w:color w:val="auto"/>
              </w:rPr>
              <w:t>58</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2009, 2008 and 2007 is allocated as follows (amounts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380" w:type="dxa"/>
            <w:vAlign w:val="bottom"/>
            <w:gridSpan w:val="7"/>
          </w:tcPr>
          <w:p>
            <w:pPr>
              <w:jc w:val="right"/>
              <w:ind w:right="332"/>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24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2009</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9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Rooms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371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210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Preopening costs</w:t>
            </w:r>
          </w:p>
        </w:tc>
        <w:tc>
          <w:tcPr>
            <w:tcW w:w="174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32131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32131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19" w:lineRule="exact"/>
        <w:rPr>
          <w:sz w:val="20"/>
          <w:szCs w:val="20"/>
          <w:color w:val="auto"/>
        </w:rPr>
      </w:pPr>
    </w:p>
    <w:p>
      <w:pPr>
        <w:ind w:left="240" w:right="8660" w:hanging="232"/>
        <w:spacing w:after="0" w:line="373" w:lineRule="auto"/>
        <w:tabs>
          <w:tab w:leader="none" w:pos="275"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Aircraft Deposits</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had made deposits on an aircraft purchase totaling $13.4 million which is included in other assets as of December 31, 2008. The Company was scheduled to take delivery of this airplane in 2009 with additional payments to be made totaling $31.1 million. On February 19, 2009, the Company cancelled the agreement to purchase this aircraft. In connection with this cancellation, the Company wrote-off $5.3 million of deposits, net of amounts refunded.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arrangements</w:t>
      </w:r>
    </w:p>
    <w:p>
      <w:pPr>
        <w:spacing w:after="0" w:line="7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6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2011</w:t>
            </w:r>
          </w:p>
        </w:tc>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2013</w:t>
            </w:r>
          </w:p>
        </w:tc>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Thereafter</w:t>
            </w:r>
          </w:p>
        </w:tc>
        <w:tc>
          <w:tcPr>
            <w:tcW w:w="6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12,864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420" w:type="dxa"/>
            <w:vAlign w:val="bottom"/>
            <w:vMerge w:val="restart"/>
          </w:tcPr>
          <w:p>
            <w:pPr>
              <w:jc w:val="right"/>
              <w:ind w:right="381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-325755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the Company is the lessee under leases for certain land, buildings and office equipment. At December 31, 2009, the Company was obligated under non-cancellable operating leases, to make future minimum lease payments as follows (amounts in thousands):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6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2011</w:t>
            </w:r>
          </w:p>
        </w:tc>
        <w:tc>
          <w:tcPr>
            <w:tcW w:w="7000" w:type="dxa"/>
            <w:vAlign w:val="bottom"/>
            <w:gridSpan w:val="2"/>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2013</w:t>
            </w:r>
          </w:p>
        </w:tc>
        <w:tc>
          <w:tcPr>
            <w:tcW w:w="700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Thereafter</w:t>
            </w:r>
          </w:p>
        </w:tc>
        <w:tc>
          <w:tcPr>
            <w:tcW w:w="7000" w:type="dxa"/>
            <w:vAlign w:val="bottom"/>
            <w:gridSpan w:val="2"/>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right="1860" w:firstLine="228"/>
        <w:spacing w:after="0" w:line="375" w:lineRule="auto"/>
        <w:rPr>
          <w:sz w:val="20"/>
          <w:szCs w:val="20"/>
          <w:color w:val="auto"/>
        </w:rPr>
      </w:pPr>
      <w:r>
        <w:rPr>
          <w:rFonts w:ascii="Arial" w:cs="Arial" w:eastAsia="Arial" w:hAnsi="Arial"/>
          <w:sz w:val="18"/>
          <w:szCs w:val="18"/>
          <w:color w:val="auto"/>
        </w:rPr>
        <w:t xml:space="preserve">Rent expense for the years ended December 31, 2009, 2008 and 2007 was $8 million, $6.9 million and $7.4 million, respectively. </w:t>
      </w:r>
      <w:r>
        <w:rPr>
          <w:rFonts w:ascii="Arial" w:cs="Arial" w:eastAsia="Arial" w:hAnsi="Arial"/>
          <w:sz w:val="18"/>
          <w:szCs w:val="18"/>
          <w:i w:val="1"/>
          <w:iCs w:val="1"/>
          <w:color w:val="auto"/>
        </w:rPr>
        <w:t>Self-insurance</w:t>
      </w:r>
    </w:p>
    <w:p>
      <w:pPr>
        <w:spacing w:after="0" w:line="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2009.</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March 2008, the Nevada Supreme Court ruled, in the matter captioned </w:t>
      </w:r>
      <w:r>
        <w:rPr>
          <w:rFonts w:ascii="Arial" w:cs="Arial" w:eastAsia="Arial" w:hAnsi="Arial"/>
          <w:sz w:val="16"/>
          <w:szCs w:val="16"/>
          <w:i w:val="1"/>
          <w:iCs w:val="1"/>
          <w:color w:val="auto"/>
        </w:rPr>
        <w:t>Sparks Nugget, Inc. vs. The State of Nevada Ex Rel. Department of Taxation</w:t>
      </w:r>
      <w:r>
        <w:rPr>
          <w:rFonts w:ascii="Arial" w:cs="Arial" w:eastAsia="Arial" w:hAnsi="Arial"/>
          <w:sz w:val="16"/>
          <w:szCs w:val="16"/>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Due to the uncertainty surrounding this matter, a receivable has not been recorded as of December 31,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Member’s Equity</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During the year ended December 31, 2009, Wynn Resorts made cash capital contributions to the Company totaling $413 million. The proceeds from these contributions were used to fund construction costs of Encore paid during the period and to fund paydowns on the Wynn Las Vegas Credit Facilities.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Information of Guarantors and Issuers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2009 and 2008, and for each of the three years in the period ended December 31, 2009.</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24,864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282,583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3,653,786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197,882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3,851,668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(16,450)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36,342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23,264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101,340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101,507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(163,895)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193,256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42,872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195,697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2,514,420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37,100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2,551,520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2,643,855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232,797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2,868,771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1,912,146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1,912,146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(526,593)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1,385,553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1,385,553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-3962400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-3962400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-3962400</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-3962400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-3962400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-3962400</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-3962400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-3962400</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-3962400</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-3962400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-3962400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-3962400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-3962400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-3962400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-3962400</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Issuers</w:t>
            </w:r>
          </w:p>
        </w:tc>
        <w:tc>
          <w:tcPr>
            <w:tcW w:w="20" w:type="dxa"/>
            <w:vAlign w:val="bottom"/>
          </w:tcPr>
          <w:p>
            <w:pPr>
              <w:spacing w:after="0"/>
              <w:rPr>
                <w:sz w:val="15"/>
                <w:szCs w:val="15"/>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6"/>
              </w:rPr>
              <w:t>Subsidiary</w:t>
            </w:r>
          </w:p>
        </w:tc>
        <w:tc>
          <w:tcPr>
            <w:tcW w:w="120" w:type="dxa"/>
            <w:vAlign w:val="bottom"/>
          </w:tcPr>
          <w:p>
            <w:pPr>
              <w:spacing w:after="0"/>
              <w:rPr>
                <w:sz w:val="15"/>
                <w:szCs w:val="15"/>
                <w:color w:val="auto"/>
              </w:rPr>
            </w:pPr>
          </w:p>
        </w:tc>
        <w:tc>
          <w:tcPr>
            <w:tcW w:w="11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98,277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21,465</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338,263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3,906,460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202,493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4,108,953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37,462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64,619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(7,286)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4,350,255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226,725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4,584,271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46,701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48,822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24,571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Customer deposits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96,358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96,358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201,003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233,864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203,397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2,794,923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2,833,423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3,092,692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241,897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3,326,708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Member’s equity:</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1,474,286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1,474,286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8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(216,723)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520"/>
              <w:spacing w:after="0"/>
              <w:rPr>
                <w:sz w:val="20"/>
                <w:szCs w:val="20"/>
                <w:color w:val="auto"/>
              </w:rPr>
            </w:pPr>
            <w:r>
              <w:rPr>
                <w:rFonts w:ascii="Arial" w:cs="Arial" w:eastAsia="Arial" w:hAnsi="Arial"/>
                <w:sz w:val="18"/>
                <w:szCs w:val="18"/>
                <w:color w:val="auto"/>
                <w:w w:val="95"/>
              </w:rPr>
              <w:t>(27,702)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19,816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1,257,563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95"/>
              </w:rPr>
              <w:t>(15,172)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1,257,563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4,350,255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226,725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4,584,271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-3825240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-3825240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-3825240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-3825240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-3825240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-3825240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-3825240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-3825240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-3825240</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-3825240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-3825240</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-3825240</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-3825240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-3825240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-3825240</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-325755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-325755</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-325755</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-325755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-325755</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-325755</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-325755</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80" w:type="dxa"/>
            <w:vAlign w:val="bottom"/>
          </w:tcPr>
          <w:p>
            <w:pPr>
              <w:spacing w:after="0"/>
              <w:rPr>
                <w:sz w:val="14"/>
                <w:szCs w:val="14"/>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505,779</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321,075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385,774</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202,972</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427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1,415,600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427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1,416,102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(185,982)</w:t>
            </w:r>
          </w:p>
        </w:tc>
        <w:tc>
          <w:tcPr>
            <w:tcW w:w="180" w:type="dxa"/>
            <w:vAlign w:val="bottom"/>
          </w:tcPr>
          <w:p>
            <w:pPr>
              <w:spacing w:after="0"/>
              <w:rPr>
                <w:sz w:val="19"/>
                <w:szCs w:val="19"/>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(185,982)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1,229,618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427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1,230,120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277,557</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277,557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238,272</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238,272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133,801</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250,279</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w w:val="86"/>
              </w:rPr>
              <w:t>427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248,489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18,434</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309,012</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1,366,105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427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(136,487)</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(144,279)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(156,262)</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(4,224)</w:t>
            </w: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(3,779)</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(9,164)</w:t>
            </w:r>
          </w:p>
        </w:tc>
        <w:tc>
          <w:tcPr>
            <w:tcW w:w="180" w:type="dxa"/>
            <w:vAlign w:val="bottom"/>
          </w:tcPr>
          <w:p>
            <w:pPr>
              <w:spacing w:after="0"/>
              <w:rPr>
                <w:sz w:val="19"/>
                <w:szCs w:val="19"/>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9,164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(173,383)</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(165,591)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(309,870)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(309,870)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-325755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-325755</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-325755</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-325755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-325755</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-325755</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-325755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Guarantor</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7"/>
              </w:rPr>
              <w:t>Issuers</w:t>
            </w: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479,711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479,711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305,702</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305,702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202,388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1,256,316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1,256,050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(156,159)</w:t>
            </w:r>
          </w:p>
        </w:tc>
        <w:tc>
          <w:tcPr>
            <w:tcW w:w="180" w:type="dxa"/>
            <w:vAlign w:val="bottom"/>
          </w:tcPr>
          <w:p>
            <w:pPr>
              <w:spacing w:after="0"/>
              <w:rPr>
                <w:sz w:val="19"/>
                <w:szCs w:val="19"/>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(156,159)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1,100,157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1,099,891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257,983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257,983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188,521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188,521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201,017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left="553"/>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165,121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4,519</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490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1,154,975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79"/>
              </w:rPr>
              <w:t>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1,158,507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(54,818)</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(3,793)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(5)</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622</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(73,652)</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(5,113)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266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(74,976)</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622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(71,178)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5"/>
              </w:rPr>
              <w:t>(129,794)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(5,730)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617</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(129,794)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-325755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-325755</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-325755</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-325755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873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Guarantor</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7"/>
              </w:rPr>
              <w:t>Issuers</w:t>
            </w: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642,327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311,032</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210,304</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1,449,365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1,448,569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(152,718)</w:t>
            </w:r>
          </w:p>
        </w:tc>
        <w:tc>
          <w:tcPr>
            <w:tcW w:w="180" w:type="dxa"/>
            <w:vAlign w:val="bottom"/>
          </w:tcPr>
          <w:p>
            <w:pPr>
              <w:spacing w:after="0"/>
              <w:rPr>
                <w:sz w:val="19"/>
                <w:szCs w:val="19"/>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1,296,647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1,295,851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276,523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192,497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202,135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19,473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147,413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5,426</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1,092,910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(3,907)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1,896</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(83,249)</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(4,372)</w:t>
            </w: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(4,218)</w:t>
            </w: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796</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(79,518)</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(6,109)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-325755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-325755</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-325755</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-325755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4"/>
                <w:szCs w:val="1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Non-guarantor</w:t>
            </w:r>
          </w:p>
        </w:tc>
        <w:tc>
          <w:tcPr>
            <w:tcW w:w="36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3"/>
              </w:rPr>
              <w:t>Issuers</w:t>
            </w: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Subsidiaries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(loss)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(309,870)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(309,870)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income to net cash provided by (used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309,012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9,164</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19,206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5,262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(25,021)</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(14,274)</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48,765</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(6,886)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85,737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(244,904)</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(245,040)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(3,810)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(7,607)</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8"/>
              </w:rPr>
              <w:t>(256,279)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(249,188)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(928,509)</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(929,909)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(20,698)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113,225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(57,317)</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(129,794)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(5,730)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w w:val="99"/>
              </w:rPr>
              <w:t>617</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5,113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income to net cash provided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165,121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4,519</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11,078</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5,113</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24,887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21,916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20,309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(38,691)</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22,327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29,739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(7,284)</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141,923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(7,395)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612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retentions</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(1,128,089)</w:t>
            </w:r>
          </w:p>
        </w:tc>
        <w:tc>
          <w:tcPr>
            <w:tcW w:w="160" w:type="dxa"/>
            <w:vAlign w:val="bottom"/>
          </w:tcPr>
          <w:p>
            <w:pPr>
              <w:spacing w:after="0"/>
              <w:rPr>
                <w:sz w:val="19"/>
                <w:szCs w:val="19"/>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(1,129,525)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(26,161)</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(8,900)</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31,044</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19,166</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(31,664)</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6"/>
              </w:rPr>
              <w:t>(1,040,669)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(1,032,451)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879,484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(3,979)</w:t>
            </w:r>
          </w:p>
        </w:tc>
        <w:tc>
          <w:tcPr>
            <w:tcW w:w="16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875,505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(23,241)</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146,556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3873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3873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Issuers</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0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8"/>
              </w:rPr>
              <w:t>Entries</w:t>
            </w: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 (loss)</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$ 124,219</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(6,109)</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4,218</w:t>
            </w:r>
          </w:p>
        </w:tc>
        <w:tc>
          <w:tcPr>
            <w:tcW w:w="4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$ 124,219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income (loss) to net cash provided by (used</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147,413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5,426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8,031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30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10,795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4,218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(4,218)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21,139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6,005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4,372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5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(41,744)</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500" w:type="dxa"/>
            <w:vAlign w:val="bottom"/>
            <w:gridSpan w:val="4"/>
          </w:tcPr>
          <w:p>
            <w:pPr>
              <w:jc w:val="right"/>
              <w:ind w:right="420"/>
              <w:spacing w:after="0"/>
              <w:rPr>
                <w:sz w:val="20"/>
                <w:szCs w:val="20"/>
                <w:color w:val="auto"/>
              </w:rPr>
            </w:pPr>
            <w:r>
              <w:rPr>
                <w:rFonts w:ascii="Arial" w:cs="Arial" w:eastAsia="Arial" w:hAnsi="Arial"/>
                <w:sz w:val="18"/>
                <w:szCs w:val="18"/>
                <w:color w:val="auto"/>
              </w:rPr>
              <w:t>(7,252)</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35,963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7,642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(7,177)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320,801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(6,978)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w w:val="99"/>
              </w:rPr>
              <w:t>Capital expenditures, net of construction payables and retentions</w:t>
            </w:r>
          </w:p>
        </w:tc>
        <w:tc>
          <w:tcPr>
            <w:tcW w:w="1500" w:type="dxa"/>
            <w:vAlign w:val="bottom"/>
            <w:gridSpan w:val="4"/>
          </w:tcPr>
          <w:p>
            <w:pPr>
              <w:jc w:val="right"/>
              <w:ind w:right="420"/>
              <w:spacing w:after="0"/>
              <w:rPr>
                <w:sz w:val="20"/>
                <w:szCs w:val="20"/>
                <w:color w:val="auto"/>
              </w:rPr>
            </w:pPr>
            <w:r>
              <w:rPr>
                <w:rFonts w:ascii="Arial" w:cs="Arial" w:eastAsia="Arial" w:hAnsi="Arial"/>
                <w:sz w:val="18"/>
                <w:szCs w:val="18"/>
                <w:color w:val="auto"/>
              </w:rPr>
              <w:t>(667,060)</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w w:val="92"/>
              </w:rPr>
              <w:t>(11,420)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143,586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22,879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Deposits and other assets</w:t>
            </w:r>
          </w:p>
        </w:tc>
        <w:tc>
          <w:tcPr>
            <w:tcW w:w="1500" w:type="dxa"/>
            <w:vAlign w:val="bottom"/>
            <w:gridSpan w:val="4"/>
          </w:tcPr>
          <w:p>
            <w:pPr>
              <w:jc w:val="right"/>
              <w:ind w:right="420"/>
              <w:spacing w:after="0"/>
              <w:rPr>
                <w:sz w:val="20"/>
                <w:szCs w:val="20"/>
                <w:color w:val="auto"/>
              </w:rPr>
            </w:pPr>
            <w:r>
              <w:rPr>
                <w:rFonts w:ascii="Arial" w:cs="Arial" w:eastAsia="Arial" w:hAnsi="Arial"/>
                <w:sz w:val="18"/>
                <w:szCs w:val="18"/>
                <w:color w:val="auto"/>
              </w:rPr>
              <w:t>(21,542)</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(4,707)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5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(20,585)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20,634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(24,770)</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964</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5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(564,637)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500" w:type="dxa"/>
            <w:vAlign w:val="bottom"/>
            <w:gridSpan w:val="4"/>
          </w:tcPr>
          <w:p>
            <w:pPr>
              <w:jc w:val="right"/>
              <w:ind w:right="420"/>
              <w:spacing w:after="0"/>
              <w:rPr>
                <w:sz w:val="20"/>
                <w:szCs w:val="20"/>
                <w:color w:val="auto"/>
              </w:rPr>
            </w:pPr>
            <w:r>
              <w:rPr>
                <w:rFonts w:ascii="Arial" w:cs="Arial" w:eastAsia="Arial" w:hAnsi="Arial"/>
                <w:sz w:val="18"/>
                <w:szCs w:val="18"/>
                <w:color w:val="auto"/>
              </w:rPr>
              <w:t>(243,352)</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w w:val="92"/>
              </w:rPr>
              <w:t>(39,559)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543,460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42,000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1500" w:type="dxa"/>
            <w:vAlign w:val="bottom"/>
            <w:gridSpan w:val="4"/>
          </w:tcPr>
          <w:p>
            <w:pPr>
              <w:jc w:val="right"/>
              <w:ind w:right="420"/>
              <w:spacing w:after="0"/>
              <w:rPr>
                <w:sz w:val="20"/>
                <w:szCs w:val="20"/>
                <w:color w:val="auto"/>
              </w:rPr>
            </w:pPr>
            <w:r>
              <w:rPr>
                <w:rFonts w:ascii="Arial" w:cs="Arial" w:eastAsia="Arial" w:hAnsi="Arial"/>
                <w:sz w:val="18"/>
                <w:szCs w:val="18"/>
                <w:color w:val="auto"/>
              </w:rPr>
              <w:t>(3,541)</w:t>
            </w:r>
          </w:p>
        </w:tc>
        <w:tc>
          <w:tcPr>
            <w:tcW w:w="140" w:type="dxa"/>
            <w:vAlign w:val="bottom"/>
          </w:tcPr>
          <w:p>
            <w:pPr>
              <w:spacing w:after="0"/>
              <w:rPr>
                <w:sz w:val="19"/>
                <w:szCs w:val="19"/>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296,567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52,731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93,825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$ 146,556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20" w:type="dxa"/>
            <w:vAlign w:val="bottom"/>
            <w:gridSpan w:val="2"/>
          </w:tcPr>
          <w:p>
            <w:pPr>
              <w:jc w:val="right"/>
              <w:ind w:right="522"/>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-325755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-325755</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2009 and 2008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8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Year Ended December 31, 2009</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2"/>
                <w:szCs w:val="2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$291,522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$312,959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$324,461</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$ 301,178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$1,230,120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Operating loss</w:t>
            </w:r>
          </w:p>
        </w:tc>
        <w:tc>
          <w:tcPr>
            <w:tcW w:w="3300" w:type="dxa"/>
            <w:vAlign w:val="bottom"/>
            <w:gridSpan w:val="3"/>
          </w:tcPr>
          <w:p>
            <w:pPr>
              <w:jc w:val="right"/>
              <w:ind w:right="200"/>
              <w:spacing w:after="0"/>
              <w:rPr>
                <w:sz w:val="20"/>
                <w:szCs w:val="20"/>
                <w:color w:val="auto"/>
              </w:rPr>
            </w:pPr>
            <w:r>
              <w:rPr>
                <w:rFonts w:ascii="Arial" w:cs="Arial" w:eastAsia="Arial" w:hAnsi="Arial"/>
                <w:sz w:val="18"/>
                <w:szCs w:val="18"/>
                <w:color w:val="auto"/>
              </w:rPr>
              <w:t>(58,383)</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(8,346)</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(20,886)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(56,664)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(95,464)</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(46,183)</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(63,751)</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(104,472)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Year Ended December 31, 2008</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2"/>
                <w:szCs w:val="2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$287,601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$295,468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$294,800</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$ 222,022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$1,099,891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3300" w:type="dxa"/>
            <w:vAlign w:val="bottom"/>
            <w:gridSpan w:val="3"/>
          </w:tcPr>
          <w:p>
            <w:pPr>
              <w:jc w:val="right"/>
              <w:ind w:right="200"/>
              <w:spacing w:after="0"/>
              <w:rPr>
                <w:sz w:val="20"/>
                <w:szCs w:val="20"/>
                <w:color w:val="auto"/>
              </w:rPr>
            </w:pPr>
            <w:r>
              <w:rPr>
                <w:rFonts w:ascii="Arial" w:cs="Arial" w:eastAsia="Arial" w:hAnsi="Arial"/>
                <w:sz w:val="18"/>
                <w:szCs w:val="18"/>
                <w:color w:val="auto"/>
              </w:rPr>
              <w:t>(8,873)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20,343</w:t>
            </w:r>
          </w:p>
        </w:tc>
        <w:tc>
          <w:tcPr>
            <w:tcW w:w="24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(332)</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(69,754)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(28,767)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(16,098)</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(90,007)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380" w:type="dxa"/>
            <w:vAlign w:val="bottom"/>
          </w:tcPr>
          <w:p>
            <w:pPr>
              <w:jc w:val="right"/>
              <w:ind w:right="152"/>
              <w:spacing w:after="0"/>
              <w:rPr>
                <w:sz w:val="20"/>
                <w:szCs w:val="20"/>
                <w:color w:val="auto"/>
              </w:rPr>
            </w:pPr>
            <w:r>
              <w:rPr>
                <w:rFonts w:ascii="Arial" w:cs="Arial" w:eastAsia="Arial" w:hAnsi="Arial"/>
                <w:sz w:val="18"/>
                <w:szCs w:val="18"/>
                <w:color w:val="auto"/>
              </w:rPr>
              <w:t>70</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firstLine="464"/>
        <w:spacing w:after="0" w:line="286"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2009,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13" w:lineRule="exact"/>
        <w:rPr>
          <w:rFonts w:ascii="Arial" w:cs="Arial" w:eastAsia="Arial" w:hAnsi="Arial"/>
          <w:sz w:val="16"/>
          <w:szCs w:val="16"/>
          <w:color w:val="auto"/>
        </w:rPr>
      </w:pPr>
    </w:p>
    <w:p>
      <w:pPr>
        <w:ind w:right="460" w:firstLine="464"/>
        <w:spacing w:after="0" w:line="268"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2009.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Based on our assessment, management believes that, as of December 31, 2009, the Company’s internal control over financial reporting was effective.</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The attestation report of the Company’s registered public accounting firm is not required in this annual report under the SEC’s temporary rules, which permit the Company to provide only management’s report in this annual report.</w:t>
      </w:r>
    </w:p>
    <w:p>
      <w:pPr>
        <w:spacing w:after="0" w:line="127" w:lineRule="exact"/>
        <w:rPr>
          <w:sz w:val="20"/>
          <w:szCs w:val="20"/>
          <w:color w:val="auto"/>
        </w:rPr>
      </w:pPr>
    </w:p>
    <w:p>
      <w:pPr>
        <w:ind w:right="40" w:firstLine="464"/>
        <w:spacing w:after="0" w:line="306" w:lineRule="auto"/>
        <w:tabs>
          <w:tab w:leader="none" w:pos="695"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not been any changes in the Company’s internal control over financial reporting (as</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shows the fees paid or accrued by us for audit and other services provided by our auditors, Ernst &amp; Young LLP, during each of the years ended December 31, 2009 and 2008:</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4"/>
          </w:tcPr>
          <w:p>
            <w:pPr>
              <w:ind w:left="400"/>
              <w:spacing w:after="0"/>
              <w:rPr>
                <w:sz w:val="20"/>
                <w:szCs w:val="20"/>
                <w:color w:val="auto"/>
              </w:rPr>
            </w:pPr>
            <w:r>
              <w:rPr>
                <w:rFonts w:ascii="Arial" w:cs="Arial" w:eastAsia="Arial" w:hAnsi="Arial"/>
                <w:sz w:val="14"/>
                <w:szCs w:val="14"/>
                <w:b w:val="1"/>
                <w:bCs w:val="1"/>
                <w:color w:val="auto"/>
              </w:rPr>
              <w:t>Aggregate Fees</w:t>
            </w:r>
          </w:p>
        </w:tc>
        <w:tc>
          <w:tcPr>
            <w:tcW w:w="0" w:type="dxa"/>
            <w:vAlign w:val="bottom"/>
          </w:tcPr>
          <w:p>
            <w:pPr>
              <w:spacing w:after="0"/>
              <w:rPr>
                <w:sz w:val="1"/>
                <w:szCs w:val="1"/>
                <w:color w:val="auto"/>
              </w:rPr>
            </w:pPr>
          </w:p>
        </w:tc>
      </w:tr>
      <w:tr>
        <w:trPr>
          <w:trHeight w:val="95"/>
        </w:trPr>
        <w:tc>
          <w:tcPr>
            <w:tcW w:w="480" w:type="dxa"/>
            <w:vAlign w:val="bottom"/>
            <w:gridSpan w:val="2"/>
          </w:tcPr>
          <w:p>
            <w:pPr>
              <w:spacing w:after="0"/>
              <w:rPr>
                <w:sz w:val="8"/>
                <w:szCs w:val="8"/>
                <w:color w:val="auto"/>
              </w:rPr>
            </w:pPr>
          </w:p>
        </w:tc>
        <w:tc>
          <w:tcPr>
            <w:tcW w:w="37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7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260,095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“Audit fees” includes the aggregate fees billed by our principal auditors for professional services rendered for the audit of our consolidated financial statements for the year ended December 31. “Audit fees” also includes amounts billed for services provided in connection with debt offerings in 2009 and 2008.</w:t>
      </w:r>
    </w:p>
    <w:p>
      <w:pPr>
        <w:spacing w:after="0" w:line="7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All of the principal accounting fees and services were pre-approved by the Audit Committee in 2009 and 2008. The Audit Committee pre-approves services either by: (1) approving a request from management to engage our principal auditors for a specific project at a specific fee or rate or (2) by pre-approving certain types of services that would comprise the fees within each of the above categories at our principal auditors usual and customary rates.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(a)1. The following consolidated financial statements of the Company are filed as part of this report under Item 8—Financial Statements and Supplemental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70"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Consolidated Balance Sheets as of December 31, 2009 and 2008</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2009, 2008 and 2007</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Consolidated Statements of Member’s Equity for the years ended December 31, 2009, 2008 and 2007</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2009, 2008 and 2007</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(a)2. Financial Statement Schedules</w:t>
      </w:r>
    </w:p>
    <w:p>
      <w:pPr>
        <w:spacing w:after="0" w:line="77"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185"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w w:val="96"/>
              </w:rPr>
              <w:t>Description</w:t>
            </w:r>
          </w:p>
        </w:tc>
        <w:tc>
          <w:tcPr>
            <w:tcW w:w="3860" w:type="dxa"/>
            <w:vAlign w:val="bottom"/>
            <w:gridSpan w:val="2"/>
          </w:tcPr>
          <w:p>
            <w:pPr>
              <w:jc w:val="center"/>
              <w:ind w:left="3181"/>
              <w:spacing w:after="0"/>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2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60" w:type="dxa"/>
            <w:vAlign w:val="bottom"/>
            <w:gridSpan w:val="2"/>
            <w:shd w:val="clear" w:color="auto" w:fill="CCEEFF"/>
          </w:tcPr>
          <w:p>
            <w:pPr>
              <w:jc w:val="center"/>
              <w:ind w:left="3161"/>
              <w:spacing w:after="0"/>
              <w:rPr>
                <w:sz w:val="20"/>
                <w:szCs w:val="20"/>
                <w:color w:val="auto"/>
              </w:rPr>
            </w:pPr>
            <w:r>
              <w:rPr>
                <w:rFonts w:ascii="Arial" w:cs="Arial" w:eastAsia="Arial" w:hAnsi="Arial"/>
                <w:sz w:val="18"/>
                <w:szCs w:val="18"/>
                <w:color w:val="auto"/>
                <w:w w:val="88"/>
              </w:rPr>
              <w:t>$ 65,414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12,438</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(10,446)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w w:val="96"/>
              </w:rPr>
              <w:t>Description</w:t>
            </w:r>
          </w:p>
        </w:tc>
        <w:tc>
          <w:tcPr>
            <w:tcW w:w="3860" w:type="dxa"/>
            <w:vAlign w:val="bottom"/>
            <w:gridSpan w:val="2"/>
          </w:tcPr>
          <w:p>
            <w:pPr>
              <w:jc w:val="center"/>
              <w:ind w:left="3181"/>
              <w:spacing w:after="0"/>
              <w:rPr>
                <w:sz w:val="20"/>
                <w:szCs w:val="20"/>
                <w:color w:val="auto"/>
              </w:rPr>
            </w:pPr>
            <w:r>
              <w:rPr>
                <w:rFonts w:ascii="Arial" w:cs="Arial" w:eastAsia="Arial" w:hAnsi="Arial"/>
                <w:sz w:val="14"/>
                <w:szCs w:val="14"/>
                <w:b w:val="1"/>
                <w:bCs w:val="1"/>
                <w:color w:val="auto"/>
                <w:w w:val="89"/>
              </w:rPr>
              <w:t>2008</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2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60" w:type="dxa"/>
            <w:vAlign w:val="bottom"/>
            <w:gridSpan w:val="2"/>
            <w:shd w:val="clear" w:color="auto" w:fill="CCEEFF"/>
          </w:tcPr>
          <w:p>
            <w:pPr>
              <w:jc w:val="center"/>
              <w:ind w:left="3161"/>
              <w:spacing w:after="0"/>
              <w:rPr>
                <w:sz w:val="20"/>
                <w:szCs w:val="20"/>
                <w:color w:val="auto"/>
              </w:rPr>
            </w:pPr>
            <w:r>
              <w:rPr>
                <w:rFonts w:ascii="Arial" w:cs="Arial" w:eastAsia="Arial" w:hAnsi="Arial"/>
                <w:sz w:val="18"/>
                <w:szCs w:val="18"/>
                <w:color w:val="auto"/>
                <w:w w:val="88"/>
              </w:rPr>
              <w:t>$ 50,604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24,887</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w w:val="96"/>
              </w:rPr>
              <w:t>Description</w:t>
            </w:r>
          </w:p>
        </w:tc>
        <w:tc>
          <w:tcPr>
            <w:tcW w:w="3860" w:type="dxa"/>
            <w:vAlign w:val="bottom"/>
            <w:gridSpan w:val="2"/>
          </w:tcPr>
          <w:p>
            <w:pPr>
              <w:jc w:val="center"/>
              <w:ind w:left="3181"/>
              <w:spacing w:after="0"/>
              <w:rPr>
                <w:sz w:val="20"/>
                <w:szCs w:val="20"/>
                <w:color w:val="auto"/>
              </w:rPr>
            </w:pPr>
            <w:r>
              <w:rPr>
                <w:rFonts w:ascii="Arial" w:cs="Arial" w:eastAsia="Arial" w:hAnsi="Arial"/>
                <w:sz w:val="14"/>
                <w:szCs w:val="14"/>
                <w:b w:val="1"/>
                <w:bCs w:val="1"/>
                <w:color w:val="auto"/>
                <w:w w:val="89"/>
              </w:rPr>
              <w:t>2007</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2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60" w:type="dxa"/>
            <w:vAlign w:val="bottom"/>
            <w:gridSpan w:val="2"/>
            <w:shd w:val="clear" w:color="auto" w:fill="CCEEFF"/>
          </w:tcPr>
          <w:p>
            <w:pPr>
              <w:jc w:val="center"/>
              <w:ind w:left="3161"/>
              <w:spacing w:after="0"/>
              <w:rPr>
                <w:sz w:val="20"/>
                <w:szCs w:val="20"/>
                <w:color w:val="auto"/>
              </w:rPr>
            </w:pPr>
            <w:r>
              <w:rPr>
                <w:rFonts w:ascii="Arial" w:cs="Arial" w:eastAsia="Arial" w:hAnsi="Arial"/>
                <w:sz w:val="18"/>
                <w:szCs w:val="18"/>
                <w:color w:val="auto"/>
                <w:w w:val="88"/>
              </w:rPr>
              <w:t>$ 35,002</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21,139</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jc w:val="right"/>
              <w:ind w:right="941"/>
              <w:spacing w:after="0"/>
              <w:rPr>
                <w:sz w:val="20"/>
                <w:szCs w:val="20"/>
                <w:color w:val="auto"/>
              </w:rPr>
            </w:pPr>
            <w:r>
              <w:rPr>
                <w:rFonts w:ascii="Arial" w:cs="Arial" w:eastAsia="Arial" w:hAnsi="Arial"/>
                <w:sz w:val="18"/>
                <w:szCs w:val="18"/>
                <w:color w:val="auto"/>
              </w:rPr>
              <w:t>74</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(a)3. Exhibits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10820" w:type="dxa"/>
            <w:vAlign w:val="bottom"/>
            <w:gridSpan w:val="3"/>
          </w:tcPr>
          <w:p>
            <w:pPr>
              <w:ind w:left="446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174"/>
        </w:trPr>
        <w:tc>
          <w:tcPr>
            <w:tcW w:w="580" w:type="dxa"/>
            <w:vAlign w:val="bottom"/>
          </w:tcPr>
          <w:p>
            <w:pPr>
              <w:jc w:val="right"/>
              <w:ind w:right="94"/>
              <w:spacing w:after="0"/>
              <w:rPr>
                <w:sz w:val="20"/>
                <w:szCs w:val="20"/>
                <w:color w:val="auto"/>
              </w:rPr>
            </w:pPr>
            <w:r>
              <w:rPr>
                <w:rFonts w:ascii="Arial" w:cs="Arial" w:eastAsia="Arial" w:hAnsi="Arial"/>
                <w:sz w:val="14"/>
                <w:szCs w:val="14"/>
                <w:b w:val="1"/>
                <w:bCs w:val="1"/>
                <w:color w:val="auto"/>
              </w:rPr>
              <w:t>No.</w:t>
            </w:r>
          </w:p>
        </w:tc>
        <w:tc>
          <w:tcPr>
            <w:tcW w:w="5320" w:type="dxa"/>
            <w:vAlign w:val="bottom"/>
          </w:tcPr>
          <w:p>
            <w:pPr>
              <w:spacing w:after="0"/>
              <w:rPr>
                <w:sz w:val="15"/>
                <w:szCs w:val="15"/>
                <w:color w:val="auto"/>
              </w:rPr>
            </w:pPr>
          </w:p>
        </w:tc>
        <w:tc>
          <w:tcPr>
            <w:tcW w:w="55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80" w:type="dxa"/>
            <w:vAlign w:val="bottom"/>
            <w:tcBorders>
              <w:bottom w:val="single" w:sz="8" w:color="808080"/>
            </w:tcBorders>
          </w:tcPr>
          <w:p>
            <w:pPr>
              <w:spacing w:after="0"/>
              <w:rPr>
                <w:sz w:val="8"/>
                <w:szCs w:val="8"/>
                <w:color w:val="auto"/>
              </w:rPr>
            </w:pPr>
          </w:p>
        </w:tc>
        <w:tc>
          <w:tcPr>
            <w:tcW w:w="53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640" w:type="dxa"/>
            <w:vAlign w:val="bottom"/>
          </w:tcPr>
          <w:p>
            <w:pPr>
              <w:spacing w:after="0"/>
              <w:rPr>
                <w:sz w:val="8"/>
                <w:szCs w:val="8"/>
                <w:color w:val="auto"/>
              </w:rPr>
            </w:pPr>
          </w:p>
        </w:tc>
      </w:tr>
      <w:tr>
        <w:trPr>
          <w:trHeight w:val="316"/>
        </w:trPr>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Kevyn, LLC (19)</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Operating Agreement of Kevyn, LLC (19)</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Amended and Restated Articles of Organization of Wynn Golf, LLC.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3.11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Golf, LLC.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3.12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Las Vegas Jet, LLC.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3.13</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Las Vegas Jet, LLC.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3.14</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Wynn Sunrise, LLC.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3.15</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Sunrise, LLC.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World Travel, LLC.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3.17</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World Travel, LLC.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3.18</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3.19</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Show Performers, LLC. (1)</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 and</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 as trustee. (3)</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7"/>
              </w:rPr>
              <w:t>Supplemental Indenture, dated as of December 14, 2004, among Wynn Las Vegas, LLC, Wynn Las Vegas Capital Corp., the Guarantors set forth</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therein and Wells Fargo Bank, National Association, as trustee. (3)</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7"/>
              </w:rPr>
              <w:t>First Supplemental Indenture, dated as of June 29, 2005, among Wynn Las Vegas, LLC, Wynn Las Vegas Capital Corp., the Guarantors set forth</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therein and U.S. Bank National Association, as trustee. (8)</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Second Supplemental Indenture, dated as of July 29, 2005, among Wynn Las Vegas, LLC, Wynn Las Vegas Capital Corp., the Guarantors set</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forth therein and U.S. Bank National Association, as trustee. (19)</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Indenture, dated as of October 19, 2009, among Wynn Las Vegas, LLC, Wynn Las Vegas Capital Corp., the Guarantors set forth therein and</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 as trustee. (22)</w:t>
            </w:r>
          </w:p>
        </w:tc>
      </w:tr>
      <w:tr>
        <w:trPr>
          <w:trHeight w:val="365"/>
        </w:trPr>
        <w:tc>
          <w:tcPr>
            <w:tcW w:w="580" w:type="dxa"/>
            <w:vAlign w:val="bottom"/>
          </w:tcPr>
          <w:p>
            <w:pPr>
              <w:spacing w:after="0"/>
              <w:rPr>
                <w:sz w:val="24"/>
                <w:szCs w:val="24"/>
                <w:color w:val="auto"/>
              </w:rPr>
            </w:pPr>
          </w:p>
        </w:tc>
        <w:tc>
          <w:tcPr>
            <w:tcW w:w="5320" w:type="dxa"/>
            <w:vAlign w:val="bottom"/>
          </w:tcPr>
          <w:p>
            <w:pPr>
              <w:ind w:left="5040"/>
              <w:spacing w:after="0"/>
              <w:rPr>
                <w:sz w:val="20"/>
                <w:szCs w:val="20"/>
                <w:color w:val="auto"/>
              </w:rPr>
            </w:pPr>
            <w:r>
              <w:rPr>
                <w:rFonts w:ascii="Arial" w:cs="Arial" w:eastAsia="Arial" w:hAnsi="Arial"/>
                <w:sz w:val="18"/>
                <w:szCs w:val="18"/>
                <w:color w:val="auto"/>
              </w:rPr>
              <w:t>75</w:t>
            </w:r>
          </w:p>
        </w:tc>
        <w:tc>
          <w:tcPr>
            <w:tcW w:w="86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34" w:lineRule="exact"/>
        <w:rPr>
          <w:sz w:val="20"/>
          <w:szCs w:val="20"/>
          <w:color w:val="auto"/>
        </w:rPr>
      </w:pPr>
    </w:p>
    <w:p>
      <w:pPr>
        <w:jc w:val="center"/>
        <w:ind w:right="464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6004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90805</wp:posOffset>
            </wp:positionV>
            <wp:extent cx="54038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220" w:space="720"/>
            <w:col w:w="5420"/>
          </w:cols>
          <w:pgMar w:left="240" w:top="459" w:right="299" w:bottom="1440" w:gutter="0" w:footer="0" w:header="0"/>
          <w:type w:val="continuous"/>
        </w:sectPr>
      </w:pPr>
    </w:p>
    <w:p>
      <w:pPr>
        <w:spacing w:after="0" w:line="8" w:lineRule="exact"/>
        <w:rPr>
          <w:sz w:val="20"/>
          <w:szCs w:val="20"/>
          <w:color w:val="auto"/>
        </w:rPr>
      </w:pPr>
    </w:p>
    <w:p>
      <w:pPr>
        <w:ind w:left="1120" w:right="500" w:hanging="772"/>
        <w:spacing w:after="0" w:line="259" w:lineRule="auto"/>
        <w:tabs>
          <w:tab w:leader="none" w:pos="11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Registration Rights Agreement, dated as of December 14, 2004, by and among Wynn Las Vegas, LLC, Wynn Las Vegas Capital Corp., the Guarantor signatories thereto and Deutsche Bank Securities Inc., Banc of America Securities LLC, Bear, Stearns &amp; Co. Inc., J.P. Morgan Securities Inc. and SG Americas Securities, LLC. (4)</w:t>
      </w:r>
    </w:p>
    <w:p>
      <w:pPr>
        <w:spacing w:after="0" w:line="86" w:lineRule="exact"/>
        <w:rPr>
          <w:sz w:val="20"/>
          <w:szCs w:val="20"/>
          <w:color w:val="auto"/>
        </w:rPr>
      </w:pPr>
    </w:p>
    <w:p>
      <w:pPr>
        <w:ind w:left="1120" w:right="560" w:hanging="772"/>
        <w:spacing w:after="0" w:line="268" w:lineRule="auto"/>
        <w:tabs>
          <w:tab w:leader="none" w:pos="11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Registration Rights Agreement, dated as of November 6, 2007, by and among Wynn Las Vegas, LLC, Wynn Las Vegas Capital Corp., the Guarantor signatories thereto and Deutsche Bank Securities Inc., Banc of America Securities LLC. (16)</w:t>
      </w:r>
    </w:p>
    <w:p>
      <w:pPr>
        <w:spacing w:after="0" w:line="78" w:lineRule="exact"/>
        <w:rPr>
          <w:sz w:val="20"/>
          <w:szCs w:val="20"/>
          <w:color w:val="auto"/>
        </w:rPr>
      </w:pPr>
    </w:p>
    <w:p>
      <w:pPr>
        <w:ind w:left="1120" w:right="640" w:hanging="772"/>
        <w:spacing w:after="0" w:line="268" w:lineRule="auto"/>
        <w:tabs>
          <w:tab w:leader="none" w:pos="11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Registration Rights Agreement, dated as of October 19, 2009, by and among Wynn Las Vegas, LLC, Wynn Las Vegas Capital Corp., the Guarantors set forth therein, Deutsche Bank Securities Inc. and Banc of America Securities LLC. (22)</w:t>
      </w:r>
    </w:p>
    <w:p>
      <w:pPr>
        <w:spacing w:after="0" w:line="78" w:lineRule="exact"/>
        <w:rPr>
          <w:sz w:val="20"/>
          <w:szCs w:val="20"/>
          <w:color w:val="auto"/>
        </w:rPr>
      </w:pPr>
    </w:p>
    <w:p>
      <w:pPr>
        <w:ind w:left="1120" w:right="240" w:hanging="860"/>
        <w:spacing w:after="0" w:line="370" w:lineRule="auto"/>
        <w:tabs>
          <w:tab w:leader="none" w:pos="11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Amended and Restated Master Disbursement Agreement, dated as of October 25, 2007, by and among Wynn Las Vegas, LLC, Deutsche Bank Trust Company Americas, as the initial Bank Agent, and Deutsche Bank Trust Company America, as the initial Disbursement Agent. (17)</w:t>
      </w:r>
    </w:p>
    <w:p>
      <w:pPr>
        <w:spacing w:after="0" w:line="8" w:lineRule="exact"/>
        <w:rPr>
          <w:sz w:val="20"/>
          <w:szCs w:val="20"/>
          <w:color w:val="auto"/>
        </w:rPr>
      </w:pPr>
    </w:p>
    <w:p>
      <w:pPr>
        <w:ind w:left="1120" w:right="300" w:hanging="860"/>
        <w:spacing w:after="0" w:line="259" w:lineRule="auto"/>
        <w:tabs>
          <w:tab w:leader="none" w:pos="11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to Amended and Restated Master Disbursement Agreement, dated as of October 31, 2007, by and among Wynn Las Vegas, LLC, Deutsche Bank Trust Company Americas, as the initial Bank Agent, and Deutsche Bank Trust Company America, as the initial Disbursement Agent. (15)</w:t>
      </w:r>
    </w:p>
    <w:p>
      <w:pPr>
        <w:spacing w:after="0" w:line="86" w:lineRule="exact"/>
        <w:rPr>
          <w:sz w:val="20"/>
          <w:szCs w:val="20"/>
          <w:color w:val="auto"/>
        </w:rPr>
      </w:pPr>
    </w:p>
    <w:p>
      <w:pPr>
        <w:ind w:left="1120" w:right="20" w:hanging="860"/>
        <w:spacing w:after="0" w:line="259" w:lineRule="auto"/>
        <w:tabs>
          <w:tab w:leader="none" w:pos="11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Second Amendment to Amended and Restated Master Disbursement Agreement, dated as of November 6, 2007, by and among Wynn Las Vegas, LLC, Deutsche Bank Trust Company Americas, as the Bank Agent, and Deutsche Bank Trust Company Americas, as the Disbursement Agent. (16)</w:t>
      </w:r>
    </w:p>
    <w:p>
      <w:pPr>
        <w:spacing w:after="0" w:line="86" w:lineRule="exact"/>
        <w:rPr>
          <w:sz w:val="20"/>
          <w:szCs w:val="20"/>
          <w:color w:val="auto"/>
        </w:rPr>
      </w:pPr>
    </w:p>
    <w:p>
      <w:pPr>
        <w:ind w:left="1120" w:right="200" w:hanging="860"/>
        <w:spacing w:after="0" w:line="370" w:lineRule="auto"/>
        <w:tabs>
          <w:tab w:leader="none" w:pos="11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Amended and Restated Master Disbursement Agreement, dated October 19, 2009, by and among Wynn Las Vegas, LLC, Deutsche Bank Trust Company Americas, as the Bank Agent, and Deutsche Bank Trust Company Americas, as the Disbursement Agent. (22)</w:t>
      </w:r>
    </w:p>
    <w:p>
      <w:pPr>
        <w:spacing w:after="0" w:line="8" w:lineRule="exact"/>
        <w:rPr>
          <w:sz w:val="20"/>
          <w:szCs w:val="20"/>
          <w:color w:val="auto"/>
        </w:rPr>
      </w:pPr>
    </w:p>
    <w:p>
      <w:pPr>
        <w:ind w:left="1120" w:right="120" w:hanging="860"/>
        <w:spacing w:after="0" w:line="259" w:lineRule="auto"/>
        <w:tabs>
          <w:tab w:leader="none" w:pos="11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Promissory Note and Agreement, dated May 24, 2005, by Wells Fargo Northwest, National Association, not in its individual capacity but solely as owner trustee, and World Travel, LLC; and accepted and agreed to by Bank of America, N.A., as lender and Wells Fargo Bank, National Association, not in its individual capacity but solely as collateral agent. (9)</w:t>
      </w:r>
    </w:p>
    <w:p>
      <w:pPr>
        <w:spacing w:after="0" w:line="86" w:lineRule="exact"/>
        <w:rPr>
          <w:sz w:val="20"/>
          <w:szCs w:val="20"/>
          <w:color w:val="auto"/>
        </w:rPr>
      </w:pPr>
    </w:p>
    <w:p>
      <w:pPr>
        <w:jc w:val="both"/>
        <w:ind w:left="1120" w:right="100" w:hanging="860"/>
        <w:spacing w:after="0" w:line="306" w:lineRule="auto"/>
        <w:tabs>
          <w:tab w:leader="none" w:pos="11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Promissory Note and Agreement, dated May 24, 2005, by Wells Fargo Northwest, National Association, not in its individual capacity but solely as owner trustee, and World Travel, LLC; and accepted and agreed to by The CIT Group / Equipment Financing, Inc., as lender and Wells Fargo Bank, National Association, not in its individual capacity but solely as collateral agent. (9)</w:t>
      </w:r>
    </w:p>
    <w:p>
      <w:pPr>
        <w:spacing w:after="0" w:line="53" w:lineRule="exact"/>
        <w:rPr>
          <w:sz w:val="20"/>
          <w:szCs w:val="20"/>
          <w:color w:val="auto"/>
        </w:rPr>
      </w:pPr>
    </w:p>
    <w:p>
      <w:pPr>
        <w:jc w:val="right"/>
        <w:ind w:left="260"/>
        <w:spacing w:after="0" w:line="332" w:lineRule="auto"/>
        <w:rPr>
          <w:sz w:val="20"/>
          <w:szCs w:val="20"/>
          <w:color w:val="auto"/>
        </w:rPr>
      </w:pPr>
      <w:r>
        <w:rPr>
          <w:rFonts w:ascii="Arial" w:cs="Arial" w:eastAsia="Arial" w:hAnsi="Arial"/>
          <w:sz w:val="16"/>
          <w:szCs w:val="16"/>
          <w:color w:val="auto"/>
        </w:rPr>
        <w:t>10.7      Aircraft Security Agreement, dated May 24, 2005, between Wells Fargo Northwest, National Association, not in its individual capacity but solely as owner trustee, World Travel, LLC and Wells Fargo Bank, National Association, not in its individual capacity but solely as collateral agent. (9)</w:t>
      </w:r>
    </w:p>
    <w:p>
      <w:pPr>
        <w:spacing w:after="0" w:line="31" w:lineRule="exact"/>
        <w:rPr>
          <w:sz w:val="20"/>
          <w:szCs w:val="20"/>
          <w:color w:val="auto"/>
        </w:rPr>
      </w:pPr>
    </w:p>
    <w:p>
      <w:pPr>
        <w:ind w:left="1120" w:right="240" w:hanging="860"/>
        <w:spacing w:after="0" w:line="268" w:lineRule="auto"/>
        <w:tabs>
          <w:tab w:leader="none" w:pos="11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Guaranty, dated May 24, 2005, by Wynn Las Vegas, LLC in favor of The CIT Group / Equipment Financing, Inc., Bank of America, N.A. and Wells Fargo Bank, National Association, not in its individual capacity but solely as collateral agent. (9)</w:t>
      </w:r>
    </w:p>
    <w:p>
      <w:pPr>
        <w:spacing w:after="0" w:line="78" w:lineRule="exact"/>
        <w:rPr>
          <w:sz w:val="20"/>
          <w:szCs w:val="20"/>
          <w:color w:val="auto"/>
        </w:rPr>
      </w:pPr>
    </w:p>
    <w:p>
      <w:pPr>
        <w:ind w:left="260"/>
        <w:spacing w:after="0"/>
        <w:tabs>
          <w:tab w:leader="none" w:pos="11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Agreement of Termination, dated June 30, 2005, by and between Stephen A. Wynn and Wynn Las Vegas, LLC. (10)</w:t>
      </w:r>
    </w:p>
    <w:p>
      <w:pPr>
        <w:spacing w:after="0" w:line="117" w:lineRule="exact"/>
        <w:rPr>
          <w:sz w:val="20"/>
          <w:szCs w:val="20"/>
          <w:color w:val="auto"/>
        </w:rPr>
      </w:pPr>
    </w:p>
    <w:p>
      <w:pPr>
        <w:ind w:left="1120" w:right="440" w:hanging="948"/>
        <w:spacing w:after="0" w:line="268" w:lineRule="auto"/>
        <w:tabs>
          <w:tab w:leader="none" w:pos="11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Fourth Amended and Restated Art Rental and Licensing Agreement, dated as of June 30, 2005, between Stephen A. Wynn, as lessor, Wynn Gallery, LLC, as lessee. (10)</w:t>
      </w:r>
    </w:p>
    <w:p>
      <w:pPr>
        <w:spacing w:after="0" w:line="78"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Lump Sum Agreement, by and between Wynn Las Vegas, LLC and Wadsworth Golf Construction Company, effective as of February 18, 2003.</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(6)</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459" w:right="299" w:bottom="1440" w:gutter="0" w:footer="0" w:header="0"/>
          <w:type w:val="continuous"/>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40"/>
          </w:cols>
          <w:pgMar w:left="240" w:top="459" w:right="319" w:bottom="1440" w:gutter="0" w:footer="0" w:header="0"/>
        </w:sectPr>
      </w:pPr>
    </w:p>
    <w:p>
      <w:pPr>
        <w:spacing w:after="0" w:line="334" w:lineRule="exact"/>
        <w:rPr>
          <w:sz w:val="20"/>
          <w:szCs w:val="20"/>
          <w:color w:val="auto"/>
        </w:rPr>
      </w:pPr>
    </w:p>
    <w:p>
      <w:pPr>
        <w:jc w:val="center"/>
        <w:ind w:right="464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6004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90805</wp:posOffset>
            </wp:positionV>
            <wp:extent cx="54038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220" w:space="720"/>
            <w:col w:w="5400"/>
          </w:cols>
          <w:pgMar w:left="240" w:top="459" w:right="319" w:bottom="1440" w:gutter="0" w:footer="0" w:header="0"/>
          <w:type w:val="continuous"/>
        </w:sectPr>
      </w:pPr>
    </w:p>
    <w:p>
      <w:pPr>
        <w:spacing w:after="0" w:line="8" w:lineRule="exact"/>
        <w:rPr>
          <w:sz w:val="20"/>
          <w:szCs w:val="20"/>
          <w:color w:val="auto"/>
        </w:rPr>
      </w:pPr>
    </w:p>
    <w:p>
      <w:pPr>
        <w:ind w:left="1120" w:right="60" w:hanging="948"/>
        <w:spacing w:after="0" w:line="268" w:lineRule="auto"/>
        <w:tabs>
          <w:tab w:leader="none" w:pos="11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Completion Guaranty, dated December 14, 2004, by Wynn Completion Guarantor, LLC in favor of Deutsche Bank Trust Company Americas, as the Bank Agent, and U.S. Bank National Association, as Indenture Trustee. (4)</w:t>
      </w:r>
    </w:p>
    <w:p>
      <w:pPr>
        <w:spacing w:after="0" w:line="78"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5"/>
          <w:szCs w:val="15"/>
          <w:color w:val="auto"/>
        </w:rPr>
        <w:t>Purchase Agreement, dated October 25, 2002, by and among Wynn Las Vegas, LLC, Wynn Las Vegas Capital Corp. and Stephen A. Wynn. (2)</w:t>
      </w:r>
    </w:p>
    <w:p>
      <w:pPr>
        <w:spacing w:after="0" w:line="117"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Purchase Agreement, dated October 25, 2002, by and among Wynn Las Vegas, LLC, Wynn Las Vegas Capital Corp. and Aruze USA, Inc. (2)</w:t>
      </w:r>
    </w:p>
    <w:p>
      <w:pPr>
        <w:spacing w:after="0" w:line="117" w:lineRule="exact"/>
        <w:rPr>
          <w:sz w:val="20"/>
          <w:szCs w:val="20"/>
          <w:color w:val="auto"/>
        </w:rPr>
      </w:pPr>
    </w:p>
    <w:p>
      <w:pPr>
        <w:ind w:left="1120" w:right="140" w:hanging="948"/>
        <w:spacing w:after="0" w:line="268" w:lineRule="auto"/>
        <w:tabs>
          <w:tab w:leader="none" w:pos="11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Acknowledgement and Agreement, dated as of September 1, 2004, among Wynn Las Vegas, LLC, Wells Fargo Bank, National Association and the lenders named therein. (7)</w:t>
      </w:r>
    </w:p>
    <w:p>
      <w:pPr>
        <w:spacing w:after="0" w:line="78" w:lineRule="exact"/>
        <w:rPr>
          <w:sz w:val="20"/>
          <w:szCs w:val="20"/>
          <w:color w:val="auto"/>
        </w:rPr>
      </w:pPr>
    </w:p>
    <w:p>
      <w:pPr>
        <w:ind w:left="1120" w:hanging="948"/>
        <w:spacing w:after="0" w:line="268" w:lineRule="auto"/>
        <w:tabs>
          <w:tab w:leader="none" w:pos="11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Third Amended and Restated Art Rental and Licensing Agreement, dated as of August 6, 2004, by and between Stephen A. Wynn and Wynn Las Vegas, LLC. (5)</w:t>
      </w:r>
    </w:p>
    <w:p>
      <w:pPr>
        <w:spacing w:after="0" w:line="78" w:lineRule="exact"/>
        <w:rPr>
          <w:sz w:val="20"/>
          <w:szCs w:val="20"/>
          <w:color w:val="auto"/>
        </w:rPr>
      </w:pPr>
    </w:p>
    <w:p>
      <w:pPr>
        <w:ind w:left="1120" w:right="120" w:hanging="948"/>
        <w:spacing w:after="0" w:line="370" w:lineRule="auto"/>
        <w:tabs>
          <w:tab w:leader="none" w:pos="11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Las Vegas, LLC, as trustor, to Nevada Title Company, as trustee, for the benefit of Deutsche Bank Trust Company Americas, as collateral agent. (4)</w:t>
      </w:r>
    </w:p>
    <w:p>
      <w:pPr>
        <w:spacing w:after="0" w:line="8" w:lineRule="exact"/>
        <w:rPr>
          <w:sz w:val="20"/>
          <w:szCs w:val="20"/>
          <w:color w:val="auto"/>
        </w:rPr>
      </w:pPr>
    </w:p>
    <w:p>
      <w:pPr>
        <w:ind w:left="1120" w:right="20" w:hanging="948"/>
        <w:spacing w:after="0" w:line="370" w:lineRule="auto"/>
        <w:tabs>
          <w:tab w:leader="none" w:pos="11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Sunrise, LLC, as trustor, to Nevada Title Company, as trustee, for the benefit of Deutsche Bank Trust Company Americas, as collateral agent. (4)</w:t>
      </w:r>
    </w:p>
    <w:p>
      <w:pPr>
        <w:spacing w:after="0" w:line="8" w:lineRule="exact"/>
        <w:rPr>
          <w:sz w:val="20"/>
          <w:szCs w:val="20"/>
          <w:color w:val="auto"/>
        </w:rPr>
      </w:pPr>
    </w:p>
    <w:p>
      <w:pPr>
        <w:ind w:left="1120" w:right="220" w:hanging="948"/>
        <w:spacing w:after="0" w:line="370" w:lineRule="auto"/>
        <w:tabs>
          <w:tab w:leader="none" w:pos="11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Golf, LLC, as trustor, to Nevada Title Company, as trustee, for the benefit of Deutsche Bank Trust Company Americas, as collateral agent. (4)</w:t>
      </w:r>
    </w:p>
    <w:p>
      <w:pPr>
        <w:spacing w:after="0" w:line="8" w:lineRule="exact"/>
        <w:rPr>
          <w:sz w:val="20"/>
          <w:szCs w:val="20"/>
          <w:color w:val="auto"/>
        </w:rPr>
      </w:pPr>
    </w:p>
    <w:p>
      <w:pPr>
        <w:ind w:left="1120" w:right="60" w:hanging="948"/>
        <w:spacing w:after="0" w:line="306" w:lineRule="auto"/>
        <w:tabs>
          <w:tab w:leader="none" w:pos="11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Guarantee and Collateral Agreement, dated as of December 14, 2004, made by Wynn Resorts Holdings, LLC, Wynn Las Vegas, LLC, Wynn Show Performers, LLC, Wynn Las Vegas Capital Corp., Wynn Golf, LLC, World Travel, LLC, Las Vegas Jet, LLC, Wynn Sunrise, LLC and the other Grantors from time to time party thereto in favor of Deutsche Bank Trust Company Americas, as administrative agent. (4)</w:t>
      </w:r>
    </w:p>
    <w:p>
      <w:pPr>
        <w:spacing w:after="0" w:line="53" w:lineRule="exact"/>
        <w:rPr>
          <w:sz w:val="20"/>
          <w:szCs w:val="20"/>
          <w:color w:val="auto"/>
        </w:rPr>
      </w:pPr>
    </w:p>
    <w:p>
      <w:pPr>
        <w:ind w:left="1120" w:right="100" w:hanging="948"/>
        <w:spacing w:after="0" w:line="268" w:lineRule="auto"/>
        <w:tabs>
          <w:tab w:leader="none" w:pos="11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Intercreditor Agreement, dated as of December 14, 2004, among Deutsche Bank Trust Company Americas, as bank agent, Deutsche Bank Trust Company Americas, as collateral agent, and U.S. Bank National Association, as trustee. (3)</w:t>
      </w:r>
    </w:p>
    <w:p>
      <w:pPr>
        <w:spacing w:after="0" w:line="78" w:lineRule="exact"/>
        <w:rPr>
          <w:sz w:val="20"/>
          <w:szCs w:val="20"/>
          <w:color w:val="auto"/>
        </w:rPr>
      </w:pPr>
    </w:p>
    <w:p>
      <w:pPr>
        <w:ind w:left="1120" w:right="100" w:hanging="948"/>
        <w:spacing w:after="0" w:line="306" w:lineRule="auto"/>
        <w:tabs>
          <w:tab w:leader="none" w:pos="11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Pledge and Security Agreement, dated as of December 14, 2004, made by Wynn Resorts Holdings, LLC, Wynn Las Vegas, LLC, Wynn Show Performers, LLC, Wynn Las Vegas Capital Corp., Wynn Golf, LLC, World Travel, LLC, Las Vegas Jet, LLC, Wynn Sunrise, LLC and the other Grantors from time to time party thereto in favor of Deutsche Bank Trust Company Americas, as administrative agent. (4)</w:t>
      </w:r>
    </w:p>
    <w:p>
      <w:pPr>
        <w:spacing w:after="0" w:line="53" w:lineRule="exact"/>
        <w:rPr>
          <w:sz w:val="20"/>
          <w:szCs w:val="20"/>
          <w:color w:val="auto"/>
        </w:rPr>
      </w:pPr>
    </w:p>
    <w:p>
      <w:pPr>
        <w:jc w:val="both"/>
        <w:ind w:left="1120" w:right="360" w:hanging="948"/>
        <w:spacing w:after="0" w:line="306" w:lineRule="auto"/>
        <w:tabs>
          <w:tab w:leader="none" w:pos="11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 xml:space="preserve">Management Fees Subordination Agreement, dated as of December 14, 2004, by Wynn Resorts, Limited, Wynn Las Vegas, LLC, Wynn Las Vegas Capital Corp., and those subsidiaries of Wynn Las Vegas, LLC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in favor of Deutsche Bank Trust Company Americas, as administrative agent, and U.S. Bank National Association, as trustee. (4)</w:t>
      </w:r>
    </w:p>
    <w:p>
      <w:pPr>
        <w:spacing w:after="0" w:line="53" w:lineRule="exact"/>
        <w:rPr>
          <w:sz w:val="20"/>
          <w:szCs w:val="20"/>
          <w:color w:val="auto"/>
        </w:rPr>
      </w:pPr>
    </w:p>
    <w:p>
      <w:pPr>
        <w:ind w:left="1120" w:right="20" w:hanging="948"/>
        <w:spacing w:after="0" w:line="332" w:lineRule="auto"/>
        <w:tabs>
          <w:tab w:leader="none" w:pos="11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Management Agreement, made as of December 14, 2004, by and among Wynn Las Vegas, LLC, Wynn Show Performers, LLC, Wynn Las Vegas Capital Corp., Wynn Golf, LLC, World Travel, LLC, Las Vegas Jet, LLC, Wynn Sunrise, LLC, and Wynn Resorts, Limited. (4)</w:t>
      </w:r>
    </w:p>
    <w:p>
      <w:pPr>
        <w:spacing w:after="0" w:line="31" w:lineRule="exact"/>
        <w:rPr>
          <w:sz w:val="20"/>
          <w:szCs w:val="20"/>
          <w:color w:val="auto"/>
        </w:rPr>
      </w:pPr>
    </w:p>
    <w:p>
      <w:pPr>
        <w:ind w:left="1120" w:right="140" w:hanging="948"/>
        <w:spacing w:after="0" w:line="268" w:lineRule="auto"/>
        <w:tabs>
          <w:tab w:leader="none" w:pos="11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Irrevocable Trust Agreement, dated as of December 14, 2004, by and among Wynn Las Vegas, LLC, Wynn Las Vegas Capital Corp., and Wells Fargo Bank, National Association, as Trustee. (4)</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459" w:right="319" w:bottom="1440" w:gutter="0" w:footer="0" w:header="0"/>
          <w:type w:val="continuous"/>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4" w:lineRule="exact"/>
        <w:rPr>
          <w:sz w:val="20"/>
          <w:szCs w:val="20"/>
          <w:color w:val="auto"/>
        </w:rPr>
      </w:pPr>
    </w:p>
    <w:p>
      <w:pPr>
        <w:jc w:val="center"/>
        <w:ind w:right="464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6004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90805</wp:posOffset>
            </wp:positionV>
            <wp:extent cx="54038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220" w:space="720"/>
            <w:col w:w="5460"/>
          </w:cols>
          <w:pgMar w:left="240" w:top="459" w:right="259" w:bottom="1440" w:gutter="0" w:footer="0" w:header="0"/>
          <w:type w:val="continuous"/>
        </w:sectPr>
      </w:pPr>
    </w:p>
    <w:p>
      <w:pPr>
        <w:spacing w:after="0" w:line="8" w:lineRule="exact"/>
        <w:rPr>
          <w:sz w:val="20"/>
          <w:szCs w:val="20"/>
          <w:color w:val="auto"/>
        </w:rPr>
      </w:pPr>
    </w:p>
    <w:p>
      <w:pPr>
        <w:ind w:left="1120" w:right="20" w:hanging="948"/>
        <w:spacing w:after="0" w:line="268" w:lineRule="auto"/>
        <w:tabs>
          <w:tab w:leader="none" w:pos="11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Amended and Restated Project Administration Services Agreement, dated December 14, 2004, between Wynn Las Vegas, LLC and Wynn Design &amp; Development, LLC. (4)</w:t>
      </w:r>
    </w:p>
    <w:p>
      <w:pPr>
        <w:spacing w:after="0" w:line="78" w:lineRule="exact"/>
        <w:rPr>
          <w:sz w:val="20"/>
          <w:szCs w:val="20"/>
          <w:color w:val="auto"/>
        </w:rPr>
      </w:pPr>
    </w:p>
    <w:p>
      <w:pPr>
        <w:ind w:left="1120" w:right="320" w:hanging="948"/>
        <w:spacing w:after="0" w:line="268" w:lineRule="auto"/>
        <w:tabs>
          <w:tab w:leader="none" w:pos="11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Intellectual Property License Agreement, dated as of December 14, 2004, by and among Wynn Resorts Holdings, Wynn Resorts, Limited and Wynn Las Vegas, LLC. (4)</w:t>
      </w:r>
    </w:p>
    <w:p>
      <w:pPr>
        <w:spacing w:after="0" w:line="78"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5"/>
          <w:szCs w:val="15"/>
          <w:color w:val="auto"/>
        </w:rPr>
        <w:t>Employment Agreement, dated as of August 31, 2005, between Wynn Las Vegas, LLC and Andrew Pascal. (11)</w:t>
      </w:r>
    </w:p>
    <w:p>
      <w:pPr>
        <w:spacing w:after="0" w:line="117"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5"/>
          <w:szCs w:val="15"/>
          <w:color w:val="auto"/>
        </w:rPr>
        <w:t>First Amendment to Employment Agreement, dated December 31, 2008, by and between Wynn Las Vegas, LLC and Andrew Pascal. (13)</w:t>
      </w:r>
    </w:p>
    <w:p>
      <w:pPr>
        <w:spacing w:after="0" w:line="117"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Employment Agreement, dated as of May 5, 2009 by and between Wynn Las Vegas, LLC and Scott Peterson. (23)</w:t>
      </w:r>
    </w:p>
    <w:p>
      <w:pPr>
        <w:spacing w:after="0" w:line="117" w:lineRule="exact"/>
        <w:rPr>
          <w:sz w:val="20"/>
          <w:szCs w:val="20"/>
          <w:color w:val="auto"/>
        </w:rPr>
      </w:pPr>
    </w:p>
    <w:p>
      <w:pPr>
        <w:ind w:left="1120" w:right="480" w:hanging="948"/>
        <w:spacing w:after="0" w:line="268" w:lineRule="auto"/>
        <w:tabs>
          <w:tab w:leader="none" w:pos="11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Amended and Restated Credit Agreement, dated as of August 15, 2006 among Wynn Las Vegas, LLC, as the Borrower, several lenders and agents, and Deutsche Bank Trust Company Americas, as Administrative Agent. (18)</w:t>
      </w:r>
    </w:p>
    <w:p>
      <w:pPr>
        <w:spacing w:after="0" w:line="78" w:lineRule="exact"/>
        <w:rPr>
          <w:sz w:val="20"/>
          <w:szCs w:val="20"/>
          <w:color w:val="auto"/>
        </w:rPr>
      </w:pPr>
    </w:p>
    <w:p>
      <w:pPr>
        <w:ind w:left="1120" w:hanging="948"/>
        <w:spacing w:after="0" w:line="298" w:lineRule="auto"/>
        <w:tabs>
          <w:tab w:leader="none" w:pos="11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First Amendment to Amended and Restated Credit Agreement dated April 9, 2007 among Wynn Las Vegas, LLC, Wynn Las Vegas Capital Corp., Wynn Show Performers, LLC, Wynn Golf, LLC, Wynn Sunrise, LLC, World Travel, LLC, Kevyn, LLC, Las Vegas Jet, LLC, and Deutsche Bank Trust Company Americas, as Administrative Agent on behalf of the several banks and other financial institutions or entities from time to time party to Wynn Las Vegas LLC’s Amended and Restated Credit Agreement, dated as of August 15, 2006. (14)</w:t>
      </w:r>
    </w:p>
    <w:p>
      <w:pPr>
        <w:spacing w:after="0" w:line="59" w:lineRule="exact"/>
        <w:rPr>
          <w:sz w:val="20"/>
          <w:szCs w:val="20"/>
          <w:color w:val="auto"/>
        </w:rPr>
      </w:pPr>
    </w:p>
    <w:p>
      <w:pPr>
        <w:ind w:left="1120" w:hanging="948"/>
        <w:spacing w:after="0" w:line="255" w:lineRule="auto"/>
        <w:tabs>
          <w:tab w:leader="none" w:pos="11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Second Amendment to Amended and Restated Credit Agreement dated October 31, 2007 among Wynn Las Vegas, LLC, Wynn Las Vegas Capital Corp., Wynn Show Performers, LLC, Wynn Golf, LLC, Wynn Sunrise, LLC, World Travel, LLC, Kevyn, LLC, Las Vegas Jet, LLC, Wynn Resorts Holdings, LLC, Wynn Completion Guarantors, LLC and Deutsche Bank Trust Company Americas, as Administrative Agent on behalf of the several banks and other financial institutions or entities from time to time party to Wynn Las Vegas LLC’s Amended and Restated Credit Agreement, dated as of August 15, 2006. (15)</w:t>
      </w:r>
    </w:p>
    <w:p>
      <w:pPr>
        <w:spacing w:after="0" w:line="89" w:lineRule="exact"/>
        <w:rPr>
          <w:sz w:val="20"/>
          <w:szCs w:val="20"/>
          <w:color w:val="auto"/>
        </w:rPr>
      </w:pPr>
    </w:p>
    <w:p>
      <w:pPr>
        <w:ind w:left="1120" w:right="120" w:hanging="948"/>
        <w:spacing w:after="0" w:line="255" w:lineRule="auto"/>
        <w:tabs>
          <w:tab w:leader="none" w:pos="110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Third Amendment to Amended and Restated Credit Agreement dated as of September 17, 2008 among Wynn Las Vegas, LLC, Wynn Las Vegas Capital Corp., Wynn Show Performers, LLC, Wynn Golf, LLC, Wynn Sunrise, LLC, World Travel, LLC, Kevyn, LLC, Las Vegas Jet, LLC, Wynn Resorts Holdings, LLC, Wynn Completion Guarantor, LLC and Deutsche Bank Trust Company Americas, as Administrative Agent on behalf of the several banks and other financial institutions or entities from time to time party to Wynn Las Vegas, LLC’s Amended and Restated Credit Agreement, dated as of August 15, 2006. (12)</w:t>
      </w:r>
    </w:p>
    <w:p>
      <w:pPr>
        <w:spacing w:after="0" w:line="89" w:lineRule="exact"/>
        <w:rPr>
          <w:sz w:val="20"/>
          <w:szCs w:val="20"/>
          <w:color w:val="auto"/>
        </w:rPr>
      </w:pPr>
    </w:p>
    <w:p>
      <w:pPr>
        <w:ind w:left="1120" w:right="80" w:hanging="948"/>
        <w:spacing w:after="0" w:line="255" w:lineRule="auto"/>
        <w:tabs>
          <w:tab w:leader="none" w:pos="110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Fourth Amendment to Amended and Restated Credit Agreement, dated as of April 17, 2009, among Wynn Las Vegas, LLC and Wynn Las Vegas Capital Corp., Wynn Show Performers, LLC, Wynn Golf, LLC, Wynn Sunrise, LLC, World Travel, LLC, Kevyn, LLC, Las Vegas Jet, LLC, Wynn Resorts Holdings, LLC, Wynn Completion Guarantors, LLC and Deutsche Bank Trust Company Americas, as Administrative Agent on behalf of the several banks and other financial institutions or entities from time to time party to Wynn Las Vegas LLC’s Amended and Restated Credit Agreement, dated as of August 15, 2006. (20)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type w:val="continuous"/>
        </w:sectPr>
      </w:pPr>
    </w:p>
    <w:bookmarkStart w:id="78" w:name="page79"/>
    <w:bookmarkEnd w:id="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4" w:lineRule="exact"/>
        <w:rPr>
          <w:sz w:val="20"/>
          <w:szCs w:val="20"/>
          <w:color w:val="auto"/>
        </w:rPr>
      </w:pPr>
    </w:p>
    <w:p>
      <w:pPr>
        <w:jc w:val="center"/>
        <w:ind w:right="464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6004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90805</wp:posOffset>
            </wp:positionV>
            <wp:extent cx="54038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220" w:space="720"/>
            <w:col w:w="5460"/>
          </w:cols>
          <w:pgMar w:left="240" w:top="459" w:right="259" w:bottom="1440" w:gutter="0" w:footer="0" w:header="0"/>
          <w:type w:val="continuous"/>
        </w:sectPr>
      </w:pPr>
    </w:p>
    <w:p>
      <w:pPr>
        <w:spacing w:after="0" w:line="8" w:lineRule="exact"/>
        <w:rPr>
          <w:sz w:val="20"/>
          <w:szCs w:val="20"/>
          <w:color w:val="auto"/>
        </w:rPr>
      </w:pPr>
    </w:p>
    <w:p>
      <w:pPr>
        <w:ind w:left="1120" w:hanging="948"/>
        <w:spacing w:after="0" w:line="255" w:lineRule="auto"/>
        <w:tabs>
          <w:tab w:leader="none" w:pos="110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Fifth Amendment to Amended and Restated Credit Agreement, dated as of September 10, 2009, among Wynn Las Vegas, LLC and Wynn Las Vegas Capital Corp., Wynn Show Performers, LLC, Wynn Golf, LLC, Wynn Sunrise, LLC, World Travel, LLC, Kevyn, LLC, Las Vegas Jet, LLC, Wynn Resorts Holdings, LLC, Wynn Completion Guarantors, LLC and Deutsche Bank Trust Company Americas, as Administrative Agent on behalf of the several banks and other financial institutions or entities from time to time party to Wynn Las Vegas LLC’s Amended and Restated Credit Agreement, dated as of August 15, 2006. (21)</w:t>
      </w:r>
    </w:p>
    <w:p>
      <w:pPr>
        <w:spacing w:after="0" w:line="89" w:lineRule="exact"/>
        <w:rPr>
          <w:sz w:val="20"/>
          <w:szCs w:val="20"/>
          <w:color w:val="auto"/>
        </w:rPr>
      </w:pPr>
    </w:p>
    <w:p>
      <w:pPr>
        <w:ind w:left="260"/>
        <w:spacing w:after="0"/>
        <w:tabs>
          <w:tab w:leader="none" w:pos="11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 (24)</w:t>
      </w:r>
    </w:p>
    <w:p>
      <w:pPr>
        <w:spacing w:after="0" w:line="117" w:lineRule="exact"/>
        <w:rPr>
          <w:sz w:val="20"/>
          <w:szCs w:val="20"/>
          <w:color w:val="auto"/>
        </w:rPr>
      </w:pPr>
    </w:p>
    <w:p>
      <w:pPr>
        <w:ind w:left="260"/>
        <w:spacing w:after="0"/>
        <w:tabs>
          <w:tab w:leader="none" w:pos="11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 (24)</w:t>
      </w:r>
    </w:p>
    <w:p>
      <w:pPr>
        <w:spacing w:after="0" w:line="117" w:lineRule="exact"/>
        <w:rPr>
          <w:sz w:val="20"/>
          <w:szCs w:val="20"/>
          <w:color w:val="auto"/>
        </w:rPr>
      </w:pPr>
    </w:p>
    <w:p>
      <w:pPr>
        <w:ind w:left="1120" w:hanging="720"/>
        <w:spacing w:after="0"/>
        <w:tabs>
          <w:tab w:leader="none" w:pos="11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Certification of CEO and CFO Pursuant to 18 U.S.C. Section 1350, as Adopted Pursuant to Section 906 of the Sarbanes-Oxley Act of 2002. (24)</w:t>
      </w:r>
    </w:p>
    <w:p>
      <w:pPr>
        <w:spacing w:after="0" w:line="261"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29,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Periodic Report on form 10-Q filed by Wynn Resorts, Limited on August 2,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19,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2,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9,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February 22,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-2676525</wp:posOffset>
            </wp:positionV>
            <wp:extent cx="7461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April 21, 2009.</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Incorporated by reference from the Current Report on Form 8-K filed by the Registrant on September 14, 2009.</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October 20,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Wynn Resorts on May 8,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219"/>
          </w:cols>
          <w:pgMar w:left="240" w:top="459" w:right="1440"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WYNN LAS VEGAS, LLC</w:t>
      </w:r>
    </w:p>
    <w:p>
      <w:pPr>
        <w:spacing w:after="0" w:line="231" w:lineRule="exact"/>
        <w:rPr>
          <w:sz w:val="20"/>
          <w:szCs w:val="20"/>
          <w:color w:val="auto"/>
        </w:rPr>
      </w:pPr>
    </w:p>
    <w:p>
      <w:pPr>
        <w:spacing w:after="0"/>
        <w:tabs>
          <w:tab w:leader="none" w:pos="6060" w:val="left"/>
          <w:tab w:leader="none" w:pos="8000" w:val="left"/>
          <w:tab w:leader="none" w:pos="8340" w:val="left"/>
        </w:tabs>
        <w:rPr>
          <w:sz w:val="20"/>
          <w:szCs w:val="20"/>
          <w:color w:val="auto"/>
        </w:rPr>
      </w:pPr>
      <w:r>
        <w:rPr>
          <w:rFonts w:ascii="Arial" w:cs="Arial" w:eastAsia="Arial" w:hAnsi="Arial"/>
          <w:sz w:val="18"/>
          <w:szCs w:val="18"/>
          <w:color w:val="auto"/>
        </w:rPr>
        <w:t>Dated: February 26,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Andrew Pascal</w:t>
      </w:r>
    </w:p>
    <w:p>
      <w:pPr>
        <w:jc w:val="center"/>
        <w:ind w:left="6520"/>
        <w:spacing w:after="0" w:line="223" w:lineRule="auto"/>
        <w:rPr>
          <w:sz w:val="20"/>
          <w:szCs w:val="20"/>
          <w:color w:val="auto"/>
        </w:rPr>
      </w:pPr>
      <w:r>
        <w:rPr>
          <w:rFonts w:ascii="Arial" w:cs="Arial" w:eastAsia="Arial" w:hAnsi="Arial"/>
          <w:sz w:val="14"/>
          <w:szCs w:val="14"/>
          <w:b w:val="1"/>
          <w:bCs w:val="1"/>
          <w:color w:val="auto"/>
        </w:rPr>
        <w:t>Chief Operating Officer and President</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86"/>
              </w:rPr>
              <w:t>Signature</w:t>
            </w:r>
          </w:p>
        </w:tc>
        <w:tc>
          <w:tcPr>
            <w:tcW w:w="2080" w:type="dxa"/>
            <w:vAlign w:val="bottom"/>
          </w:tcPr>
          <w:p>
            <w:pPr>
              <w:spacing w:after="0"/>
              <w:rPr>
                <w:sz w:val="15"/>
                <w:szCs w:val="15"/>
                <w:color w:val="auto"/>
              </w:rPr>
            </w:pPr>
          </w:p>
        </w:tc>
        <w:tc>
          <w:tcPr>
            <w:tcW w:w="244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spacing w:after="0"/>
              <w:rPr>
                <w:sz w:val="15"/>
                <w:szCs w:val="15"/>
                <w:color w:val="auto"/>
              </w:rPr>
            </w:pPr>
          </w:p>
        </w:tc>
        <w:tc>
          <w:tcPr>
            <w:tcW w:w="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00" w:type="dxa"/>
            <w:vAlign w:val="bottom"/>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9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2"/>
        </w:trPr>
        <w:tc>
          <w:tcPr>
            <w:tcW w:w="1600" w:type="dxa"/>
            <w:vAlign w:val="bottom"/>
            <w:gridSpan w:val="2"/>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gridSpan w:val="4"/>
          </w:tcPr>
          <w:p>
            <w:pPr>
              <w:jc w:val="center"/>
              <w:ind w:right="152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TEPHEN</w:t>
            </w:r>
            <w:r>
              <w:rPr>
                <w:rFonts w:ascii="Arial" w:cs="Arial" w:eastAsia="Arial" w:hAnsi="Arial"/>
                <w:sz w:val="18"/>
                <w:szCs w:val="18"/>
                <w:color w:val="auto"/>
                <w:w w:val="96"/>
              </w:rPr>
              <w:t xml:space="preserve"> A. W</w:t>
            </w:r>
            <w:r>
              <w:rPr>
                <w:rFonts w:ascii="Arial" w:cs="Arial" w:eastAsia="Arial" w:hAnsi="Arial"/>
                <w:sz w:val="14"/>
                <w:szCs w:val="14"/>
                <w:color w:val="auto"/>
                <w:w w:val="96"/>
              </w:rPr>
              <w:t>YNN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Chairman of the Board</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6"/>
              </w:rPr>
              <w:t>Stephen A. Wynn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900" w:type="dxa"/>
            <w:vAlign w:val="bottom"/>
            <w:gridSpan w:val="3"/>
          </w:tcPr>
          <w:p>
            <w:pPr>
              <w:jc w:val="center"/>
              <w:ind w:right="160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90"/>
              </w:rPr>
              <w:t>Kazuo Okada</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900" w:type="dxa"/>
            <w:vAlign w:val="bottom"/>
            <w:gridSpan w:val="3"/>
          </w:tcPr>
          <w:p>
            <w:pPr>
              <w:jc w:val="center"/>
              <w:ind w:right="160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President, Wynn International Marketing and 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9"/>
              </w:rPr>
              <w:t>Linda Chen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60" w:type="dxa"/>
            <w:vAlign w:val="bottom"/>
          </w:tcPr>
          <w:p>
            <w:pPr>
              <w:ind w:left="11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220" w:type="dxa"/>
            <w:vAlign w:val="bottom"/>
            <w:gridSpan w:val="5"/>
          </w:tcPr>
          <w:p>
            <w:pPr>
              <w:jc w:val="center"/>
              <w:ind w:right="128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USSELL</w:t>
            </w:r>
            <w:r>
              <w:rPr>
                <w:rFonts w:ascii="Arial" w:cs="Arial" w:eastAsia="Arial" w:hAnsi="Arial"/>
                <w:sz w:val="18"/>
                <w:szCs w:val="18"/>
                <w:color w:val="auto"/>
                <w:w w:val="99"/>
              </w:rPr>
              <w:t xml:space="preserve"> G</w:t>
            </w:r>
            <w:r>
              <w:rPr>
                <w:rFonts w:ascii="Arial" w:cs="Arial" w:eastAsia="Arial" w:hAnsi="Arial"/>
                <w:sz w:val="14"/>
                <w:szCs w:val="14"/>
                <w:color w:val="auto"/>
                <w:w w:val="99"/>
              </w:rPr>
              <w:t>OLDSMITH</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4"/>
              </w:rPr>
              <w:t>Russell Goldsmith</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900" w:type="dxa"/>
            <w:vAlign w:val="bottom"/>
            <w:gridSpan w:val="3"/>
          </w:tcPr>
          <w:p>
            <w:pPr>
              <w:jc w:val="center"/>
              <w:ind w:right="160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AY</w:t>
            </w:r>
            <w:r>
              <w:rPr>
                <w:rFonts w:ascii="Arial" w:cs="Arial" w:eastAsia="Arial" w:hAnsi="Arial"/>
                <w:sz w:val="18"/>
                <w:szCs w:val="18"/>
                <w:color w:val="auto"/>
                <w:w w:val="99"/>
              </w:rPr>
              <w:t xml:space="preserve"> R. I</w:t>
            </w:r>
            <w:r>
              <w:rPr>
                <w:rFonts w:ascii="Arial" w:cs="Arial" w:eastAsia="Arial" w:hAnsi="Arial"/>
                <w:sz w:val="14"/>
                <w:szCs w:val="14"/>
                <w:color w:val="auto"/>
                <w:w w:val="99"/>
              </w:rPr>
              <w:t>RANI</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93"/>
              </w:rPr>
              <w:t>Dr. Ray R. Irani</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00" w:type="dxa"/>
            <w:vAlign w:val="bottom"/>
            <w:gridSpan w:val="2"/>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gridSpan w:val="4"/>
          </w:tcPr>
          <w:p>
            <w:pPr>
              <w:jc w:val="center"/>
              <w:ind w:right="154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J. M</w:t>
            </w:r>
            <w:r>
              <w:rPr>
                <w:rFonts w:ascii="Arial" w:cs="Arial" w:eastAsia="Arial" w:hAnsi="Arial"/>
                <w:sz w:val="14"/>
                <w:szCs w:val="14"/>
                <w:color w:val="auto"/>
                <w:w w:val="97"/>
              </w:rPr>
              <w:t>ILLER</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90"/>
              </w:rPr>
              <w:t>Robert J. Miller</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900" w:type="dxa"/>
            <w:vAlign w:val="bottom"/>
            <w:gridSpan w:val="3"/>
          </w:tcPr>
          <w:p>
            <w:pPr>
              <w:jc w:val="center"/>
              <w:ind w:right="160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A. M</w:t>
            </w:r>
            <w:r>
              <w:rPr>
                <w:rFonts w:ascii="Arial" w:cs="Arial" w:eastAsia="Arial" w:hAnsi="Arial"/>
                <w:sz w:val="14"/>
                <w:szCs w:val="14"/>
                <w:color w:val="auto"/>
                <w:w w:val="99"/>
              </w:rPr>
              <w:t>ORAN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90"/>
              </w:rPr>
              <w:t>John A. Moran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60" w:type="dxa"/>
            <w:vAlign w:val="bottom"/>
          </w:tcPr>
          <w:p>
            <w:pPr>
              <w:ind w:left="11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20" w:type="dxa"/>
            <w:vAlign w:val="bottom"/>
            <w:gridSpan w:val="5"/>
          </w:tcPr>
          <w:p>
            <w:pPr>
              <w:jc w:val="center"/>
              <w:ind w:right="1280"/>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LVIN</w:t>
            </w:r>
            <w:r>
              <w:rPr>
                <w:rFonts w:ascii="Arial" w:cs="Arial" w:eastAsia="Arial" w:hAnsi="Arial"/>
                <w:sz w:val="18"/>
                <w:szCs w:val="18"/>
                <w:color w:val="auto"/>
                <w:w w:val="99"/>
              </w:rPr>
              <w:t xml:space="preserve"> V. S</w:t>
            </w:r>
            <w:r>
              <w:rPr>
                <w:rFonts w:ascii="Arial" w:cs="Arial" w:eastAsia="Arial" w:hAnsi="Arial"/>
                <w:sz w:val="14"/>
                <w:szCs w:val="14"/>
                <w:color w:val="auto"/>
                <w:w w:val="99"/>
              </w:rPr>
              <w:t>HOEMAKER</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8"/>
              </w:rPr>
              <w:t>Alvin V. Shoemaker</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00" w:type="dxa"/>
            <w:vAlign w:val="bottom"/>
            <w:gridSpan w:val="2"/>
          </w:tcPr>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gridSpan w:val="4"/>
          </w:tcPr>
          <w:p>
            <w:pPr>
              <w:jc w:val="center"/>
              <w:ind w:right="1540"/>
              <w:spacing w:after="0"/>
              <w:rPr>
                <w:sz w:val="20"/>
                <w:szCs w:val="20"/>
                <w:color w:val="auto"/>
              </w:rPr>
            </w:pPr>
            <w:r>
              <w:rPr>
                <w:rFonts w:ascii="Arial" w:cs="Arial" w:eastAsia="Arial" w:hAnsi="Arial"/>
                <w:sz w:val="18"/>
                <w:szCs w:val="18"/>
                <w:color w:val="auto"/>
                <w:w w:val="97"/>
              </w:rPr>
              <w:t>D. B</w:t>
            </w:r>
            <w:r>
              <w:rPr>
                <w:rFonts w:ascii="Arial" w:cs="Arial" w:eastAsia="Arial" w:hAnsi="Arial"/>
                <w:sz w:val="14"/>
                <w:szCs w:val="14"/>
                <w:color w:val="auto"/>
                <w:w w:val="97"/>
              </w:rPr>
              <w:t>OONE</w:t>
            </w:r>
            <w:r>
              <w:rPr>
                <w:rFonts w:ascii="Arial" w:cs="Arial" w:eastAsia="Arial" w:hAnsi="Arial"/>
                <w:sz w:val="18"/>
                <w:szCs w:val="18"/>
                <w:color w:val="auto"/>
                <w:w w:val="97"/>
              </w:rPr>
              <w:t xml:space="preserve"> W</w:t>
            </w:r>
            <w:r>
              <w:rPr>
                <w:rFonts w:ascii="Arial" w:cs="Arial" w:eastAsia="Arial" w:hAnsi="Arial"/>
                <w:sz w:val="14"/>
                <w:szCs w:val="14"/>
                <w:color w:val="auto"/>
                <w:w w:val="97"/>
              </w:rPr>
              <w:t>AYSON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5"/>
              </w:rPr>
              <w:t>D. Boone Wayson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00" w:type="dxa"/>
            <w:vAlign w:val="bottom"/>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900" w:type="dxa"/>
            <w:vAlign w:val="bottom"/>
            <w:gridSpan w:val="3"/>
          </w:tcPr>
          <w:p>
            <w:pPr>
              <w:jc w:val="center"/>
              <w:ind w:right="1600"/>
              <w:spacing w:after="0"/>
              <w:rPr>
                <w:sz w:val="20"/>
                <w:szCs w:val="20"/>
                <w:color w:val="auto"/>
              </w:rPr>
            </w:pPr>
            <w:r>
              <w:rPr>
                <w:rFonts w:ascii="Arial" w:cs="Arial" w:eastAsia="Arial" w:hAnsi="Arial"/>
                <w:sz w:val="18"/>
                <w:szCs w:val="18"/>
                <w:color w:val="auto"/>
                <w:w w:val="96"/>
              </w:rPr>
              <w:t>E</w:t>
            </w:r>
            <w:r>
              <w:rPr>
                <w:rFonts w:ascii="Arial" w:cs="Arial" w:eastAsia="Arial" w:hAnsi="Arial"/>
                <w:sz w:val="14"/>
                <w:szCs w:val="14"/>
                <w:color w:val="auto"/>
                <w:w w:val="96"/>
              </w:rPr>
              <w:t>LAINE</w:t>
            </w:r>
            <w:r>
              <w:rPr>
                <w:rFonts w:ascii="Arial" w:cs="Arial" w:eastAsia="Arial" w:hAnsi="Arial"/>
                <w:sz w:val="18"/>
                <w:szCs w:val="18"/>
                <w:color w:val="auto"/>
                <w:w w:val="96"/>
              </w:rPr>
              <w:t xml:space="preserve"> P. W</w:t>
            </w:r>
            <w:r>
              <w:rPr>
                <w:rFonts w:ascii="Arial" w:cs="Arial" w:eastAsia="Arial" w:hAnsi="Arial"/>
                <w:sz w:val="14"/>
                <w:szCs w:val="14"/>
                <w:color w:val="auto"/>
                <w:w w:val="96"/>
              </w:rPr>
              <w:t>YNN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7"/>
              </w:rPr>
              <w:t>Elaine P. Wynn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900" w:type="dxa"/>
            <w:vAlign w:val="bottom"/>
            <w:gridSpan w:val="3"/>
          </w:tcPr>
          <w:p>
            <w:pPr>
              <w:jc w:val="center"/>
              <w:ind w:right="16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91"/>
              </w:rPr>
              <w:t>Allan Zeman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1600" w:type="dxa"/>
            <w:vAlign w:val="bottom"/>
            <w:gridSpan w:val="2"/>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900" w:type="dxa"/>
            <w:vAlign w:val="bottom"/>
            <w:gridSpan w:val="3"/>
          </w:tcPr>
          <w:p>
            <w:pPr>
              <w:jc w:val="center"/>
              <w:ind w:right="16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Chief Operating Officer and President (Principal</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6"/>
        </w:trPr>
        <w:tc>
          <w:tcPr>
            <w:tcW w:w="1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4520" w:type="dxa"/>
            <w:vAlign w:val="bottom"/>
            <w:gridSpan w:val="3"/>
            <w:vMerge w:val="restart"/>
          </w:tcPr>
          <w:p>
            <w:pPr>
              <w:ind w:left="460"/>
              <w:spacing w:after="0"/>
              <w:rPr>
                <w:sz w:val="20"/>
                <w:szCs w:val="20"/>
                <w:color w:val="auto"/>
              </w:rPr>
            </w:pPr>
            <w:r>
              <w:rPr>
                <w:rFonts w:ascii="Arial" w:cs="Arial" w:eastAsia="Arial" w:hAnsi="Arial"/>
                <w:sz w:val="18"/>
                <w:szCs w:val="18"/>
                <w:color w:val="auto"/>
              </w:rPr>
              <w:t>Executive Officer)</w:t>
            </w: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00" w:type="dxa"/>
            <w:vAlign w:val="bottom"/>
            <w:gridSpan w:val="3"/>
            <w:vMerge w:val="restart"/>
          </w:tcPr>
          <w:p>
            <w:pPr>
              <w:jc w:val="center"/>
              <w:ind w:right="1680"/>
              <w:spacing w:after="0"/>
              <w:rPr>
                <w:sz w:val="20"/>
                <w:szCs w:val="20"/>
                <w:color w:val="auto"/>
              </w:rPr>
            </w:pPr>
            <w:r>
              <w:rPr>
                <w:rFonts w:ascii="Arial" w:cs="Arial" w:eastAsia="Arial" w:hAnsi="Arial"/>
                <w:sz w:val="14"/>
                <w:szCs w:val="14"/>
                <w:b w:val="1"/>
                <w:bCs w:val="1"/>
                <w:color w:val="auto"/>
                <w:w w:val="86"/>
              </w:rPr>
              <w:t>Andrew Pascal</w:t>
            </w:r>
          </w:p>
        </w:tc>
        <w:tc>
          <w:tcPr>
            <w:tcW w:w="4520" w:type="dxa"/>
            <w:vAlign w:val="bottom"/>
            <w:gridSpan w:val="3"/>
            <w:vMerge w:val="continue"/>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00" w:type="dxa"/>
            <w:vAlign w:val="bottom"/>
            <w:gridSpan w:val="3"/>
            <w:vMerge w:val="continue"/>
          </w:tcPr>
          <w:p>
            <w:pPr>
              <w:spacing w:after="0"/>
              <w:rPr>
                <w:sz w:val="15"/>
                <w:szCs w:val="15"/>
                <w:color w:val="auto"/>
              </w:rPr>
            </w:pPr>
          </w:p>
        </w:tc>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gridSpan w:val="2"/>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900" w:type="dxa"/>
            <w:vAlign w:val="bottom"/>
            <w:gridSpan w:val="3"/>
          </w:tcPr>
          <w:p>
            <w:pPr>
              <w:jc w:val="center"/>
              <w:ind w:right="1620"/>
              <w:spacing w:after="0"/>
              <w:rPr>
                <w:sz w:val="20"/>
                <w:szCs w:val="20"/>
                <w:color w:val="auto"/>
              </w:rPr>
            </w:pPr>
            <w:r>
              <w:rPr>
                <w:rFonts w:ascii="Arial" w:cs="Arial" w:eastAsia="Arial" w:hAnsi="Arial"/>
                <w:sz w:val="18"/>
                <w:szCs w:val="18"/>
                <w:color w:val="auto"/>
                <w:w w:val="94"/>
              </w:rPr>
              <w:t>S</w:t>
            </w:r>
            <w:r>
              <w:rPr>
                <w:rFonts w:ascii="Arial" w:cs="Arial" w:eastAsia="Arial" w:hAnsi="Arial"/>
                <w:sz w:val="14"/>
                <w:szCs w:val="14"/>
                <w:color w:val="auto"/>
                <w:w w:val="94"/>
              </w:rPr>
              <w:t>COTT</w:t>
            </w:r>
            <w:r>
              <w:rPr>
                <w:rFonts w:ascii="Arial" w:cs="Arial" w:eastAsia="Arial" w:hAnsi="Arial"/>
                <w:sz w:val="18"/>
                <w:szCs w:val="18"/>
                <w:color w:val="auto"/>
                <w:w w:val="94"/>
              </w:rPr>
              <w:t xml:space="preserve"> P</w:t>
            </w:r>
            <w:r>
              <w:rPr>
                <w:rFonts w:ascii="Arial" w:cs="Arial" w:eastAsia="Arial" w:hAnsi="Arial"/>
                <w:sz w:val="14"/>
                <w:szCs w:val="14"/>
                <w:color w:val="auto"/>
                <w:w w:val="94"/>
              </w:rPr>
              <w:t>ETERSON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Senior Vice President and</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6"/>
        </w:trPr>
        <w:tc>
          <w:tcPr>
            <w:tcW w:w="1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4520" w:type="dxa"/>
            <w:vAlign w:val="bottom"/>
            <w:gridSpan w:val="3"/>
            <w:vMerge w:val="restart"/>
          </w:tcPr>
          <w:p>
            <w:pPr>
              <w:ind w:left="460"/>
              <w:spacing w:after="0"/>
              <w:rPr>
                <w:sz w:val="20"/>
                <w:szCs w:val="20"/>
                <w:color w:val="auto"/>
              </w:rPr>
            </w:pPr>
            <w:r>
              <w:rPr>
                <w:rFonts w:ascii="Arial" w:cs="Arial" w:eastAsia="Arial" w:hAnsi="Arial"/>
                <w:sz w:val="18"/>
                <w:szCs w:val="18"/>
                <w:color w:val="auto"/>
              </w:rPr>
              <w:t>Chief Financial Officer (Principal Financial and</w:t>
            </w: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4520" w:type="dxa"/>
            <w:vAlign w:val="bottom"/>
            <w:gridSpan w:val="3"/>
            <w:vMerge w:val="continue"/>
          </w:tcPr>
          <w:p>
            <w:pPr>
              <w:spacing w:after="0"/>
              <w:rPr>
                <w:sz w:val="6"/>
                <w:szCs w:val="6"/>
                <w:color w:val="auto"/>
              </w:rPr>
            </w:pPr>
          </w:p>
        </w:tc>
        <w:tc>
          <w:tcPr>
            <w:tcW w:w="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4"/>
              </w:rPr>
              <w:t>Scott Peterson</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Accounting Officer)</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035" w:gutter="0" w:footer="0" w:header="0"/>
        </w:sect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459" w:right="239" w:bottom="1035"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Andrew Pascal, certify that:</w:t>
      </w:r>
    </w:p>
    <w:p>
      <w:pPr>
        <w:spacing w:after="0" w:line="77"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26, 2010</w:t>
      </w:r>
    </w:p>
    <w:p>
      <w:pPr>
        <w:spacing w:after="0" w:line="200" w:lineRule="exact"/>
        <w:rPr>
          <w:sz w:val="20"/>
          <w:szCs w:val="20"/>
          <w:color w:val="auto"/>
        </w:rPr>
      </w:pPr>
    </w:p>
    <w:p>
      <w:pPr>
        <w:spacing w:after="0" w:line="322" w:lineRule="exact"/>
        <w:rPr>
          <w:sz w:val="20"/>
          <w:szCs w:val="20"/>
          <w:color w:val="auto"/>
        </w:rPr>
      </w:pPr>
    </w:p>
    <w:p>
      <w:pPr>
        <w:ind w:left="8340"/>
        <w:spacing w:after="0"/>
        <w:tabs>
          <w:tab w:leader="none" w:pos="864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and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Scott Peterson, certify that:</w:t>
      </w:r>
    </w:p>
    <w:p>
      <w:pPr>
        <w:spacing w:after="0" w:line="77"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26, 2010</w:t>
      </w:r>
    </w:p>
    <w:p>
      <w:pPr>
        <w:spacing w:after="0" w:line="374" w:lineRule="exact"/>
        <w:rPr>
          <w:sz w:val="20"/>
          <w:szCs w:val="20"/>
          <w:color w:val="auto"/>
        </w:rPr>
      </w:pPr>
    </w:p>
    <w:p>
      <w:pPr>
        <w:ind w:left="8320"/>
        <w:spacing w:after="0"/>
        <w:tabs>
          <w:tab w:leader="none" w:pos="86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Annual Report on Form 10-K of Wynn Las Vegas, LLC (the “Company”) for the year ended December 31, 2009 as filed with the Securities and Exchange Commission on the date hereof (the “Report”), Andrew Pascal, as Chief Operating Officer of the Company, and Scott Peterson,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tcPr>
          <w:p>
            <w:pPr>
              <w:ind w:left="200"/>
              <w:spacing w:after="0"/>
              <w:rPr>
                <w:sz w:val="20"/>
                <w:szCs w:val="20"/>
                <w:color w:val="auto"/>
              </w:rPr>
            </w:pPr>
            <w:r>
              <w:rPr>
                <w:rFonts w:ascii="Arial" w:cs="Arial" w:eastAsia="Arial" w:hAnsi="Arial"/>
                <w:sz w:val="18"/>
                <w:szCs w:val="18"/>
                <w:color w:val="auto"/>
              </w:rPr>
              <w:t>Andrew Pascal</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200"/>
              <w:spacing w:after="0"/>
              <w:rPr>
                <w:sz w:val="20"/>
                <w:szCs w:val="20"/>
                <w:color w:val="auto"/>
              </w:rPr>
            </w:pPr>
            <w:r>
              <w:rPr>
                <w:rFonts w:ascii="Arial" w:cs="Arial" w:eastAsia="Arial" w:hAnsi="Arial"/>
                <w:sz w:val="18"/>
                <w:szCs w:val="18"/>
                <w:color w:val="auto"/>
              </w:rPr>
              <w:t>Chief Operating Officer and President</w:t>
            </w:r>
          </w:p>
        </w:tc>
      </w:tr>
      <w:tr>
        <w:trPr>
          <w:trHeight w:val="222"/>
        </w:trPr>
        <w:tc>
          <w:tcPr>
            <w:tcW w:w="68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3900" w:type="dxa"/>
            <w:vAlign w:val="bottom"/>
          </w:tcPr>
          <w:p>
            <w:pPr>
              <w:ind w:left="200"/>
              <w:spacing w:after="0"/>
              <w:rPr>
                <w:sz w:val="20"/>
                <w:szCs w:val="20"/>
                <w:color w:val="auto"/>
              </w:rPr>
            </w:pPr>
            <w:r>
              <w:rPr>
                <w:rFonts w:ascii="Arial" w:cs="Arial" w:eastAsia="Arial" w:hAnsi="Arial"/>
                <w:sz w:val="18"/>
                <w:szCs w:val="18"/>
                <w:color w:val="auto"/>
              </w:rPr>
              <w:t>February 26, 2010</w:t>
            </w:r>
          </w:p>
        </w:tc>
      </w:tr>
      <w:tr>
        <w:trPr>
          <w:trHeight w:val="365"/>
        </w:trPr>
        <w:tc>
          <w:tcPr>
            <w:tcW w:w="680" w:type="dxa"/>
            <w:vAlign w:val="bottom"/>
          </w:tcPr>
          <w:p>
            <w:pPr>
              <w:spacing w:after="0"/>
              <w:rPr>
                <w:sz w:val="24"/>
                <w:szCs w:val="24"/>
                <w:color w:val="auto"/>
              </w:rPr>
            </w:pPr>
          </w:p>
        </w:tc>
        <w:tc>
          <w:tcPr>
            <w:tcW w:w="3900" w:type="dxa"/>
            <w:vAlign w:val="bottom"/>
          </w:tcPr>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r>
      <w:tr>
        <w:trPr>
          <w:trHeight w:val="110"/>
        </w:trPr>
        <w:tc>
          <w:tcPr>
            <w:tcW w:w="680" w:type="dxa"/>
            <w:vAlign w:val="bottom"/>
            <w:tcBorders>
              <w:bottom w:val="single" w:sz="8" w:color="808080"/>
            </w:tcBorders>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r>
      <w:tr>
        <w:trPr>
          <w:trHeight w:val="3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tcPr>
          <w:p>
            <w:pPr>
              <w:ind w:left="200"/>
              <w:spacing w:after="0"/>
              <w:rPr>
                <w:sz w:val="20"/>
                <w:szCs w:val="20"/>
                <w:color w:val="auto"/>
              </w:rPr>
            </w:pPr>
            <w:r>
              <w:rPr>
                <w:rFonts w:ascii="Arial" w:cs="Arial" w:eastAsia="Arial" w:hAnsi="Arial"/>
                <w:sz w:val="18"/>
                <w:szCs w:val="18"/>
                <w:color w:val="auto"/>
              </w:rPr>
              <w:t>Scott Peterson</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200"/>
              <w:spacing w:after="0"/>
              <w:rPr>
                <w:sz w:val="20"/>
                <w:szCs w:val="20"/>
                <w:color w:val="auto"/>
              </w:rPr>
            </w:pPr>
            <w:r>
              <w:rPr>
                <w:rFonts w:ascii="Arial" w:cs="Arial" w:eastAsia="Arial" w:hAnsi="Arial"/>
                <w:sz w:val="18"/>
                <w:szCs w:val="18"/>
                <w:color w:val="auto"/>
                <w:w w:val="94"/>
              </w:rPr>
              <w:t>Chief Financial Officer and Senior Vice President</w:t>
            </w:r>
          </w:p>
        </w:tc>
      </w:tr>
      <w:tr>
        <w:trPr>
          <w:trHeight w:val="222"/>
        </w:trPr>
        <w:tc>
          <w:tcPr>
            <w:tcW w:w="68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3900" w:type="dxa"/>
            <w:vAlign w:val="bottom"/>
          </w:tcPr>
          <w:p>
            <w:pPr>
              <w:ind w:left="200"/>
              <w:spacing w:after="0"/>
              <w:rPr>
                <w:sz w:val="20"/>
                <w:szCs w:val="20"/>
                <w:color w:val="auto"/>
              </w:rPr>
            </w:pPr>
            <w:r>
              <w:rPr>
                <w:rFonts w:ascii="Arial" w:cs="Arial" w:eastAsia="Arial" w:hAnsi="Arial"/>
                <w:sz w:val="18"/>
                <w:szCs w:val="18"/>
                <w:color w:val="auto"/>
              </w:rPr>
              <w:t>February 26, 2010</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lvl w:ilvl="1">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lowerLetter"/>
      <w:start w:val="5"/>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2"/>
    </w:lvl>
  </w:abstractNum>
  <w:abstractNum w:abstractNumId="24">
    <w:nsid w:val="6CEAF087"/>
    <w:multiLevelType w:val="hybridMultilevel"/>
    <w:lvl w:ilvl="0">
      <w:lvlJc w:val="left"/>
      <w:lvlText w:val="(%1)"/>
      <w:numFmt w:val="lowerLetter"/>
      <w:start w:val="4"/>
    </w:lvl>
  </w:abstractNum>
  <w:abstractNum w:abstractNumId="25">
    <w:nsid w:val="22221A70"/>
    <w:multiLevelType w:val="hybridMultilevel"/>
    <w:lvl w:ilvl="0">
      <w:lvlJc w:val="left"/>
      <w:lvlText w:val="(%1)"/>
      <w:numFmt w:val="lowerRoman"/>
      <w:start w:val="3"/>
    </w:lvl>
  </w:abstractNum>
  <w:abstractNum w:abstractNumId="26">
    <w:nsid w:val="4516DDE9"/>
    <w:multiLevelType w:val="hybridMultilevel"/>
    <w:lvl w:ilvl="0">
      <w:lvlJc w:val="left"/>
      <w:lvlText w:val="%1."/>
      <w:numFmt w:val="decimal"/>
      <w:start w:val="9"/>
    </w:lvl>
  </w:abstractNum>
  <w:abstractNum w:abstractNumId="27">
    <w:nsid w:val="3006C83E"/>
    <w:multiLevelType w:val="hybridMultilevel"/>
    <w:lvl w:ilvl="0">
      <w:lvlJc w:val="left"/>
      <w:lvlText w:val="%1."/>
      <w:numFmt w:val="decimal"/>
      <w:start w:val="11"/>
    </w:lvl>
  </w:abstractNum>
  <w:abstractNum w:abstractNumId="28">
    <w:nsid w:val="614FD4A1"/>
    <w:multiLevelType w:val="hybridMultilevel"/>
    <w:lvl w:ilvl="0">
      <w:lvlJc w:val="left"/>
      <w:lvlText w:val="%1."/>
      <w:numFmt w:val="decimal"/>
      <w:start w:val="12"/>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3"/>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lvl w:ilvl="1">
      <w:lvlJc w:val="left"/>
      <w:lvlText w:val="%2"/>
      <w:numFmt w:val="decimal"/>
      <w:start w:val="32"/>
    </w:lvl>
  </w:abstractNum>
  <w:abstractNum w:abstractNumId="34">
    <w:nsid w:val="77465F01"/>
    <w:multiLevelType w:val="hybridMultilevel"/>
    <w:lvl w:ilvl="0">
      <w:lvlJc w:val="left"/>
      <w:lvlText w:val="(%1)"/>
      <w:numFmt w:val="decimal"/>
      <w:start w:val="1"/>
    </w:lvl>
    <w:lvl w:ilvl="1">
      <w:lvlJc w:val="left"/>
      <w:lvlText w:val="%2"/>
      <w:numFmt w:val="decimal"/>
      <w:start w:val="1"/>
    </w:lvl>
  </w:abstractNum>
  <w:abstractNum w:abstractNumId="35">
    <w:nsid w:val="7724C67E"/>
    <w:multiLevelType w:val="hybridMultilevel"/>
    <w:lvl w:ilvl="0">
      <w:lvlJc w:val="left"/>
      <w:lvlText w:val="(%1)"/>
      <w:numFmt w:val="decimal"/>
      <w:start w:val="20"/>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2019-12-10T22:37:11Z</dcterms:created>
  <dcterms:modified xsi:type="dcterms:W3CDTF">2019-12-10T22:37:11Z</dcterms:modified>
</cp:coreProperties>
</file>