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November 1, 2007</w:t>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80"/>
          </w:cols>
          <w:pgMar w:left="240" w:top="422" w:right="279" w:bottom="1440" w:gutter="0" w:footer="0" w:header="0"/>
        </w:sectPr>
      </w:pPr>
    </w:p>
    <w:p>
      <w:pPr>
        <w:spacing w:after="0" w:line="175"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2200"/>
          </w:cols>
          <w:pgMar w:left="240" w:top="422" w:right="27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6" w:lineRule="exact"/>
        <w:rPr>
          <w:sz w:val="24"/>
          <w:szCs w:val="24"/>
          <w:color w:val="auto"/>
        </w:rPr>
      </w:pPr>
    </w:p>
    <w:p>
      <w:pPr>
        <w:sectPr>
          <w:pgSz w:w="11900" w:h="16838" w:orient="portrait"/>
          <w:cols w:equalWidth="0" w:num="3">
            <w:col w:w="4340" w:space="720"/>
            <w:col w:w="2780" w:space="720"/>
            <w:col w:w="2820"/>
          </w:cols>
          <w:pgMar w:left="240" w:top="422" w:right="27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incorporation)</w:t>
      </w:r>
    </w:p>
    <w:p>
      <w:pPr>
        <w:sectPr>
          <w:pgSz w:w="11900" w:h="16838" w:orient="portrait"/>
          <w:cols w:equalWidth="0" w:num="1">
            <w:col w:w="11380"/>
          </w:cols>
          <w:pgMar w:left="240" w:top="422" w:right="279" w:bottom="1440" w:gutter="0" w:footer="0" w:header="0"/>
          <w:type w:val="continuous"/>
        </w:sectPr>
      </w:pPr>
    </w:p>
    <w:p>
      <w:pPr>
        <w:spacing w:after="0" w:line="13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80"/>
          </w:cols>
          <w:pgMar w:left="240" w:top="422" w:right="279" w:bottom="1440" w:gutter="0" w:footer="0" w:header="0"/>
          <w:type w:val="continuous"/>
        </w:sectPr>
      </w:pPr>
    </w:p>
    <w:p>
      <w:pPr>
        <w:spacing w:after="0" w:line="175"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88-0494875</w:t>
      </w:r>
    </w:p>
    <w:p>
      <w:pPr>
        <w:spacing w:after="0" w:line="35" w:lineRule="exact"/>
        <w:rPr>
          <w:sz w:val="24"/>
          <w:szCs w:val="24"/>
          <w:color w:val="auto"/>
        </w:rPr>
      </w:pPr>
    </w:p>
    <w:p>
      <w:pPr>
        <w:sectPr>
          <w:pgSz w:w="11900" w:h="16838" w:orient="portrait"/>
          <w:cols w:equalWidth="0" w:num="3">
            <w:col w:w="6040" w:space="720"/>
            <w:col w:w="3040" w:space="720"/>
            <w:col w:w="860"/>
          </w:cols>
          <w:pgMar w:left="240" w:top="422" w:right="279" w:bottom="1440" w:gutter="0" w:footer="0" w:header="0"/>
          <w:type w:val="continuous"/>
        </w:sectPr>
      </w:pPr>
    </w:p>
    <w:p>
      <w:pPr>
        <w:spacing w:after="0" w:line="9" w:lineRule="exact"/>
        <w:rPr>
          <w:sz w:val="24"/>
          <w:szCs w:val="24"/>
          <w:color w:val="auto"/>
        </w:rPr>
      </w:pPr>
    </w:p>
    <w:p>
      <w:pPr>
        <w:jc w:val="center"/>
        <w:ind w:right="178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40"/>
        <w:spacing w:after="0"/>
        <w:rPr>
          <w:sz w:val="20"/>
          <w:szCs w:val="20"/>
          <w:color w:val="auto"/>
        </w:rPr>
      </w:pPr>
      <w:r>
        <w:rPr>
          <w:rFonts w:ascii="Arial" w:cs="Arial" w:eastAsia="Arial" w:hAnsi="Arial"/>
          <w:sz w:val="14"/>
          <w:szCs w:val="14"/>
          <w:b w:val="1"/>
          <w:bCs w:val="1"/>
          <w:color w:val="auto"/>
        </w:rPr>
        <w:t>(I.R.S.</w:t>
      </w:r>
    </w:p>
    <w:p>
      <w:pPr>
        <w:jc w:val="center"/>
        <w:ind w:right="40"/>
        <w:spacing w:after="0" w:line="221" w:lineRule="auto"/>
        <w:rPr>
          <w:sz w:val="20"/>
          <w:szCs w:val="20"/>
          <w:color w:val="auto"/>
        </w:rPr>
      </w:pPr>
      <w:r>
        <w:rPr>
          <w:rFonts w:ascii="Arial" w:cs="Arial" w:eastAsia="Arial" w:hAnsi="Arial"/>
          <w:sz w:val="14"/>
          <w:szCs w:val="14"/>
          <w:b w:val="1"/>
          <w:bCs w:val="1"/>
          <w:color w:val="auto"/>
        </w:rPr>
        <w:t>Employer</w:t>
      </w:r>
    </w:p>
    <w:p>
      <w:pPr>
        <w:jc w:val="center"/>
        <w:ind w:right="40"/>
        <w:spacing w:after="0"/>
        <w:rPr>
          <w:sz w:val="20"/>
          <w:szCs w:val="20"/>
          <w:color w:val="auto"/>
        </w:rPr>
      </w:pPr>
      <w:r>
        <w:rPr>
          <w:rFonts w:ascii="Arial" w:cs="Arial" w:eastAsia="Arial" w:hAnsi="Arial"/>
          <w:sz w:val="12"/>
          <w:szCs w:val="12"/>
          <w:b w:val="1"/>
          <w:bCs w:val="1"/>
          <w:color w:val="auto"/>
        </w:rPr>
        <w:t>Identification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No.)</w:t>
      </w:r>
    </w:p>
    <w:p>
      <w:pPr>
        <w:spacing w:after="0" w:line="189" w:lineRule="exact"/>
        <w:rPr>
          <w:sz w:val="24"/>
          <w:szCs w:val="24"/>
          <w:color w:val="auto"/>
        </w:rPr>
      </w:pPr>
    </w:p>
    <w:p>
      <w:pPr>
        <w:sectPr>
          <w:pgSz w:w="11900" w:h="16838" w:orient="portrait"/>
          <w:cols w:equalWidth="0" w:num="3">
            <w:col w:w="5680" w:space="720"/>
            <w:col w:w="3440" w:space="720"/>
            <w:col w:w="820"/>
          </w:cols>
          <w:pgMar w:left="240" w:top="422" w:right="279" w:bottom="1440" w:gutter="0" w:footer="0" w:header="0"/>
          <w:type w:val="continuous"/>
        </w:sectPr>
      </w:pPr>
    </w:p>
    <w:p>
      <w:pPr>
        <w:jc w:val="center"/>
        <w:ind w:right="43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43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10120" w:space="720"/>
            <w:col w:w="540"/>
          </w:cols>
          <w:pgMar w:left="240" w:top="422" w:right="279" w:bottom="1440" w:gutter="0" w:footer="0" w:header="0"/>
          <w:type w:val="continuous"/>
        </w:sectPr>
      </w:pPr>
    </w:p>
    <w:p>
      <w:pPr>
        <w:ind w:left="128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10040" w:space="720"/>
            <w:col w:w="620"/>
          </w:cols>
          <w:pgMar w:left="240" w:top="422"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380"/>
          </w:cols>
          <w:pgMar w:left="240" w:top="422" w:right="279" w:bottom="1440" w:gutter="0" w:footer="0" w:header="0"/>
          <w:type w:val="continuous"/>
        </w:sectPr>
      </w:pPr>
    </w:p>
    <w:p>
      <w:pPr>
        <w:spacing w:after="0" w:line="1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43" w:lineRule="exact"/>
        <w:rPr>
          <w:sz w:val="24"/>
          <w:szCs w:val="24"/>
          <w:color w:val="auto"/>
        </w:rPr>
      </w:pPr>
    </w:p>
    <w:p>
      <w:pPr>
        <w:ind w:right="780"/>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November 1, 2007, Wynn Resorts, Limited issued a press release, attached hereto as Exhibit 99.1 and by this reference incorporated herein.</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635</wp:posOffset>
            </wp:positionV>
            <wp:extent cx="6586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ind w:left="1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 2007, of Wynn Resorts, Limited.</w:t>
      </w:r>
    </w:p>
    <w:p>
      <w:pPr>
        <w:sectPr>
          <w:pgSz w:w="11900" w:h="16838" w:orient="portrait"/>
          <w:cols w:equalWidth="0" w:num="1">
            <w:col w:w="10219"/>
          </w:cols>
          <w:pgMar w:left="240" w:top="274" w:right="1440"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Wynn Resorts Holdings, LLC, its sole member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240" w:top="274" w:right="11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jc w:val="center"/>
              <w:ind w:right="1339"/>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6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18"/>
                <w:szCs w:val="18"/>
                <w:color w:val="auto"/>
              </w:rPr>
            </w:pPr>
          </w:p>
        </w:tc>
        <w:tc>
          <w:tcPr>
            <w:tcW w:w="9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1, 2007, of Wynn Resorts, Limited.</w:t>
            </w:r>
          </w:p>
        </w:tc>
      </w:tr>
      <w:tr>
        <w:trPr>
          <w:trHeight w:val="35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2"/>
          </w:tcPr>
          <w:p>
            <w:pPr>
              <w:jc w:val="right"/>
              <w:ind w:right="5579"/>
              <w:spacing w:after="0"/>
              <w:rPr>
                <w:sz w:val="20"/>
                <w:szCs w:val="20"/>
                <w:color w:val="auto"/>
              </w:rPr>
            </w:pPr>
            <w:r>
              <w:rPr>
                <w:rFonts w:ascii="Arial" w:cs="Arial" w:eastAsia="Arial" w:hAnsi="Arial"/>
                <w:sz w:val="18"/>
                <w:szCs w:val="18"/>
                <w:color w:val="auto"/>
              </w:rPr>
              <w:t>5</w:t>
            </w:r>
          </w:p>
        </w:tc>
      </w:tr>
    </w:tbl>
    <w:p>
      <w:pPr>
        <w:jc w:val="right"/>
        <w:ind w:right="5579"/>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Prices $400,000,000 Aggregate Principal Amount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of 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pacing w:after="0" w:line="166" w:lineRule="exact"/>
        <w:rPr>
          <w:sz w:val="20"/>
          <w:szCs w:val="20"/>
          <w:color w:val="auto"/>
        </w:rPr>
      </w:pPr>
    </w:p>
    <w:p>
      <w:pPr>
        <w:ind w:right="200" w:firstLine="456"/>
        <w:spacing w:after="0" w:line="285" w:lineRule="auto"/>
        <w:rPr>
          <w:sz w:val="20"/>
          <w:szCs w:val="20"/>
          <w:color w:val="auto"/>
        </w:rPr>
      </w:pPr>
      <w:r>
        <w:rPr>
          <w:rFonts w:ascii="Arial" w:cs="Arial" w:eastAsia="Arial" w:hAnsi="Arial"/>
          <w:sz w:val="16"/>
          <w:szCs w:val="16"/>
          <w:b w:val="1"/>
          <w:bCs w:val="1"/>
          <w:color w:val="auto"/>
        </w:rPr>
        <w:t xml:space="preserve">LAS VEGAS, Nevada, November 1, 2007 </w:t>
      </w:r>
      <w:r>
        <w:rPr>
          <w:rFonts w:ascii="Arial" w:cs="Arial" w:eastAsia="Arial" w:hAnsi="Arial"/>
          <w:sz w:val="16"/>
          <w:szCs w:val="16"/>
          <w:color w:val="auto"/>
        </w:rPr>
        <w:t>— Wynn Resorts, Limited (NASDAQ: WYNN) announced today that Wynn Las Vegas, LLC and Wynn Las</w:t>
      </w:r>
      <w:r>
        <w:rPr>
          <w:rFonts w:ascii="Arial" w:cs="Arial" w:eastAsia="Arial" w:hAnsi="Arial"/>
          <w:sz w:val="16"/>
          <w:szCs w:val="16"/>
          <w:b w:val="1"/>
          <w:bCs w:val="1"/>
          <w:color w:val="auto"/>
        </w:rPr>
        <w:t xml:space="preserve"> </w:t>
      </w:r>
      <w:r>
        <w:rPr>
          <w:rFonts w:ascii="Arial" w:cs="Arial" w:eastAsia="Arial" w:hAnsi="Arial"/>
          <w:sz w:val="16"/>
          <w:szCs w:val="16"/>
          <w:color w:val="auto"/>
        </w:rPr>
        <w:t>Vegas Capital Corp. (the “issuers”), each a direct or indirect wholly owned subsidiary of Wynn Resorts, Limited, priced a private offering of $400,000,000</w:t>
      </w:r>
    </w:p>
    <w:p>
      <w:pPr>
        <w:spacing w:after="0" w:line="1"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 xml:space="preserve">aggregate principal amount of their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First Mortgage Notes due 2014 at a price of 97.25% of the principal amount. The notes were offered only to qualified institutional buyers and non-U.S. foreign investors in accordance with Rule 144A and Regulation S, respectively, under the Securities Act of 1933. The notes are being issued under the same indenture as the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previously issued by the issuers.</w:t>
      </w:r>
    </w:p>
    <w:p>
      <w:pPr>
        <w:spacing w:after="0" w:line="122" w:lineRule="exact"/>
        <w:rPr>
          <w:sz w:val="20"/>
          <w:szCs w:val="20"/>
          <w:color w:val="auto"/>
        </w:rPr>
      </w:pPr>
    </w:p>
    <w:p>
      <w:pPr>
        <w:ind w:right="120" w:firstLine="456"/>
        <w:spacing w:after="0" w:line="262" w:lineRule="auto"/>
        <w:rPr>
          <w:sz w:val="20"/>
          <w:szCs w:val="20"/>
          <w:color w:val="auto"/>
        </w:rPr>
      </w:pPr>
      <w:r>
        <w:rPr>
          <w:rFonts w:ascii="Arial" w:cs="Arial" w:eastAsia="Arial" w:hAnsi="Arial"/>
          <w:sz w:val="16"/>
          <w:szCs w:val="16"/>
          <w:color w:val="auto"/>
        </w:rPr>
        <w:t xml:space="preserve">The notes will be pari passu with, and will vote on any matter submitted to noteholders with, the previously issued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However, because the notes are being issued with original issue discount, they will not be of the same series as, and will not be fungible with, the previously issued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will be senior secured obligations of the issuers, will be guaranteed by Wynn Las Vegas, LLC’s subsidiaries (subject to some exceptions), and will be secured by a first priority lien on substantially all of the existing and future assets of the issuers and guarantors.</w:t>
      </w:r>
    </w:p>
    <w:p>
      <w:pPr>
        <w:spacing w:after="0" w:line="16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publicly traded notes that have substantially identical terms as the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release contains forward-looking statements about Wynn Las Vegas, LLC and Wynn Capital Corp., including those related to the offering of notes and whether or not Wynn Las Vegas, LLC and Wynn Capital Corp. will consummate the offering. Such forward-looking information involves important risks and uncertainties that could significantly affect anticipated results in the future and, accordingly, such results may differ from those expressed in any forward-looking statements made by Wynn Resorts, Limited or the issuers. The risks and uncertainties include, but are not limited to, competition in the casino/hotel and resorts industries, the issuers’ brief operating history,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the issuers’ Annual Report on Form 10-K for the year ended December 31, 2006 and the issuers’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2019-12-15T07:41:27Z</dcterms:created>
  <dcterms:modified xsi:type="dcterms:W3CDTF">2019-12-15T07:41:27Z</dcterms:modified>
</cp:coreProperties>
</file>