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86.74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vesting of restricted stock previously granted on August 2, 2018.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2020-07-17T18:39:34Z</dcterms:created>
  <dcterms:modified xsi:type="dcterms:W3CDTF">2020-07-17T18:39:34Z</dcterms:modified>
</cp:coreProperties>
</file>