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333-118741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Wynn Resorts, Limited</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1,333,333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2131695</wp:posOffset>
            </wp:positionH>
            <wp:positionV relativeFrom="paragraph">
              <wp:posOffset>117475</wp:posOffset>
            </wp:positionV>
            <wp:extent cx="2992755" cy="128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92755" cy="128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ind w:right="40" w:firstLine="456"/>
        <w:spacing w:after="0" w:line="332" w:lineRule="auto"/>
        <w:rPr>
          <w:sz w:val="20"/>
          <w:szCs w:val="20"/>
          <w:color w:val="auto"/>
        </w:rPr>
      </w:pPr>
      <w:r>
        <w:rPr>
          <w:rFonts w:ascii="Arial" w:cs="Arial" w:eastAsia="Arial" w:hAnsi="Arial"/>
          <w:sz w:val="16"/>
          <w:szCs w:val="16"/>
          <w:color w:val="auto"/>
        </w:rPr>
        <w:t>This prospectus relates to the offer and sale for cash from time to time by the selling stockholders named in this prospectus of up to 1,333,333 shares of our common stock. We will not receive any of the proceeds from the sale of the shares of common stock by the selling stockholders.</w:t>
      </w:r>
    </w:p>
    <w:p>
      <w:pPr>
        <w:spacing w:after="0" w:line="72" w:lineRule="exact"/>
        <w:rPr>
          <w:sz w:val="24"/>
          <w:szCs w:val="24"/>
          <w:color w:val="auto"/>
        </w:rPr>
      </w:pPr>
    </w:p>
    <w:p>
      <w:pPr>
        <w:ind w:right="20" w:firstLine="456"/>
        <w:spacing w:after="0" w:line="298" w:lineRule="auto"/>
        <w:rPr>
          <w:sz w:val="20"/>
          <w:szCs w:val="20"/>
          <w:color w:val="auto"/>
        </w:rPr>
      </w:pPr>
      <w:r>
        <w:rPr>
          <w:rFonts w:ascii="Arial" w:cs="Arial" w:eastAsia="Arial" w:hAnsi="Arial"/>
          <w:sz w:val="16"/>
          <w:szCs w:val="16"/>
          <w:color w:val="auto"/>
        </w:rPr>
        <w:t>The registration of the shares covered by this prospectus does not necessarily mean that any of the shares will be offered or sold by the selling stockholders. The timing and amount of any sale are within the sole discretion of the selling stockholders. The shares of common stock offered hereby may be sold by the selling stockholders in negotiated transactions or otherwise, at market prices prevailing at the time of sale or at negotiated prices. In addition, the shares of common stock may be offered from time to time through ordinary brokerage transactions on the Nasdaq National Market. See “Plan of Distribution.”</w:t>
      </w:r>
    </w:p>
    <w:p>
      <w:pPr>
        <w:spacing w:after="0" w:line="99" w:lineRule="exact"/>
        <w:rPr>
          <w:sz w:val="24"/>
          <w:szCs w:val="24"/>
          <w:color w:val="auto"/>
        </w:rPr>
      </w:pPr>
    </w:p>
    <w:p>
      <w:pPr>
        <w:ind w:right="100" w:firstLine="456"/>
        <w:spacing w:after="0" w:line="259" w:lineRule="auto"/>
        <w:rPr>
          <w:sz w:val="20"/>
          <w:szCs w:val="20"/>
          <w:color w:val="auto"/>
        </w:rPr>
      </w:pPr>
      <w:r>
        <w:rPr>
          <w:rFonts w:ascii="Arial" w:cs="Arial" w:eastAsia="Arial" w:hAnsi="Arial"/>
          <w:sz w:val="18"/>
          <w:szCs w:val="18"/>
          <w:color w:val="auto"/>
        </w:rPr>
        <w:t>Our common stock is quoted on The Nasdaq National Market under the symbol “WYNN.” Our principal executive offices are located at 3131 Las Vegas Boulevard South, Las Vegas, Nevada 89109, telephone (702) 770-7555. The last reported sale price of our common stock on September 15, 2004 was $41.29 per share.</w:t>
      </w:r>
    </w:p>
    <w:p>
      <w:pPr>
        <w:spacing w:after="0" w:line="108" w:lineRule="exact"/>
        <w:rPr>
          <w:sz w:val="24"/>
          <w:szCs w:val="24"/>
          <w:color w:val="auto"/>
        </w:rPr>
      </w:pPr>
    </w:p>
    <w:p>
      <w:pPr>
        <w:ind w:right="80" w:firstLine="571"/>
        <w:spacing w:after="0" w:line="256" w:lineRule="auto"/>
        <w:rPr>
          <w:sz w:val="20"/>
          <w:szCs w:val="20"/>
          <w:color w:val="auto"/>
        </w:rPr>
      </w:pPr>
      <w:r>
        <w:rPr>
          <w:rFonts w:ascii="Arial" w:cs="Arial" w:eastAsia="Arial" w:hAnsi="Arial"/>
          <w:sz w:val="22"/>
          <w:szCs w:val="22"/>
          <w:b w:val="1"/>
          <w:bCs w:val="1"/>
          <w:color w:val="auto"/>
        </w:rPr>
        <w:t>Investing in our common stock involves risks that are described beginning on page 1 and in our periodic reports filed with the Securities and Exchange Commission.</w:t>
      </w:r>
    </w:p>
    <w:p>
      <w:pPr>
        <w:spacing w:after="0" w:line="108" w:lineRule="exact"/>
        <w:rPr>
          <w:sz w:val="24"/>
          <w:szCs w:val="24"/>
          <w:color w:val="auto"/>
        </w:rPr>
      </w:pPr>
    </w:p>
    <w:p>
      <w:pPr>
        <w:ind w:right="420" w:firstLine="456"/>
        <w:spacing w:after="0" w:line="26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or any accompanying prospectus supplement is truthful or complete. Any representation to the contrary is a criminal offense.</w:t>
      </w:r>
    </w:p>
    <w:p>
      <w:pPr>
        <w:spacing w:after="0" w:line="125" w:lineRule="exact"/>
        <w:rPr>
          <w:sz w:val="24"/>
          <w:szCs w:val="24"/>
          <w:color w:val="auto"/>
        </w:rPr>
      </w:pPr>
    </w:p>
    <w:p>
      <w:pPr>
        <w:ind w:right="120" w:firstLine="456"/>
        <w:spacing w:after="0" w:line="259" w:lineRule="auto"/>
        <w:rPr>
          <w:sz w:val="20"/>
          <w:szCs w:val="20"/>
          <w:color w:val="auto"/>
        </w:rPr>
      </w:pPr>
      <w:r>
        <w:rPr>
          <w:rFonts w:ascii="Arial" w:cs="Arial" w:eastAsia="Arial" w:hAnsi="Arial"/>
          <w:sz w:val="18"/>
          <w:szCs w:val="18"/>
          <w:color w:val="auto"/>
        </w:rPr>
        <w:t>Neither the Nevada Gaming Commission, the Nevada State Gaming Control Board, nor any other gaming authority has passed upon the adequacy or accuracy of this prospectus or any accompanying prospectus supplement or the investment merits of the common stock offered hereby. Any representation to the contrary is unlawful.</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is September 16, 2004.</w:t>
      </w:r>
    </w:p>
    <w:p>
      <w:pPr>
        <w:sectPr>
          <w:pgSz w:w="11900" w:h="16838" w:orient="portrait"/>
          <w:cols w:equalWidth="0" w:num="1">
            <w:col w:w="11420"/>
          </w:cols>
          <w:pgMar w:left="240" w:top="233"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20" w:type="dxa"/>
            <w:vAlign w:val="bottom"/>
            <w:gridSpan w:val="2"/>
          </w:tcPr>
          <w:p>
            <w:pPr>
              <w:ind w:left="280"/>
              <w:spacing w:after="0"/>
              <w:rPr>
                <w:sz w:val="20"/>
                <w:szCs w:val="20"/>
                <w:color w:val="auto"/>
              </w:rPr>
            </w:pPr>
            <w:r>
              <w:rPr>
                <w:rFonts w:ascii="Arial" w:cs="Arial" w:eastAsia="Arial" w:hAnsi="Arial"/>
                <w:sz w:val="18"/>
                <w:szCs w:val="18"/>
                <w:b w:val="1"/>
                <w:bCs w:val="1"/>
                <w:color w:val="auto"/>
              </w:rPr>
              <w:t>TABLE OF CONTENTS</w:t>
            </w:r>
          </w:p>
        </w:tc>
        <w:tc>
          <w:tcPr>
            <w:tcW w:w="4500" w:type="dxa"/>
            <w:vAlign w:val="bottom"/>
          </w:tcPr>
          <w:p>
            <w:pPr>
              <w:spacing w:after="0"/>
              <w:rPr>
                <w:sz w:val="19"/>
                <w:szCs w:val="19"/>
                <w:color w:val="auto"/>
              </w:rPr>
            </w:pPr>
          </w:p>
        </w:tc>
      </w:tr>
      <w:tr>
        <w:trPr>
          <w:trHeight w:val="326"/>
        </w:trPr>
        <w:tc>
          <w:tcPr>
            <w:tcW w:w="6920" w:type="dxa"/>
            <w:vAlign w:val="bottom"/>
            <w:gridSpan w:val="11"/>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WHERE YOU CAN FIND MORE INFORMATION</w:t>
              </w:r>
            </w:hyperlink>
          </w:p>
        </w:tc>
        <w:tc>
          <w:tcPr>
            <w:tcW w:w="450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196"/>
        </w:trPr>
        <w:tc>
          <w:tcPr>
            <w:tcW w:w="27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w:anchor="page2">
              <w:r>
                <w:rPr>
                  <w:rFonts w:ascii="Arial" w:cs="Arial" w:eastAsia="Arial" w:hAnsi="Arial"/>
                  <w:sz w:val="18"/>
                  <w:szCs w:val="18"/>
                  <w:color w:val="0000EE"/>
                  <w:w w:val="92"/>
                </w:rPr>
                <w:t>INCORPORATION BY REFERENCE</w:t>
              </w:r>
            </w:hyperlink>
          </w:p>
        </w:tc>
        <w:tc>
          <w:tcPr>
            <w:tcW w:w="960" w:type="dxa"/>
            <w:vAlign w:val="bottom"/>
            <w:tcBorders>
              <w:top w:val="single" w:sz="8" w:color="0000EE"/>
            </w:tcBorders>
          </w:tcPr>
          <w:p>
            <w:pPr>
              <w:spacing w:after="0"/>
              <w:rPr>
                <w:sz w:val="17"/>
                <w:szCs w:val="17"/>
                <w:color w:val="auto"/>
              </w:rPr>
            </w:pPr>
          </w:p>
        </w:tc>
        <w:tc>
          <w:tcPr>
            <w:tcW w:w="3200" w:type="dxa"/>
            <w:vAlign w:val="bottom"/>
            <w:gridSpan w:val="3"/>
          </w:tcPr>
          <w:p>
            <w:pPr>
              <w:spacing w:after="0"/>
              <w:rPr>
                <w:sz w:val="17"/>
                <w:szCs w:val="17"/>
                <w:color w:val="auto"/>
              </w:rPr>
            </w:pPr>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i</w:t>
            </w:r>
          </w:p>
        </w:tc>
      </w:tr>
      <w:tr>
        <w:trPr>
          <w:trHeight w:val="196"/>
        </w:trPr>
        <w:tc>
          <w:tcPr>
            <w:tcW w:w="522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w:anchor="page3">
              <w:r>
                <w:rPr>
                  <w:rFonts w:ascii="Arial" w:cs="Arial" w:eastAsia="Arial" w:hAnsi="Arial"/>
                  <w:sz w:val="18"/>
                  <w:szCs w:val="18"/>
                  <w:color w:val="0000EE"/>
                  <w:w w:val="93"/>
                </w:rPr>
                <w:t>SPECIAL NOTE REGARDING FORWARD-LOOKING STATEMENTS</w:t>
              </w:r>
            </w:hyperlink>
          </w:p>
        </w:tc>
        <w:tc>
          <w:tcPr>
            <w:tcW w:w="1700" w:type="dxa"/>
            <w:vAlign w:val="bottom"/>
          </w:tcPr>
          <w:p>
            <w:pPr>
              <w:spacing w:after="0"/>
              <w:rPr>
                <w:sz w:val="17"/>
                <w:szCs w:val="17"/>
                <w:color w:val="auto"/>
              </w:rPr>
            </w:pPr>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ii</w:t>
            </w:r>
          </w:p>
        </w:tc>
      </w:tr>
      <w:tr>
        <w:trPr>
          <w:trHeight w:val="196"/>
        </w:trPr>
        <w:tc>
          <w:tcPr>
            <w:tcW w:w="6920" w:type="dxa"/>
            <w:vAlign w:val="bottom"/>
            <w:gridSpan w:val="11"/>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RISK FACTORS</w:t>
              </w:r>
            </w:hyperlink>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196"/>
        </w:trPr>
        <w:tc>
          <w:tcPr>
            <w:tcW w:w="6920" w:type="dxa"/>
            <w:vAlign w:val="bottom"/>
            <w:gridSpan w:val="11"/>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USE OF PROCEEDS</w:t>
              </w:r>
            </w:hyperlink>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196"/>
        </w:trPr>
        <w:tc>
          <w:tcPr>
            <w:tcW w:w="6920" w:type="dxa"/>
            <w:vAlign w:val="bottom"/>
            <w:gridSpan w:val="11"/>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SELLING STOCKHOLDERS</w:t>
              </w:r>
            </w:hyperlink>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21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PLAN OF DISTRIBUTION</w:t>
              </w:r>
            </w:hyperlink>
          </w:p>
        </w:tc>
        <w:tc>
          <w:tcPr>
            <w:tcW w:w="4760" w:type="dxa"/>
            <w:vAlign w:val="bottom"/>
            <w:gridSpan w:val="5"/>
          </w:tcPr>
          <w:p>
            <w:pPr>
              <w:spacing w:after="0"/>
              <w:rPr>
                <w:sz w:val="17"/>
                <w:szCs w:val="17"/>
                <w:color w:val="auto"/>
              </w:rPr>
            </w:pPr>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20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LEGAL MATTERS</w:t>
              </w:r>
            </w:hyperlink>
          </w:p>
        </w:tc>
        <w:tc>
          <w:tcPr>
            <w:tcW w:w="4920" w:type="dxa"/>
            <w:vAlign w:val="bottom"/>
            <w:gridSpan w:val="6"/>
          </w:tcPr>
          <w:p>
            <w:pPr>
              <w:spacing w:after="0"/>
              <w:rPr>
                <w:sz w:val="17"/>
                <w:szCs w:val="17"/>
                <w:color w:val="auto"/>
              </w:rPr>
            </w:pPr>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42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EXPERTS</w:t>
              </w:r>
            </w:hyperlink>
          </w:p>
        </w:tc>
        <w:tc>
          <w:tcPr>
            <w:tcW w:w="5500" w:type="dxa"/>
            <w:vAlign w:val="bottom"/>
            <w:gridSpan w:val="8"/>
          </w:tcPr>
          <w:p>
            <w:pPr>
              <w:spacing w:after="0"/>
              <w:rPr>
                <w:sz w:val="17"/>
                <w:szCs w:val="17"/>
                <w:color w:val="auto"/>
              </w:rPr>
            </w:pPr>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77"/>
        </w:trPr>
        <w:tc>
          <w:tcPr>
            <w:tcW w:w="76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4500" w:type="dxa"/>
            <w:vAlign w:val="bottom"/>
          </w:tcPr>
          <w:p>
            <w:pPr>
              <w:spacing w:after="0"/>
              <w:rPr>
                <w:sz w:val="24"/>
                <w:szCs w:val="24"/>
                <w:color w:val="auto"/>
              </w:rPr>
            </w:pPr>
          </w:p>
        </w:tc>
      </w:tr>
    </w:tbl>
    <w:p>
      <w:pPr>
        <w:spacing w:after="0" w:line="2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right="100" w:firstLine="456"/>
        <w:spacing w:after="0" w:line="291" w:lineRule="auto"/>
        <w:rPr>
          <w:sz w:val="20"/>
          <w:szCs w:val="20"/>
          <w:color w:val="auto"/>
        </w:rPr>
      </w:pPr>
      <w:r>
        <w:rPr>
          <w:rFonts w:ascii="Arial" w:cs="Arial" w:eastAsia="Arial" w:hAnsi="Arial"/>
          <w:sz w:val="16"/>
          <w:szCs w:val="16"/>
          <w:color w:val="auto"/>
        </w:rPr>
        <w:t>Unless the context otherwise requires or unless otherwise specified, all references in this prospectus to “Wynn Resorts,” “the Company,” “we,” “us” or “our,” or similar terms, refer to Wynn Resorts, Limited and its consolidated subsidiaries, or, with respect to periods prior to September 24, 2002, to Valvino Lamore, LLC and its consolidated subsidiaries, as the predecessor company of Wynn Resorts, all references to “Wynn Las Vegas entities” refer to our wholly owned subsidiaries, Valvino Lamore, LLC, Wynn Las Vegas, LLC and Wynn Las Vegas Capital Corp. and their consolidated subsidiaries (other than Desert Inn Improvement Co. and Wynn Completion Guarantor, LLC), and all references to the “Wynn Macau Companies” refer to Wynn Resorts (Macau), S.A. and each of its direct and indirect parent companies (other than Wynn Resorts).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4"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We are subject to the informational reporting requirements of the Securities Exchange Act of 1934, as amended (the “Exchange Act”), and in accordance with these requirements file reports, proxy statements and other information with the SEC. The reports, proxy statements and other information may be read and copied at the SEC’s Public Reference Room at 450 Fifth Street, N.W., Washington, D.C. 20549. Please call the SEC at 1-800-SEC-0330 for further information about the public reference room. Wynn Resorts’ filings with the SEC are also available to the public from the SEC’s internet site at http://www.sec.gov. The address of our internet site is http://www.wynnresorts.com, which provides a hyperlink to a third party SEC filing website that posts filings we make with the SEC as soon as reasonably practicable, where such filings can be reviewed without charge.</w:t>
      </w:r>
    </w:p>
    <w:p>
      <w:pPr>
        <w:spacing w:after="0" w:line="10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INCORPORATION BY REFERENCE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“incorporating by reference” specified documents that we file with the SEC, which means that:</w:t>
      </w:r>
    </w:p>
    <w:p>
      <w:pPr>
        <w:spacing w:after="0" w:line="77" w:lineRule="exact"/>
        <w:rPr>
          <w:sz w:val="20"/>
          <w:szCs w:val="20"/>
          <w:color w:val="auto"/>
        </w:rPr>
      </w:pPr>
    </w:p>
    <w:p>
      <w:pPr>
        <w:ind w:left="800" w:hanging="346"/>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incorporated documents are considered part of this prospectus;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are disclosing important information to you by referring you to those documents; and</w:t>
      </w:r>
    </w:p>
    <w:p>
      <w:pPr>
        <w:spacing w:after="0" w:line="76" w:lineRule="exact"/>
        <w:rPr>
          <w:rFonts w:ascii="Arial" w:cs="Arial" w:eastAsia="Arial" w:hAnsi="Arial"/>
          <w:sz w:val="18"/>
          <w:szCs w:val="18"/>
          <w:color w:val="auto"/>
        </w:rPr>
      </w:pPr>
    </w:p>
    <w:p>
      <w:pPr>
        <w:ind w:left="800" w:right="100" w:hanging="346"/>
        <w:spacing w:after="0" w:line="268" w:lineRule="auto"/>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information that we file in the future with the SEC automatically will update and supersede earlier information contained or incorporated by reference in this prospectus.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incorporating by reference in this prospectus the following documents filed with the SEC:</w:t>
      </w:r>
    </w:p>
    <w:p>
      <w:pPr>
        <w:spacing w:after="0" w:line="77" w:lineRule="exact"/>
        <w:rPr>
          <w:sz w:val="20"/>
          <w:szCs w:val="20"/>
          <w:color w:val="auto"/>
        </w:rPr>
      </w:pPr>
    </w:p>
    <w:p>
      <w:pPr>
        <w:ind w:left="800" w:hanging="346"/>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2003, filed on March 15, 2004;</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March 31, 2004, filed on May 5, 2004;</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June 30, 2004, filed on August 3, 2004;</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quarterly report on Form 10-Q/A for the fiscal quarter ended June 30, 2004, filed on August 4, 2004;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74" w:right="239" w:bottom="1440" w:gutter="0" w:footer="0" w:header="0"/>
        </w:sectPr>
      </w:pPr>
    </w:p>
    <w:bookmarkStart w:id="2" w:name="page3"/>
    <w:bookmarkEnd w:id="2"/>
    <w:p>
      <w:pPr>
        <w:ind w:left="800" w:right="220" w:hanging="346"/>
        <w:spacing w:after="0" w:line="268"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current reports on Form 8-K, filed on April 20, 2004; April 30, 2004; May 5, 2004; May 12, 2004; May 13, 2004; May 20, 2004; June 10, 2004; June 22, 2004; July 26, 2004; August 9, 2004; September 2, 2004; September 8, 2004 and September 14, 2004;</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description of our common stock set forth in our Registration Statement on Form 8-A, filed on October 7, 2002 (File No. 000-50028); and</w:t>
      </w:r>
    </w:p>
    <w:p>
      <w:pPr>
        <w:spacing w:after="0" w:line="99" w:lineRule="exact"/>
        <w:rPr>
          <w:rFonts w:ascii="Arial" w:cs="Arial" w:eastAsia="Arial" w:hAnsi="Arial"/>
          <w:sz w:val="16"/>
          <w:szCs w:val="16"/>
          <w:color w:val="auto"/>
        </w:rPr>
      </w:pPr>
    </w:p>
    <w:p>
      <w:pPr>
        <w:ind w:left="800" w:right="260" w:hanging="346"/>
        <w:spacing w:after="0" w:line="332" w:lineRule="auto"/>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all other documents that we file with the SEC pursuant to Section 13(a), 13(c), 14 or 15(d) of the Exchange Act after the date of this prospectus and prior to termination of the offering of the securities hereunder (other than current reports furnished under Item 9 or Item 12 of Form 8-K).</w:t>
      </w:r>
    </w:p>
    <w:p>
      <w:pPr>
        <w:spacing w:after="0" w:line="72" w:lineRule="exact"/>
        <w:rPr>
          <w:sz w:val="20"/>
          <w:szCs w:val="20"/>
          <w:color w:val="auto"/>
        </w:rPr>
      </w:pPr>
    </w:p>
    <w:p>
      <w:pPr>
        <w:jc w:val="both"/>
        <w:ind w:right="60" w:firstLine="456"/>
        <w:spacing w:after="0" w:line="294" w:lineRule="auto"/>
        <w:rPr>
          <w:sz w:val="20"/>
          <w:szCs w:val="20"/>
          <w:color w:val="auto"/>
        </w:rPr>
      </w:pPr>
      <w:r>
        <w:rPr>
          <w:rFonts w:ascii="Arial" w:cs="Arial" w:eastAsia="Arial" w:hAnsi="Arial"/>
          <w:sz w:val="16"/>
          <w:szCs w:val="16"/>
          <w:color w:val="auto"/>
        </w:rPr>
        <w:t>You should rely only on the information contained or incorporated by reference in this prospectus. We have not authorized anyone to provide you with any additional information. Any statement contained in this prospectus, or a document incorporated or deemed to be incorporated by reference in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02"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documents incorporated by reference in this prospectus are available from us upon request. We will provide a copy of any and all of the information that is incorporated by reference in this prospectus to any person, without charge, upon written or oral request. Exhibits to SEC filings will not be sent, however, unless those exhibits have specifically been incorporated by reference in this prospectus. Requests for such copies should be directed to the following:</w:t>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Resorts, Limited</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(702) 770-7555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Vice President—Investor Relations</w:t>
      </w:r>
    </w:p>
    <w:p>
      <w:pPr>
        <w:spacing w:after="0" w:line="15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Except as provided above, no other information, including information on our internet site (http://www.wynnresorts.com), is incorporated by reference in this prospectus.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64"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This prospectus, including the documents incorporated by reference herein, contains statements that are “forward-looking” statements within the meaning of Section 27A of the Securities Act of 1933, as amended (the “Securities Act”) and Section 21E of the Exchange Act, including, but not limited to, statements relating to our business strategy and development activities, including our opportunity in Macau, as well as other capital spending, financing sources, the effects of regulation (including gaming and tax regulations), expectations concerning future operations, margins, profitability and competition.</w:t>
      </w:r>
    </w:p>
    <w:p>
      <w:pPr>
        <w:spacing w:after="0" w:line="9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Any statements contained in this prospectus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 those relating to:</w:t>
      </w:r>
    </w:p>
    <w:p>
      <w:pPr>
        <w:spacing w:after="0" w:line="21" w:lineRule="exact"/>
        <w:rPr>
          <w:sz w:val="20"/>
          <w:szCs w:val="20"/>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in the casino/hotel and resorts industry;</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completion of our Wynn Las Vegas casino resort on time and within budget;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80" w:right="239" w:bottom="1440" w:gutter="0" w:footer="0" w:header="0"/>
        </w:sectPr>
      </w:pPr>
    </w:p>
    <w:bookmarkStart w:id="3" w:name="page4"/>
    <w:bookmarkEnd w:id="3"/>
    <w:p>
      <w:pPr>
        <w:ind w:left="800" w:hanging="346"/>
        <w:spacing w:after="0"/>
        <w:tabs>
          <w:tab w:leader="none" w:pos="800" w:val="left"/>
        </w:tabs>
        <w:numPr>
          <w:ilvl w:val="0"/>
          <w:numId w:val="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doing business in foreign locations such as Macau (including the risks associated with Macau’s developing gaming regulatory framework);</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levels of travel, leisure and casino spending;</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domestic or international economic conditions;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applications for licenses and approvals under applicable jurisdictional laws and regulations (including gaming laws and regulations);</w:t>
      </w:r>
    </w:p>
    <w:p>
      <w:pPr>
        <w:spacing w:after="0" w:line="76" w:lineRule="exact"/>
        <w:rPr>
          <w:rFonts w:ascii="Arial" w:cs="Arial" w:eastAsia="Arial" w:hAnsi="Arial"/>
          <w:sz w:val="18"/>
          <w:szCs w:val="18"/>
          <w:color w:val="auto"/>
        </w:rPr>
      </w:pPr>
    </w:p>
    <w:p>
      <w:pPr>
        <w:ind w:left="800" w:right="640" w:hanging="346"/>
        <w:spacing w:after="0" w:line="268"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that an outbreak of an infectious diseases, such as Severe Acute Respiratory Syndrome (SARS), may have on the travel and leisure industry; and</w:t>
      </w:r>
    </w:p>
    <w:p>
      <w:pPr>
        <w:spacing w:after="0" w:line="37" w:lineRule="exact"/>
        <w:rPr>
          <w:rFonts w:ascii="Arial" w:cs="Arial" w:eastAsia="Arial" w:hAnsi="Arial"/>
          <w:sz w:val="18"/>
          <w:szCs w:val="18"/>
          <w:color w:val="auto"/>
        </w:rPr>
      </w:pPr>
    </w:p>
    <w:p>
      <w:pPr>
        <w:ind w:left="800" w:right="320" w:hanging="346"/>
        <w:spacing w:after="0" w:line="268"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consequences of the war in Iraq and other military conflicts in the Middle East and any future security alerts and/or terrorist attacks such as the attacks that occurred on September 11, 2001.</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Further information on potential factors that could affect our financial condition, results of operations and business are included in our filings with the SEC.</w:t>
      </w:r>
    </w:p>
    <w:p>
      <w:pPr>
        <w:spacing w:after="0" w:line="181"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prospectus.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00"/>
          </w:cols>
          <w:pgMar w:left="240" w:top="280" w:right="259" w:bottom="1440" w:gutter="0" w:footer="0" w:header="0"/>
        </w:sectPr>
      </w:pPr>
    </w:p>
    <w:bookmarkStart w:id="4" w:name="page5"/>
    <w:bookmarkEnd w:id="4"/>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RISK FACTORS</w:t>
      </w:r>
    </w:p>
    <w:p>
      <w:pPr>
        <w:spacing w:after="0" w:line="16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You should carefully consider the risks described below and the risks incorporated by reference from our Annual Report on Form 10-K, filed on March 15, 2004, before making an investment decision. The risks and uncertainties described below and incorporated by reference herein are not the only ones facing our company. Additional risks and uncertainties not presently known to us or that we currently deem immaterial may also impair our business operations. If any of these risks actually occurs, our business, financial condition and results of operations could be materially adversely affected. In that case, the value of our common stock could decline substantially.</w:t>
      </w:r>
    </w:p>
    <w:p>
      <w:pPr>
        <w:spacing w:after="0" w:line="1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Risk Relating to the Offering</w:t>
      </w:r>
    </w:p>
    <w:p>
      <w:pPr>
        <w:spacing w:after="0" w:line="164"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The price of our common stock may fluctuate significantly, which may make it difficult for you to resell the common stock issuable when you want or at prices you find attractive.</w:t>
      </w:r>
    </w:p>
    <w:p>
      <w:pPr>
        <w:spacing w:after="0" w:line="37"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price of shares of our common stock on the Nasdaq National Market constantly changes. We expect that the market price of our common stock will continue to fluctuate. Holders of our common stock will be subject to the risk of volatility and depressed prices of our common stock.</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stock price can fluctuate as a result of a variety of factors, many of which are beyond our control. These factors include:</w:t>
      </w:r>
    </w:p>
    <w:p>
      <w:pPr>
        <w:spacing w:after="0" w:line="77" w:lineRule="exact"/>
        <w:rPr>
          <w:sz w:val="20"/>
          <w:szCs w:val="20"/>
          <w:color w:val="auto"/>
        </w:rPr>
      </w:pPr>
    </w:p>
    <w:p>
      <w:pPr>
        <w:ind w:left="800" w:right="600" w:hanging="346"/>
        <w:spacing w:after="0" w:line="268"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contracts, mergers, acquisitions, joint marketing relationships, joint ventures or capital commitments;</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developments in construction of Wynn Las Vegas or Wynn Macau;</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developments generally affecting the casino/hotel and resorts industry;</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announcements by third parties of significant claims or proceedings against us;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government regulations and governmental approval of gaming activities;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expectations as to our future financial performance, including financial estimates by securities analysts and investors;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sales of our equity or equity-linked securities;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domestic and international economic conditions.</w:t>
      </w:r>
    </w:p>
    <w:p>
      <w:pPr>
        <w:spacing w:after="0" w:line="158"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General market fluctuations, industry factors and general economic and geopolitical conditions and events, such as economic slowdowns or recessions, consumer confidence in the economy, recent terrorist attacks and ongoing military conflicts, also could cause our stock price to decrease.</w:t>
      </w:r>
    </w:p>
    <w:p>
      <w:pPr>
        <w:spacing w:after="0" w:line="72"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In addition, the stock market in general has experienced extreme volatility that has often been unrelated to the operating performance of a particular company. These broad market fluctuations also may adversely affect the market price of our common stock.</w:t>
      </w:r>
    </w:p>
    <w:p>
      <w:pPr>
        <w:spacing w:after="0" w:line="118"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The substantial number of shares of common stock that will be eligible for sale in the near future could cause the market price of our common stock to decline.</w:t>
      </w:r>
    </w:p>
    <w:p>
      <w:pPr>
        <w:spacing w:after="0" w:line="3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A substantial number of shares of our common stock were issued by us in private transactions not involving a public offering and are therefore treated as “restricted securities” for purposes of Rule 144 under the Securities Act. On June 20, 2003, we entered into a strategic business alliance with SBM, and in connection therewith, we sold 3,000,000 shares of our common stock to SBM for $45 million in a privately negotiated, all cash transaction. In return, SBM has agreed, subject to certain exceptions, to refrain from transferring its shares prior to April 1,</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240" w:top="274" w:right="319" w:bottom="1440" w:gutter="0" w:footer="0" w:header="0"/>
        </w:sectPr>
      </w:pPr>
    </w:p>
    <w:bookmarkStart w:id="5" w:name="page6"/>
    <w:bookmarkEnd w:id="5"/>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2005, and will be entitled to certain registration rights thereafter. As of June 30, 2004, we had outstanding 43,000,000 such “restricted” shares of common stock, 40,000,000 of which are held by certain of our affiliates and 3,000,000 of which are held by SBM. If these “affiliated” holders comply with the applicable holding periods, volume limits and other conditions prescribed in Rule 144 under the Securities Act, these unregistered shares of common stock may be freely tradable. In addition, as of June 30, 2004, there were 2,050,000 shares of common stock reserved and subject to issuance upon exercise of outstanding options, warrants or other convertible rights. Lastly, we have granted our Chairman and Chief Executive Officer, Stephen A. Wynn, demand and piggyback registration rights with respect to any shares of our common stock he purchases from Aruze USA.</w:t>
      </w:r>
    </w:p>
    <w:p>
      <w:pPr>
        <w:spacing w:after="0" w:line="10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No predictions can be made as to the effect, if any, that the issuance and availability for future market sales of shares of our common stock will have on the market price of our common stock prevailing from time to time. Sales of substantial amounts of our common stock (including shares issued upon the conversion of convertible securities), or the perception that such sales could occur, could materially adversely affect the prevailing market price for our common stock and could impair our future ability to raise capital through an offering of equity or equity-linked securities.</w:t>
      </w:r>
    </w:p>
    <w:p>
      <w:pPr>
        <w:spacing w:after="0" w:line="93"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not receive any of the proceeds upon resale of the common stock by the selling stockholders.</w:t>
      </w:r>
    </w:p>
    <w:p>
      <w:pPr>
        <w:spacing w:after="0" w:line="152"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SELLING STOCKHOLDERS</w:t>
      </w:r>
    </w:p>
    <w:p>
      <w:pPr>
        <w:spacing w:after="0" w:line="164"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selling stockholders may from time to time offer and sell pursuant to this prospectus any or all of the shares of common stock listed below. When we refer to the “selling stockholders” in this prospectus, we mean those persons listed in the table below, as well as the pledgees, donees, assignees, transferees, successors and others who later hold any of the selling stockholders’ interests. Because the selling stockholders are not obligated to sell the shares of common stock, we cannot estimate how many shares of common stock the selling stockholders will hold upon consummation of any such sales.</w:t>
      </w:r>
    </w:p>
    <w:p>
      <w:pPr>
        <w:spacing w:after="0" w:line="9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table below sets forth the name of each selling stockholder and number of shares of common stock that each selling stockholder may offer pursuant to this prospectus. Information concerning the selling stockholders may change from time to time and any changed information will be set forth in supplements to this prospectus to the extent required.</w:t>
      </w:r>
    </w:p>
    <w:p>
      <w:pPr>
        <w:spacing w:after="0" w:line="11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0" w:type="dxa"/>
            <w:vAlign w:val="bottom"/>
          </w:tcPr>
          <w:p>
            <w:pPr>
              <w:jc w:val="right"/>
              <w:ind w:right="412"/>
              <w:spacing w:after="0"/>
              <w:rPr>
                <w:sz w:val="20"/>
                <w:szCs w:val="20"/>
                <w:color w:val="auto"/>
              </w:rPr>
            </w:pPr>
            <w:r>
              <w:rPr>
                <w:rFonts w:ascii="Arial" w:cs="Arial" w:eastAsia="Arial" w:hAnsi="Arial"/>
                <w:sz w:val="14"/>
                <w:szCs w:val="14"/>
                <w:b w:val="1"/>
                <w:bCs w:val="1"/>
                <w:color w:val="auto"/>
              </w:rPr>
              <w:t>Number of Shares</w:t>
            </w:r>
          </w:p>
        </w:tc>
        <w:tc>
          <w:tcPr>
            <w:tcW w:w="740" w:type="dxa"/>
            <w:vAlign w:val="bottom"/>
          </w:tcPr>
          <w:p>
            <w:pPr>
              <w:spacing w:after="0"/>
              <w:rPr>
                <w:sz w:val="14"/>
                <w:szCs w:val="14"/>
                <w:color w:val="auto"/>
              </w:rPr>
            </w:pPr>
          </w:p>
        </w:tc>
        <w:tc>
          <w:tcPr>
            <w:tcW w:w="1580" w:type="dxa"/>
            <w:vAlign w:val="bottom"/>
          </w:tcPr>
          <w:p>
            <w:pPr>
              <w:jc w:val="right"/>
              <w:ind w:right="192"/>
              <w:spacing w:after="0"/>
              <w:rPr>
                <w:sz w:val="20"/>
                <w:szCs w:val="20"/>
                <w:color w:val="auto"/>
              </w:rPr>
            </w:pPr>
            <w:r>
              <w:rPr>
                <w:rFonts w:ascii="Arial" w:cs="Arial" w:eastAsia="Arial" w:hAnsi="Arial"/>
                <w:sz w:val="14"/>
                <w:szCs w:val="14"/>
                <w:b w:val="1"/>
                <w:bCs w:val="1"/>
                <w:color w:val="auto"/>
              </w:rPr>
              <w:t>Number of Shares</w:t>
            </w:r>
          </w:p>
        </w:tc>
        <w:tc>
          <w:tcPr>
            <w:tcW w:w="76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6"/>
              </w:rPr>
              <w:t>Number of Shares</w:t>
            </w:r>
          </w:p>
        </w:tc>
        <w:tc>
          <w:tcPr>
            <w:tcW w:w="0" w:type="dxa"/>
            <w:vAlign w:val="bottom"/>
          </w:tcPr>
          <w:p>
            <w:pPr>
              <w:spacing w:after="0"/>
              <w:rPr>
                <w:sz w:val="1"/>
                <w:szCs w:val="1"/>
                <w:color w:val="auto"/>
              </w:rPr>
            </w:pPr>
          </w:p>
        </w:tc>
      </w:tr>
      <w:tr>
        <w:trPr>
          <w:trHeight w:val="174"/>
        </w:trPr>
        <w:tc>
          <w:tcPr>
            <w:tcW w:w="2120" w:type="dxa"/>
            <w:vAlign w:val="bottom"/>
            <w:gridSpan w:val="2"/>
          </w:tcPr>
          <w:p>
            <w:pPr>
              <w:spacing w:after="0"/>
              <w:rPr>
                <w:sz w:val="20"/>
                <w:szCs w:val="20"/>
                <w:color w:val="auto"/>
              </w:rPr>
            </w:pPr>
            <w:r>
              <w:rPr>
                <w:rFonts w:ascii="Arial" w:cs="Arial" w:eastAsia="Arial" w:hAnsi="Arial"/>
                <w:sz w:val="14"/>
                <w:szCs w:val="14"/>
                <w:b w:val="1"/>
                <w:bCs w:val="1"/>
                <w:color w:val="auto"/>
              </w:rPr>
              <w:t>Name of Selling Stockholder</w:t>
            </w:r>
          </w:p>
        </w:tc>
        <w:tc>
          <w:tcPr>
            <w:tcW w:w="1260" w:type="dxa"/>
            <w:vAlign w:val="bottom"/>
          </w:tcPr>
          <w:p>
            <w:pPr>
              <w:spacing w:after="0"/>
              <w:rPr>
                <w:sz w:val="15"/>
                <w:szCs w:val="15"/>
                <w:color w:val="auto"/>
              </w:rPr>
            </w:pPr>
          </w:p>
        </w:tc>
        <w:tc>
          <w:tcPr>
            <w:tcW w:w="2000" w:type="dxa"/>
            <w:vAlign w:val="bottom"/>
          </w:tcPr>
          <w:p>
            <w:pPr>
              <w:jc w:val="right"/>
              <w:ind w:right="112"/>
              <w:spacing w:after="0"/>
              <w:rPr>
                <w:sz w:val="20"/>
                <w:szCs w:val="20"/>
                <w:color w:val="auto"/>
              </w:rPr>
            </w:pPr>
            <w:r>
              <w:rPr>
                <w:rFonts w:ascii="Arial" w:cs="Arial" w:eastAsia="Arial" w:hAnsi="Arial"/>
                <w:sz w:val="14"/>
                <w:szCs w:val="14"/>
                <w:b w:val="1"/>
                <w:bCs w:val="1"/>
                <w:color w:val="auto"/>
                <w:w w:val="98"/>
              </w:rPr>
              <w:t>Owned Prior to the Offering</w:t>
            </w:r>
          </w:p>
        </w:tc>
        <w:tc>
          <w:tcPr>
            <w:tcW w:w="740" w:type="dxa"/>
            <w:vAlign w:val="bottom"/>
          </w:tcPr>
          <w:p>
            <w:pPr>
              <w:spacing w:after="0"/>
              <w:rPr>
                <w:sz w:val="15"/>
                <w:szCs w:val="15"/>
                <w:color w:val="auto"/>
              </w:rPr>
            </w:pPr>
          </w:p>
        </w:tc>
        <w:tc>
          <w:tcPr>
            <w:tcW w:w="1580" w:type="dxa"/>
            <w:vAlign w:val="bottom"/>
          </w:tcPr>
          <w:p>
            <w:pPr>
              <w:jc w:val="right"/>
              <w:ind w:right="52"/>
              <w:spacing w:after="0"/>
              <w:rPr>
                <w:sz w:val="20"/>
                <w:szCs w:val="20"/>
                <w:color w:val="auto"/>
              </w:rPr>
            </w:pPr>
            <w:r>
              <w:rPr>
                <w:rFonts w:ascii="Arial" w:cs="Arial" w:eastAsia="Arial" w:hAnsi="Arial"/>
                <w:sz w:val="14"/>
                <w:szCs w:val="14"/>
                <w:b w:val="1"/>
                <w:bCs w:val="1"/>
                <w:color w:val="auto"/>
                <w:w w:val="96"/>
              </w:rPr>
              <w:t>Offered in the Offering</w:t>
            </w:r>
          </w:p>
        </w:tc>
        <w:tc>
          <w:tcPr>
            <w:tcW w:w="76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8"/>
              </w:rPr>
              <w:t>Owned After the Offering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00" w:type="dxa"/>
            <w:vAlign w:val="bottom"/>
            <w:tcBorders>
              <w:bottom w:val="single" w:sz="8" w:color="auto"/>
            </w:tcBorders>
          </w:tcPr>
          <w:p>
            <w:pPr>
              <w:spacing w:after="0"/>
              <w:rPr>
                <w:sz w:val="8"/>
                <w:szCs w:val="8"/>
                <w:color w:val="auto"/>
              </w:rPr>
            </w:pPr>
          </w:p>
        </w:tc>
        <w:tc>
          <w:tcPr>
            <w:tcW w:w="1260" w:type="dxa"/>
            <w:vAlign w:val="bottom"/>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Classic Wave Limited</w:t>
            </w:r>
          </w:p>
        </w:tc>
        <w:tc>
          <w:tcPr>
            <w:tcW w:w="3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141,666</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141,666</w:t>
            </w:r>
          </w:p>
        </w:tc>
        <w:tc>
          <w:tcPr>
            <w:tcW w:w="7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w w:val="98"/>
              </w:rPr>
              <w:t>L’Arc de Triomphe Limited</w:t>
            </w:r>
          </w:p>
        </w:tc>
        <w:tc>
          <w:tcPr>
            <w:tcW w:w="3260" w:type="dxa"/>
            <w:vAlign w:val="bottom"/>
            <w:gridSpan w:val="2"/>
          </w:tcPr>
          <w:p>
            <w:pPr>
              <w:jc w:val="right"/>
              <w:spacing w:after="0"/>
              <w:rPr>
                <w:sz w:val="20"/>
                <w:szCs w:val="20"/>
                <w:color w:val="auto"/>
              </w:rPr>
            </w:pPr>
            <w:r>
              <w:rPr>
                <w:rFonts w:ascii="Arial" w:cs="Arial" w:eastAsia="Arial" w:hAnsi="Arial"/>
                <w:sz w:val="18"/>
                <w:szCs w:val="18"/>
                <w:color w:val="auto"/>
              </w:rPr>
              <w:t>141,667</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141,667</w:t>
            </w:r>
          </w:p>
        </w:tc>
        <w:tc>
          <w:tcPr>
            <w:tcW w:w="7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S.H.W. &amp; Co. Limited</w:t>
            </w:r>
          </w:p>
        </w:tc>
        <w:tc>
          <w:tcPr>
            <w:tcW w:w="3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7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SKKG Limited</w:t>
            </w:r>
          </w:p>
        </w:tc>
        <w:tc>
          <w:tcPr>
            <w:tcW w:w="326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76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Classic Wave Limited and L’Arc de Triomphe Limited, companies wholly owned by Kwan Yan Ming, owned shares representing in the aggregate 7.8% of the value and 4.7% of the voting power of our subsidiary Wynn Resorts (Macau) Holdings, Ltd. On September 1, 2004, Kwan Yan Ming, Classic Wave Limited, L’Arc de Triomphe Limited and our subsidiary Wynn Resorts International, Ltd. (“WRIL”) entered into exchange agreements with us. Pursuant to the exchange agreements, WRIL acquired all of Classic Wave Limited’s and L’Arc de Triomphe Limited’s interests in Wynn Resorts (Macau) Holdings, Ltd. Classic Wave Limited and L’Arc de Triomphe Limited received 141,666 and 141,667 shares of our common stock, respectively. Incident to the exchange agreements, we entered into a registration rights agreement with Classic Wave Limited and L’Arc de Triomphe Limited obligating us to file the registration statement of which this prospectus is a part.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6" w:name="page7"/>
    <w:bookmarkEnd w:id="6"/>
    <w:p>
      <w:pPr>
        <w:ind w:right="100" w:firstLine="456"/>
        <w:spacing w:after="0" w:line="31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Wong Chi Seng, directly or through his wholly-owned company S.H.W. &amp; Co. Limited, owned certain securities of our subsidiaries, including shares representing 19.6% of the value and 11.8% of the voting power of Wynn Resorts (Macau) Holdings, Ltd. and 10% of the capital and voting power of Wynn Resorts (Macau), S.A. On August 28, 2004, Mr. Wong, S.H.W. &amp; Co. Limited and WRIL entered into an exchange agreement with us. Pursuant to the exchange agreement, WRIL acquired all of S.H.W. &amp; Co. Limited’s and Mr. Wong’s interest in Wynn Resorts (Macau) Holdings, Ltd., and Mr. Wong’s entitlement to preferential capital distributions from Wynn Resorts (Macau), S.A. was reduced to an amount not to exceed One Macau Pataca, and S.H.W. &amp; Co. Limited received 1,000,000 shares of our common stock. Incident to the exchange agreement, we entered into a registration rights agreement with S.H.W. &amp; Co. Limited obligating us to file the registration statement of which this prospectus is a part. Mr. Wong served as a director of Wynn Resorts (Macau) Holdings, Ltd. prior to the consummation of the transactions contemplated by the exchange agreement and is the Executive Director of Wynn Resorts (Macau), S.A.</w:t>
      </w:r>
    </w:p>
    <w:p>
      <w:pPr>
        <w:spacing w:after="0" w:line="9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SKKG Limited, a company wholly owned by Wong Chi Seng owned shares representing 6.9% of the value and 4.2% of the voting power of our subsidiary Wynn Resorts (Macau) Holdings, Ltd. On September 1, 2004, Wong Chi Seng, SKKG Limited and WRIL entered into an exchange agreement with us. Pursuant to the exchange agreement, WRIL acquired all of SKKG’s interests in Wynn Resorts (Macau) Holdings, Ltd., and SKKG Limited received 50,000 shares of our common stock. Incident to the exchange agreement, we entered into a registration rights agreement with SKKG Limited obligating us to file the registration statement of which this prospectus is a part.</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164" w:lineRule="exact"/>
        <w:rPr>
          <w:sz w:val="20"/>
          <w:szCs w:val="20"/>
          <w:color w:val="auto"/>
        </w:rPr>
      </w:pPr>
    </w:p>
    <w:p>
      <w:pPr>
        <w:ind w:right="320" w:firstLine="456"/>
        <w:spacing w:after="0" w:line="335" w:lineRule="auto"/>
        <w:rPr>
          <w:sz w:val="20"/>
          <w:szCs w:val="20"/>
          <w:color w:val="auto"/>
        </w:rPr>
      </w:pPr>
      <w:r>
        <w:rPr>
          <w:rFonts w:ascii="Arial" w:cs="Arial" w:eastAsia="Arial" w:hAnsi="Arial"/>
          <w:sz w:val="15"/>
          <w:szCs w:val="15"/>
          <w:color w:val="auto"/>
        </w:rPr>
        <w:t>This prospectus relates to the offer and sale from time to time by the selling stockholders of up to 1,333,333 shares of our common stock. We will not receive any of the proceeds from the sale by the selling stockholders of the common stock. We will bear all out-of-pocket fees and expenses incurred by us in connection with the registration of the common stock offered hereby. The selling stockholders will bear any and all brokerage fees and commissions, if any.</w:t>
      </w:r>
    </w:p>
    <w:p>
      <w:pPr>
        <w:spacing w:after="0" w:line="7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selling stockholders may offer and sell the common stock from time to time in one or more transactions at fixed prices, at prevailing market prices at the time of sale, at varying prices determined at the time of sale or at negotiated prices. These prices will be determined by the selling stockholders or by agreement between such holders and brokers or dealers who may receive brokerage fees or commissions in connection with such sale. Such sales may be effected by a variety of methods, including the following:</w:t>
      </w:r>
    </w:p>
    <w:p>
      <w:pPr>
        <w:spacing w:after="0" w:line="49" w:lineRule="exact"/>
        <w:rPr>
          <w:sz w:val="20"/>
          <w:szCs w:val="20"/>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market transactions;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through the writing of options;</w:t>
      </w:r>
    </w:p>
    <w:p>
      <w:pPr>
        <w:spacing w:after="0" w:line="76" w:lineRule="exact"/>
        <w:rPr>
          <w:rFonts w:ascii="Arial" w:cs="Arial" w:eastAsia="Arial" w:hAnsi="Arial"/>
          <w:sz w:val="18"/>
          <w:szCs w:val="18"/>
          <w:color w:val="auto"/>
        </w:rPr>
      </w:pPr>
    </w:p>
    <w:p>
      <w:pPr>
        <w:ind w:left="800" w:right="620" w:hanging="346"/>
        <w:spacing w:after="0" w:line="268"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a block trade in which a broker-dealer will attempt to sell a block of securities as agent but may position and resell a portion of the block as principal to facilitate the transaction;</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through broker-dealers, which may act as agents or principals;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directly to one or more purchasers;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through agents; 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any combination of the above or by any other legally available means.</w:t>
      </w:r>
    </w:p>
    <w:p>
      <w:pPr>
        <w:spacing w:after="0" w:line="158"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In connection with the sales of the common stock or otherwise, the selling stockholders may enter into hedging transactions with broker-dealers, which may in turn engage in short sales of the offered securities, short and deliver the common stock to close out such short positions, or loan or pledge the common stock to broker-dealers that in turn may sell such securities.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7" w:name="page8"/>
    <w:bookmarkEnd w:id="7"/>
    <w:p>
      <w:pPr>
        <w:ind w:right="32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 material arrangement with any broker, dealer or other agent is entered into for the sale of the common stock through a secondary distribution or a purchase by a broker or dealer, or if other material changes are made in the plan of distribution of the common stock, a prospectus supplement will be filed, if necessary, under the Securities Act disclosing the material terms and conditions of such arrangement.</w:t>
      </w:r>
    </w:p>
    <w:p>
      <w:pPr>
        <w:spacing w:after="0" w:line="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To our knowledge, there are currently no plans, arrangements or understandings between the selling stockholders and any broker-dealer or agent regarding the sale of the common stock by the selling stockholders. The selling stockholders may decide not to sell all or a portion of the common stock offered pursuant to this prospectus. In addition, the selling stockholders may transfer, devise or give the common stock by other means not described in this prospectus. Any common stock covered by this prospectus that qualifies for sale pursuant to Rule 144 of the Securities Act may be sold under Rule 144 rather than pursuant to this prospectus.</w:t>
      </w:r>
    </w:p>
    <w:p>
      <w:pPr>
        <w:spacing w:after="0" w:line="1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selling stockholders and any broker-dealers or agents participating in the distribution of the common stock may be deemed to be “underwriters” within the meaning of the Securities Act, and any profit on the sale of the common stock by the selling stockholders and any commissions received by any such broker-dealers or agents may be deemed to be underwriting commissions under the Securities Act. If the selling stockholders were deemed to be underwriters, the selling stockholders may be subject to statutory liabilities including, but not limited to, those of Sections 11, 12 and 17 of the Securities Act and Rule 10b-5 under the Exchange Act.</w:t>
      </w:r>
    </w:p>
    <w:p>
      <w:pPr>
        <w:spacing w:after="0" w:line="129"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selling stockholders and any other person participating in the distribution will be subject to the applicable provisions of the Exchange Act and the rules and regulations under the Exchange Act, including, without limitation, Regulation M, which may limit the timing of purchases and sales of any of the common stock by the selling stockholders and any other relevant person. Furthermore, Regulation M may restrict the ability of any person engaged in the distribution of the common stock to engage in market-making activities with respect to the particular common stock being distributed. All of the above may affect the marketability of the common stock and the ability of any person or entity to engage in market-making activities with respect to the common stock.</w:t>
      </w:r>
    </w:p>
    <w:p>
      <w:pPr>
        <w:spacing w:after="0" w:line="96"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legal matters regarding the common stock offered hereby will be passed upon for us by Schreck Brignone, Las Vegas, Nevada.</w:t>
      </w:r>
    </w:p>
    <w:p>
      <w:pPr>
        <w:spacing w:after="0" w:line="152"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consolidated financial statements incorporated in this prospectus by reference from Wynn Resorts’ Annual Report on Form 10-K for the year ended December 31, 2003 have been audited by Deloitte &amp; Touche LLP, an independent registered public accounting firm, as stated in their report which is incorporated herein by reference and have been so incorporated in reliance upon the report of such firm given upon their authority as experts in accounting and auditing.</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sectPr>
      <w:pgSz w:w="11900" w:h="16838" w:orient="portrait"/>
      <w:cols w:equalWidth="0" w:num="1">
        <w:col w:w="11400"/>
      </w:cols>
      <w:pgMar w:left="240" w:top="2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2019-12-15T05:46:54Z</dcterms:created>
  <dcterms:modified xsi:type="dcterms:W3CDTF">2019-12-15T05:46:54Z</dcterms:modified>
</cp:coreProperties>
</file>