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8" w:lineRule="exact"/>
        <w:rPr>
          <w:sz w:val="24"/>
          <w:szCs w:val="24"/>
          <w:color w:val="auto"/>
        </w:rPr>
      </w:pPr>
    </w:p>
    <w:p>
      <w:pPr>
        <w:ind w:left="680" w:right="6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right="4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Arial" w:cs="Arial" w:eastAsia="Arial" w:hAnsi="Arial"/>
                <w:sz w:val="18"/>
                <w:szCs w:val="18"/>
                <w:b w:val="1"/>
                <w:bCs w:val="1"/>
                <w:color w:val="auto"/>
                <w:w w:val="92"/>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Arial" w:cs="Arial" w:eastAsia="Arial" w:hAnsi="Arial"/>
                <w:sz w:val="18"/>
                <w:szCs w:val="18"/>
                <w:b w:val="1"/>
                <w:bCs w:val="1"/>
                <w:color w:val="auto"/>
                <w:w w:val="89"/>
              </w:rPr>
              <w:t>Commission File No.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83"/>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Arial" w:cs="Arial" w:eastAsia="Arial" w:hAnsi="Arial"/>
                <w:sz w:val="43"/>
                <w:szCs w:val="43"/>
                <w:b w:val="1"/>
                <w:bCs w:val="1"/>
                <w:color w:val="auto"/>
              </w:rPr>
              <w:t>WYNN RESORTS, LIMITED</w:t>
            </w:r>
          </w:p>
        </w:tc>
      </w:tr>
      <w:tr>
        <w:trPr>
          <w:trHeight w:val="234"/>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7"/>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gridSpan w:val="4"/>
          </w:tcPr>
          <w:p>
            <w:pPr>
              <w:jc w:val="center"/>
              <w:ind w:right="88"/>
              <w:spacing w:after="0"/>
              <w:rPr>
                <w:sz w:val="20"/>
                <w:szCs w:val="20"/>
                <w:color w:val="auto"/>
              </w:rPr>
            </w:pPr>
            <w:r>
              <w:rPr>
                <w:rFonts w:ascii="Arial" w:cs="Arial" w:eastAsia="Arial" w:hAnsi="Arial"/>
                <w:sz w:val="18"/>
                <w:szCs w:val="18"/>
                <w:b w:val="1"/>
                <w:bCs w:val="1"/>
                <w:color w:val="auto"/>
                <w:w w:val="91"/>
              </w:rPr>
              <w:t>46-0484987</w:t>
            </w:r>
          </w:p>
        </w:tc>
      </w:tr>
      <w:tr>
        <w:trPr>
          <w:trHeight w:val="144"/>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94"/>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59"/>
        </w:trPr>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80" w:type="dxa"/>
            <w:vAlign w:val="bottom"/>
            <w:gridSpan w:val="5"/>
          </w:tcPr>
          <w:p>
            <w:pPr>
              <w:jc w:val="center"/>
              <w:ind w:left="1628"/>
              <w:spacing w:after="0"/>
              <w:rPr>
                <w:sz w:val="20"/>
                <w:szCs w:val="20"/>
                <w:color w:val="auto"/>
              </w:rPr>
            </w:pPr>
            <w:r>
              <w:rPr>
                <w:rFonts w:ascii="Arial" w:cs="Arial" w:eastAsia="Arial" w:hAnsi="Arial"/>
                <w:sz w:val="18"/>
                <w:szCs w:val="18"/>
                <w:b w:val="1"/>
                <w:bCs w:val="1"/>
                <w:color w:val="auto"/>
                <w:w w:val="90"/>
              </w:rPr>
              <w:t>(702) 770-7555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93"/>
        </w:trPr>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r>
      <w:tr>
        <w:trPr>
          <w:trHeight w:val="28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458"/>
        </w:trPr>
        <w:tc>
          <w:tcPr>
            <w:tcW w:w="674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86"/>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1"/>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Arial" w:cs="Arial" w:eastAsia="Arial" w:hAnsi="Arial"/>
                <w:sz w:val="18"/>
                <w:szCs w:val="18"/>
                <w:color w:val="auto"/>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company"</w:t>
            </w:r>
          </w:p>
        </w:tc>
        <w:tc>
          <w:tcPr>
            <w:tcW w:w="380" w:type="dxa"/>
            <w:vAlign w:val="bottom"/>
          </w:tcPr>
          <w:p>
            <w:pPr>
              <w:ind w:left="140"/>
              <w:spacing w:after="0" w:line="199" w:lineRule="exact"/>
              <w:rPr>
                <w:sz w:val="20"/>
                <w:szCs w:val="20"/>
                <w:color w:val="auto"/>
              </w:rPr>
            </w:pPr>
            <w:r>
              <w:rPr>
                <w:rFonts w:ascii="Arial" w:cs="Arial" w:eastAsia="Arial" w:hAnsi="Arial"/>
                <w:sz w:val="18"/>
                <w:szCs w:val="18"/>
                <w:color w:val="auto"/>
              </w:rPr>
              <w:t>in</w:t>
            </w:r>
          </w:p>
        </w:tc>
        <w:tc>
          <w:tcPr>
            <w:tcW w:w="2000" w:type="dxa"/>
            <w:vAlign w:val="bottom"/>
          </w:tcPr>
          <w:p>
            <w:pPr>
              <w:ind w:left="1060"/>
              <w:spacing w:after="0" w:line="199" w:lineRule="exact"/>
              <w:rPr>
                <w:sz w:val="20"/>
                <w:szCs w:val="20"/>
                <w:color w:val="auto"/>
              </w:rPr>
            </w:pPr>
            <w:r>
              <w:rPr>
                <w:rFonts w:ascii="Arial" w:cs="Arial" w:eastAsia="Arial" w:hAnsi="Arial"/>
                <w:sz w:val="18"/>
                <w:szCs w:val="18"/>
                <w:color w:val="auto"/>
              </w:rPr>
              <w:t>Rule</w:t>
            </w:r>
          </w:p>
        </w:tc>
        <w:tc>
          <w:tcPr>
            <w:tcW w:w="1580" w:type="dxa"/>
            <w:vAlign w:val="bottom"/>
          </w:tcPr>
          <w:p>
            <w:pPr>
              <w:ind w:left="580"/>
              <w:spacing w:after="0" w:line="199" w:lineRule="exact"/>
              <w:rPr>
                <w:sz w:val="20"/>
                <w:szCs w:val="20"/>
                <w:color w:val="auto"/>
              </w:rPr>
            </w:pPr>
            <w:r>
              <w:rPr>
                <w:rFonts w:ascii="Arial" w:cs="Arial" w:eastAsia="Arial" w:hAnsi="Arial"/>
                <w:sz w:val="18"/>
                <w:szCs w:val="18"/>
                <w:color w:val="auto"/>
              </w:rPr>
              <w:t>12b-2</w:t>
            </w:r>
          </w:p>
        </w:tc>
        <w:tc>
          <w:tcPr>
            <w:tcW w:w="1320" w:type="dxa"/>
            <w:vAlign w:val="bottom"/>
          </w:tcPr>
          <w:p>
            <w:pPr>
              <w:ind w:left="600"/>
              <w:spacing w:after="0" w:line="199" w:lineRule="exact"/>
              <w:rPr>
                <w:sz w:val="20"/>
                <w:szCs w:val="20"/>
                <w:color w:val="auto"/>
              </w:rPr>
            </w:pPr>
            <w:r>
              <w:rPr>
                <w:rFonts w:ascii="Arial" w:cs="Arial" w:eastAsia="Arial" w:hAnsi="Arial"/>
                <w:sz w:val="18"/>
                <w:szCs w:val="18"/>
                <w:color w:val="auto"/>
              </w:rPr>
              <w:t>of</w:t>
            </w:r>
          </w:p>
        </w:tc>
        <w:tc>
          <w:tcPr>
            <w:tcW w:w="920" w:type="dxa"/>
            <w:vAlign w:val="bottom"/>
          </w:tcPr>
          <w:p>
            <w:pPr>
              <w:ind w:left="600"/>
              <w:spacing w:after="0" w:line="199" w:lineRule="exact"/>
              <w:rPr>
                <w:sz w:val="20"/>
                <w:szCs w:val="20"/>
                <w:color w:val="auto"/>
              </w:rPr>
            </w:pPr>
            <w:r>
              <w:rPr>
                <w:rFonts w:ascii="Arial" w:cs="Arial" w:eastAsia="Arial" w:hAnsi="Arial"/>
                <w:sz w:val="18"/>
                <w:szCs w:val="18"/>
                <w:color w:val="auto"/>
              </w:rPr>
              <w:t>the</w:t>
            </w:r>
          </w:p>
        </w:tc>
        <w:tc>
          <w:tcPr>
            <w:tcW w:w="2460" w:type="dxa"/>
            <w:vAlign w:val="bottom"/>
          </w:tcPr>
          <w:p>
            <w:pPr>
              <w:ind w:left="1060"/>
              <w:spacing w:after="0" w:line="199" w:lineRule="exact"/>
              <w:rPr>
                <w:sz w:val="20"/>
                <w:szCs w:val="20"/>
                <w:color w:val="auto"/>
              </w:rPr>
            </w:pPr>
            <w:r>
              <w:rPr>
                <w:rFonts w:ascii="Arial" w:cs="Arial" w:eastAsia="Arial" w:hAnsi="Arial"/>
                <w:sz w:val="18"/>
                <w:szCs w:val="18"/>
                <w:color w:val="auto"/>
              </w:rPr>
              <w:t>Exchange</w:t>
            </w:r>
          </w:p>
        </w:tc>
        <w:tc>
          <w:tcPr>
            <w:tcW w:w="800" w:type="dxa"/>
            <w:vAlign w:val="bottom"/>
          </w:tcPr>
          <w:p>
            <w:pPr>
              <w:ind w:left="500"/>
              <w:spacing w:after="0" w:line="199" w:lineRule="exact"/>
              <w:rPr>
                <w:sz w:val="20"/>
                <w:szCs w:val="20"/>
                <w:color w:val="auto"/>
              </w:rPr>
            </w:pPr>
            <w:r>
              <w:rPr>
                <w:rFonts w:ascii="Arial" w:cs="Arial" w:eastAsia="Arial" w:hAnsi="Arial"/>
                <w:sz w:val="18"/>
                <w:szCs w:val="18"/>
                <w:color w:val="auto"/>
                <w:w w:val="90"/>
              </w:rPr>
              <w:t>Act.</w:t>
            </w: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w w:val="97"/>
              </w:rPr>
              <w:t>Large 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2" w:lineRule="exact"/>
        <w:rPr>
          <w:sz w:val="24"/>
          <w:szCs w:val="24"/>
          <w:color w:val="auto"/>
        </w:rPr>
      </w:pPr>
    </w:p>
    <w:p>
      <w:pPr>
        <w:jc w:val="both"/>
        <w:ind w:firstLine="44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tbl>
      <w:tblPr>
        <w:tblLayout w:type="fixed"/>
        <w:tblInd w:w="0" w:type="dxa"/>
        <w:tblCellMar>
          <w:top w:w="0" w:type="dxa"/>
          <w:left w:w="0" w:type="dxa"/>
          <w:bottom w:w="0" w:type="dxa"/>
          <w:right w:w="0" w:type="dxa"/>
        </w:tblCellMar>
      </w:tblPr>
      <w:tr>
        <w:trPr>
          <w:trHeight w:val="228"/>
        </w:trPr>
        <w:tc>
          <w:tcPr>
            <w:tcW w:w="8720" w:type="dxa"/>
            <w:vAlign w:val="bottom"/>
            <w:gridSpan w:val="3"/>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230"/>
        </w:trPr>
        <w:tc>
          <w:tcPr>
            <w:tcW w:w="11240" w:type="dxa"/>
            <w:vAlign w:val="bottom"/>
            <w:gridSpan w:val="6"/>
          </w:tcPr>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175"/>
        </w:trPr>
        <w:tc>
          <w:tcPr>
            <w:tcW w:w="1800" w:type="dxa"/>
            <w:vAlign w:val="bottom"/>
          </w:tcPr>
          <w:p>
            <w:pPr>
              <w:spacing w:after="0"/>
              <w:rPr>
                <w:sz w:val="15"/>
                <w:szCs w:val="15"/>
                <w:color w:val="auto"/>
              </w:rPr>
            </w:pPr>
          </w:p>
        </w:tc>
        <w:tc>
          <w:tcPr>
            <w:tcW w:w="6920" w:type="dxa"/>
            <w:vAlign w:val="bottom"/>
            <w:gridSpan w:val="2"/>
          </w:tcPr>
          <w:p>
            <w:pPr>
              <w:jc w:val="center"/>
              <w:ind w:right="6600"/>
              <w:spacing w:after="0"/>
              <w:rPr>
                <w:sz w:val="20"/>
                <w:szCs w:val="20"/>
                <w:color w:val="auto"/>
              </w:rPr>
            </w:pPr>
            <w:r>
              <w:rPr>
                <w:rFonts w:ascii="Arial" w:cs="Arial" w:eastAsia="Arial" w:hAnsi="Arial"/>
                <w:sz w:val="14"/>
                <w:szCs w:val="14"/>
                <w:b w:val="1"/>
                <w:bCs w:val="1"/>
                <w:color w:val="auto"/>
                <w:w w:val="85"/>
              </w:rPr>
              <w:t>Class</w:t>
            </w:r>
          </w:p>
        </w:tc>
        <w:tc>
          <w:tcPr>
            <w:tcW w:w="2520" w:type="dxa"/>
            <w:vAlign w:val="bottom"/>
            <w:gridSpan w:val="3"/>
          </w:tcPr>
          <w:p>
            <w:pPr>
              <w:ind w:left="100"/>
              <w:spacing w:after="0"/>
              <w:rPr>
                <w:sz w:val="20"/>
                <w:szCs w:val="20"/>
                <w:color w:val="auto"/>
              </w:rPr>
            </w:pPr>
            <w:r>
              <w:rPr>
                <w:rFonts w:ascii="Arial" w:cs="Arial" w:eastAsia="Arial" w:hAnsi="Arial"/>
                <w:sz w:val="14"/>
                <w:szCs w:val="14"/>
                <w:b w:val="1"/>
                <w:bCs w:val="1"/>
                <w:color w:val="auto"/>
              </w:rPr>
              <w:t>Outstanding at October 31, 2023</w:t>
            </w:r>
          </w:p>
        </w:tc>
      </w:tr>
      <w:tr>
        <w:trPr>
          <w:trHeight w:val="20"/>
        </w:trPr>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8720" w:type="dxa"/>
            <w:vAlign w:val="bottom"/>
            <w:gridSpan w:val="3"/>
          </w:tcPr>
          <w:p>
            <w:pPr>
              <w:jc w:val="center"/>
              <w:ind w:right="4820"/>
              <w:spacing w:after="0"/>
              <w:rPr>
                <w:sz w:val="20"/>
                <w:szCs w:val="20"/>
                <w:color w:val="auto"/>
              </w:rPr>
            </w:pPr>
            <w:r>
              <w:rPr>
                <w:rFonts w:ascii="Arial" w:cs="Arial" w:eastAsia="Arial" w:hAnsi="Arial"/>
                <w:sz w:val="18"/>
                <w:szCs w:val="18"/>
                <w:color w:val="auto"/>
                <w:w w:val="90"/>
              </w:rPr>
              <w:t>Common stock, par value $0.01</w:t>
            </w:r>
          </w:p>
        </w:tc>
        <w:tc>
          <w:tcPr>
            <w:tcW w:w="2100" w:type="dxa"/>
            <w:vAlign w:val="bottom"/>
            <w:gridSpan w:val="2"/>
          </w:tcPr>
          <w:p>
            <w:pPr>
              <w:jc w:val="right"/>
              <w:ind w:right="560"/>
              <w:spacing w:after="0"/>
              <w:rPr>
                <w:sz w:val="20"/>
                <w:szCs w:val="20"/>
                <w:color w:val="auto"/>
              </w:rPr>
            </w:pPr>
            <w:r>
              <w:rPr>
                <w:rFonts w:ascii="Arial" w:cs="Arial" w:eastAsia="Arial" w:hAnsi="Arial"/>
                <w:sz w:val="18"/>
                <w:szCs w:val="18"/>
                <w:color w:val="auto"/>
              </w:rPr>
              <w:t>112,945,993</w:t>
            </w:r>
          </w:p>
        </w:tc>
        <w:tc>
          <w:tcPr>
            <w:tcW w:w="420" w:type="dxa"/>
            <w:vAlign w:val="bottom"/>
          </w:tcPr>
          <w:p>
            <w:pPr>
              <w:spacing w:after="0"/>
              <w:rPr>
                <w:sz w:val="22"/>
                <w:szCs w:val="22"/>
                <w:color w:val="auto"/>
              </w:rPr>
            </w:pPr>
          </w:p>
        </w:tc>
      </w:tr>
      <w:tr>
        <w:trPr>
          <w:trHeight w:val="763"/>
        </w:trPr>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180" w:type="dxa"/>
            <w:vAlign w:val="bottom"/>
            <w:gridSpan w:val="16"/>
          </w:tcPr>
          <w:p>
            <w:pPr>
              <w:ind w:left="8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520" w:type="dxa"/>
            <w:vAlign w:val="bottom"/>
          </w:tcPr>
          <w:p>
            <w:pPr>
              <w:ind w:left="20"/>
              <w:spacing w:after="0" w:line="190" w:lineRule="exact"/>
              <w:rPr>
                <w:sz w:val="20"/>
                <w:szCs w:val="20"/>
                <w:color w:val="auto"/>
              </w:rPr>
            </w:pPr>
            <w:r>
              <w:rPr>
                <w:rFonts w:ascii="Arial" w:cs="Arial" w:eastAsia="Arial" w:hAnsi="Arial"/>
                <w:sz w:val="18"/>
                <w:szCs w:val="18"/>
                <w:color w:val="0000FF"/>
                <w:w w:val="87"/>
              </w:rPr>
              <w:t>Item 1.</w:t>
            </w:r>
          </w:p>
        </w:tc>
        <w:tc>
          <w:tcPr>
            <w:tcW w:w="10180" w:type="dxa"/>
            <w:vAlign w:val="bottom"/>
            <w:gridSpan w:val="16"/>
          </w:tcPr>
          <w:p>
            <w:pPr>
              <w:ind w:left="800"/>
              <w:spacing w:after="0" w:line="190" w:lineRule="exact"/>
              <w:rPr>
                <w:sz w:val="20"/>
                <w:szCs w:val="20"/>
                <w:color w:val="auto"/>
              </w:rPr>
            </w:pPr>
            <w:r>
              <w:rPr>
                <w:rFonts w:ascii="Arial" w:cs="Arial" w:eastAsia="Arial" w:hAnsi="Arial"/>
                <w:sz w:val="18"/>
                <w:szCs w:val="18"/>
                <w:color w:val="0000FF"/>
              </w:rPr>
              <w:t>Financial Statements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 - September 30, 2023 (unaudited) and December 31,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sz w:val="20"/>
                <w:szCs w:val="20"/>
                <w:color w:val="auto"/>
              </w:rPr>
            </w:pPr>
            <w:r>
              <w:rPr>
                <w:rFonts w:ascii="Arial" w:cs="Arial" w:eastAsia="Arial" w:hAnsi="Arial"/>
                <w:sz w:val="18"/>
                <w:szCs w:val="18"/>
                <w:color w:val="0000FF"/>
                <w:w w:val="96"/>
              </w:rPr>
              <w:t>Condensed Consolidated Statements of Operations (unaudited) - Three and Nine Months Ended September 30, 2023</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and 2022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sz w:val="20"/>
                <w:szCs w:val="20"/>
                <w:color w:val="auto"/>
              </w:rPr>
            </w:pPr>
            <w:r>
              <w:rPr>
                <w:rFonts w:ascii="Arial" w:cs="Arial" w:eastAsia="Arial" w:hAnsi="Arial"/>
                <w:sz w:val="18"/>
                <w:szCs w:val="18"/>
                <w:color w:val="0000FF"/>
                <w:w w:val="97"/>
              </w:rPr>
              <w:t>Condensed Consolidated Statements of Comprehensive Income (Loss) (unaudited) - Three and Nine Months Ended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87"/>
              </w:rPr>
              <w:t>September 30, 2023 and 2022</w:t>
            </w:r>
          </w:p>
        </w:tc>
        <w:tc>
          <w:tcPr>
            <w:tcW w:w="618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sz w:val="20"/>
                <w:szCs w:val="20"/>
                <w:color w:val="auto"/>
              </w:rPr>
            </w:pPr>
            <w:r>
              <w:rPr>
                <w:rFonts w:ascii="Arial" w:cs="Arial" w:eastAsia="Arial" w:hAnsi="Arial"/>
                <w:sz w:val="18"/>
                <w:szCs w:val="18"/>
                <w:color w:val="0000FF"/>
                <w:w w:val="96"/>
              </w:rPr>
              <w:t>Condensed Consolidated Statements of Stockholders’ Deficit (unaudited) - Three and Nine Months Ended September</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30, 2023 and 2022</w:t>
            </w: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sz w:val="20"/>
                <w:szCs w:val="20"/>
                <w:color w:val="auto"/>
              </w:rPr>
            </w:pPr>
            <w:r>
              <w:rPr>
                <w:rFonts w:ascii="Arial" w:cs="Arial" w:eastAsia="Arial" w:hAnsi="Arial"/>
                <w:sz w:val="18"/>
                <w:szCs w:val="18"/>
                <w:color w:val="0000FF"/>
                <w:w w:val="96"/>
              </w:rPr>
              <w:t>Condensed Consolidated Statements of Cash Flows (unaudited) - Nine Months Ended September 30, 2023 and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80" w:type="dxa"/>
            <w:vAlign w:val="bottom"/>
            <w:gridSpan w:val="11"/>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68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2.</w:t>
            </w:r>
          </w:p>
        </w:tc>
        <w:tc>
          <w:tcPr>
            <w:tcW w:w="10180" w:type="dxa"/>
            <w:vAlign w:val="bottom"/>
            <w:gridSpan w:val="16"/>
          </w:tcPr>
          <w:p>
            <w:pPr>
              <w:ind w:left="80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3.</w:t>
            </w:r>
          </w:p>
        </w:tc>
        <w:tc>
          <w:tcPr>
            <w:tcW w:w="10180" w:type="dxa"/>
            <w:vAlign w:val="bottom"/>
            <w:gridSpan w:val="16"/>
          </w:tcPr>
          <w:p>
            <w:pPr>
              <w:ind w:left="800"/>
              <w:spacing w:after="0"/>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4.</w:t>
            </w:r>
          </w:p>
        </w:tc>
        <w:tc>
          <w:tcPr>
            <w:tcW w:w="10180" w:type="dxa"/>
            <w:vAlign w:val="bottom"/>
            <w:gridSpan w:val="16"/>
          </w:tcPr>
          <w:p>
            <w:pPr>
              <w:ind w:left="800"/>
              <w:spacing w:after="0"/>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10000" w:type="dxa"/>
            <w:vAlign w:val="bottom"/>
            <w:gridSpan w:val="8"/>
          </w:tcPr>
          <w:p>
            <w:pPr>
              <w:ind w:left="62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20"/>
                <w:szCs w:val="20"/>
                <w:color w:val="auto"/>
              </w:rPr>
            </w:pPr>
          </w:p>
        </w:tc>
      </w:tr>
      <w:tr>
        <w:trPr>
          <w:trHeight w:val="190"/>
        </w:trPr>
        <w:tc>
          <w:tcPr>
            <w:tcW w:w="320" w:type="dxa"/>
            <w:vAlign w:val="bottom"/>
          </w:tcPr>
          <w:p>
            <w:pPr>
              <w:spacing w:after="0"/>
              <w:rPr>
                <w:sz w:val="16"/>
                <w:szCs w:val="16"/>
                <w:color w:val="auto"/>
              </w:rPr>
            </w:pPr>
          </w:p>
        </w:tc>
        <w:tc>
          <w:tcPr>
            <w:tcW w:w="640" w:type="dxa"/>
            <w:vAlign w:val="bottom"/>
            <w:gridSpan w:val="2"/>
          </w:tcPr>
          <w:p>
            <w:pPr>
              <w:ind w:left="20"/>
              <w:spacing w:after="0" w:line="190" w:lineRule="exact"/>
              <w:rPr>
                <w:sz w:val="20"/>
                <w:szCs w:val="20"/>
                <w:color w:val="auto"/>
              </w:rPr>
            </w:pPr>
            <w:r>
              <w:rPr>
                <w:rFonts w:ascii="Arial" w:cs="Arial" w:eastAsia="Arial" w:hAnsi="Arial"/>
                <w:sz w:val="18"/>
                <w:szCs w:val="18"/>
                <w:color w:val="0000FF"/>
              </w:rPr>
              <w:t>Item 1.</w:t>
            </w:r>
          </w:p>
        </w:tc>
        <w:tc>
          <w:tcPr>
            <w:tcW w:w="60" w:type="dxa"/>
            <w:vAlign w:val="bottom"/>
          </w:tcPr>
          <w:p>
            <w:pPr>
              <w:spacing w:after="0"/>
              <w:rPr>
                <w:sz w:val="16"/>
                <w:szCs w:val="16"/>
                <w:color w:val="auto"/>
              </w:rPr>
            </w:pPr>
          </w:p>
        </w:tc>
        <w:tc>
          <w:tcPr>
            <w:tcW w:w="10000" w:type="dxa"/>
            <w:vAlign w:val="bottom"/>
            <w:gridSpan w:val="8"/>
          </w:tcPr>
          <w:p>
            <w:pPr>
              <w:ind w:left="620"/>
              <w:spacing w:after="0" w:line="190" w:lineRule="exact"/>
              <w:rPr>
                <w:sz w:val="20"/>
                <w:szCs w:val="20"/>
                <w:color w:val="auto"/>
              </w:rPr>
            </w:pPr>
            <w:r>
              <w:rPr>
                <w:rFonts w:ascii="Arial" w:cs="Arial" w:eastAsia="Arial" w:hAnsi="Arial"/>
                <w:sz w:val="18"/>
                <w:szCs w:val="18"/>
                <w:color w:val="0000FF"/>
              </w:rPr>
              <w:t>Legal Proceedings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0000FF"/>
                <w:w w:val="79"/>
              </w:rPr>
              <w:t>52</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color w:val="0000FF"/>
                <w:w w:val="98"/>
              </w:rPr>
              <w:t>Item 1A.</w:t>
            </w:r>
          </w:p>
        </w:tc>
        <w:tc>
          <w:tcPr>
            <w:tcW w:w="10000" w:type="dxa"/>
            <w:vAlign w:val="bottom"/>
            <w:gridSpan w:val="8"/>
          </w:tcPr>
          <w:p>
            <w:pPr>
              <w:ind w:left="620"/>
              <w:spacing w:after="0"/>
              <w:rPr>
                <w:sz w:val="20"/>
                <w:szCs w:val="20"/>
                <w:color w:val="auto"/>
              </w:rPr>
            </w:pPr>
            <w:r>
              <w:rPr>
                <w:rFonts w:ascii="Arial" w:cs="Arial" w:eastAsia="Arial" w:hAnsi="Arial"/>
                <w:sz w:val="18"/>
                <w:szCs w:val="18"/>
                <w:color w:val="0000FF"/>
              </w:rPr>
              <w:t>Risk Factors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52</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Arial" w:cs="Arial" w:eastAsia="Arial" w:hAnsi="Arial"/>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3.</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Arial" w:cs="Arial" w:eastAsia="Arial" w:hAnsi="Arial"/>
                <w:sz w:val="18"/>
                <w:szCs w:val="18"/>
                <w:color w:val="0000FF"/>
              </w:rPr>
              <w:t>Default Upon Senior Securities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4.</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Arial" w:cs="Arial" w:eastAsia="Arial" w:hAnsi="Arial"/>
                <w:sz w:val="18"/>
                <w:szCs w:val="18"/>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5.</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Arial" w:cs="Arial" w:eastAsia="Arial" w:hAnsi="Arial"/>
                <w:sz w:val="18"/>
                <w:szCs w:val="18"/>
                <w:color w:val="0000FF"/>
              </w:rPr>
              <w:t>Other Information</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w w:val="87"/>
              </w:rPr>
              <w:t>Item 6.</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Arial" w:cs="Arial" w:eastAsia="Arial" w:hAnsi="Arial"/>
                <w:sz w:val="18"/>
                <w:szCs w:val="18"/>
                <w:color w:val="0000FF"/>
              </w:rPr>
              <w:t>Exhibits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53</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85"/>
              </w:rPr>
              <w:t>Signature</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2,788,108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3,650,440</w:t>
            </w: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983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791,676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$59,618 and $78,842, respectively</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249,367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216,033</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75,071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70,094</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125,971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88,201</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4,031,176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4,029,587</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6,730,797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6,896,060</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90,495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127,731</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340,397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245,253</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1,826,355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1,853,164</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317,041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263,305</w:t>
            </w:r>
          </w:p>
        </w:tc>
        <w:tc>
          <w:tcPr>
            <w:tcW w:w="0" w:type="dxa"/>
            <w:vAlign w:val="bottom"/>
          </w:tcPr>
          <w:p>
            <w:pPr>
              <w:spacing w:after="0"/>
              <w:rPr>
                <w:sz w:val="1"/>
                <w:szCs w:val="1"/>
                <w:color w:val="auto"/>
              </w:rPr>
            </w:pPr>
          </w:p>
        </w:tc>
      </w:tr>
      <w:tr>
        <w:trPr>
          <w:trHeight w:val="235"/>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13,336,261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13,415,100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Accounts and construction payables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187,898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197,474</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517,145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506,148</w:t>
            </w: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Gaming taxes payable</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138,214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44,967</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187,098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187,160</w:t>
            </w: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123,897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135,630</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112,099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547,543</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247,683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192,501</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1,514,034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1,811,423</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11,678,732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11,569,316</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1,614,953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1,615,157</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237,591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59,569</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15,045,310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15,055,465</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16)</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deficit: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7960" w:type="dxa"/>
            <w:vAlign w:val="bottom"/>
            <w:shd w:val="clear" w:color="auto" w:fill="CCEEFF"/>
          </w:tcPr>
          <w:p>
            <w:pPr>
              <w:ind w:left="360"/>
              <w:spacing w:after="0" w:line="165" w:lineRule="exact"/>
              <w:rPr>
                <w:sz w:val="20"/>
                <w:szCs w:val="20"/>
                <w:color w:val="auto"/>
              </w:rPr>
            </w:pPr>
            <w:r>
              <w:rPr>
                <w:rFonts w:ascii="Arial" w:cs="Arial" w:eastAsia="Arial" w:hAnsi="Arial"/>
                <w:sz w:val="16"/>
                <w:szCs w:val="16"/>
                <w:color w:val="auto"/>
                <w:w w:val="96"/>
              </w:rPr>
              <w:t>Common stock, par value $0.01; 400,000,000 shares authorized; 132,986,087 and 132,256,185 shares issued;</w:t>
            </w:r>
          </w:p>
        </w:tc>
        <w:tc>
          <w:tcPr>
            <w:tcW w:w="14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1,330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08"/>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113,357,215 and 113,369,439 shares outstanding, respectively</w:t>
            </w:r>
          </w:p>
        </w:tc>
        <w:tc>
          <w:tcPr>
            <w:tcW w:w="14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Treasury stock, at cost; 19,628,872 and 18,886,746 shares, respectively</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(1,694,891)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(1,623,872)</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3,633,517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3,583,923</w:t>
            </w:r>
          </w:p>
        </w:tc>
        <w:tc>
          <w:tcPr>
            <w:tcW w:w="0" w:type="dxa"/>
            <w:vAlign w:val="bottom"/>
          </w:tcPr>
          <w:p>
            <w:pPr>
              <w:spacing w:after="0"/>
              <w:rPr>
                <w:sz w:val="1"/>
                <w:szCs w:val="1"/>
                <w:color w:val="auto"/>
              </w:rPr>
            </w:pPr>
          </w:p>
        </w:tc>
      </w:tr>
      <w:tr>
        <w:trPr>
          <w:trHeight w:val="208"/>
        </w:trPr>
        <w:tc>
          <w:tcPr>
            <w:tcW w:w="7960" w:type="dxa"/>
            <w:vAlign w:val="bottom"/>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6,218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(2,767,938)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(2,711,808)</w:t>
            </w:r>
          </w:p>
        </w:tc>
        <w:tc>
          <w:tcPr>
            <w:tcW w:w="0" w:type="dxa"/>
            <w:vAlign w:val="bottom"/>
          </w:tcPr>
          <w:p>
            <w:pPr>
              <w:spacing w:after="0"/>
              <w:rPr>
                <w:sz w:val="1"/>
                <w:szCs w:val="1"/>
                <w:color w:val="auto"/>
              </w:rPr>
            </w:pPr>
          </w:p>
        </w:tc>
      </w:tr>
      <w:tr>
        <w:trPr>
          <w:trHeight w:val="204"/>
        </w:trPr>
        <w:tc>
          <w:tcPr>
            <w:tcW w:w="7960" w:type="dxa"/>
            <w:vAlign w:val="bottom"/>
          </w:tcPr>
          <w:p>
            <w:pPr>
              <w:ind w:left="680"/>
              <w:spacing w:after="0"/>
              <w:rPr>
                <w:sz w:val="20"/>
                <w:szCs w:val="20"/>
                <w:color w:val="auto"/>
              </w:rPr>
            </w:pPr>
            <w:r>
              <w:rPr>
                <w:rFonts w:ascii="Arial" w:cs="Arial" w:eastAsia="Arial" w:hAnsi="Arial"/>
                <w:sz w:val="16"/>
                <w:szCs w:val="16"/>
                <w:b w:val="1"/>
                <w:bCs w:val="1"/>
                <w:color w:val="auto"/>
              </w:rPr>
              <w:t>Total Wynn Resorts, Limited stockholders' deficit</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(821,764)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(750,838)</w:t>
            </w: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(887,285)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(889,527)</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Total stockholders' deficit</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(1,709,049)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(1,640,365)</w:t>
            </w:r>
          </w:p>
        </w:tc>
        <w:tc>
          <w:tcPr>
            <w:tcW w:w="0" w:type="dxa"/>
            <w:vAlign w:val="bottom"/>
          </w:tcPr>
          <w:p>
            <w:pPr>
              <w:spacing w:after="0"/>
              <w:rPr>
                <w:sz w:val="1"/>
                <w:szCs w:val="1"/>
                <w:color w:val="auto"/>
              </w:rPr>
            </w:pPr>
          </w:p>
        </w:tc>
      </w:tr>
      <w:tr>
        <w:trPr>
          <w:trHeight w:val="235"/>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13,336,261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13,415,100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8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972,453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359,876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2,652,444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1,209,323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568,886</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757,079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628,566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345,113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1,671,936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889,722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4,691,437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2,751,888</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1,594,761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808,044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191,474</w:t>
            </w: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605,376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517,515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236,853</w:t>
            </w: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785,538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598,433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520,026</w:t>
            </w: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Impairment of goodwill and intangible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48,036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1,609,341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942,713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4,208,991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2,951,772</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482,446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(199,884)</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(566,554)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(472,265)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Gain (loss) on debt financing transactions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(185,885)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(471,432)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(472,691)</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(672,575)</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(675,823)</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219,556</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(456,267)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net income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6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114,061</w:t>
            </w:r>
          </w:p>
        </w:tc>
        <w:tc>
          <w:tcPr>
            <w:tcW w:w="0" w:type="dxa"/>
            <w:vAlign w:val="bottom"/>
          </w:tcPr>
          <w:p>
            <w:pPr>
              <w:spacing w:after="0"/>
              <w:rPr>
                <w:sz w:val="1"/>
                <w:szCs w:val="1"/>
                <w:color w:val="auto"/>
              </w:rPr>
            </w:pPr>
          </w:p>
        </w:tc>
      </w:tr>
      <w:tr>
        <w:trPr>
          <w:trHeight w:val="230"/>
        </w:trPr>
        <w:tc>
          <w:tcPr>
            <w:tcW w:w="5520" w:type="dxa"/>
            <w:vAlign w:val="bottom"/>
          </w:tcPr>
          <w:p>
            <w:pPr>
              <w:ind w:left="6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112,709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113,132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114,061</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(675,823)</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before and after tax</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(122,860)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(207,059)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(669,610)</w:t>
            </w:r>
          </w:p>
        </w:tc>
      </w:tr>
      <w:tr>
        <w:trPr>
          <w:trHeight w:val="175"/>
        </w:trPr>
        <w:tc>
          <w:tcPr>
            <w:tcW w:w="54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Less: comprehensive (income) loss attributable to noncontrolling</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217,727</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w w:val="92"/>
              </w:rPr>
              <w:t>Comprehensive income (loss) attributable to Wynn Resorts, Limited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(142,333)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(451,883)</w:t>
            </w:r>
          </w:p>
        </w:tc>
      </w:tr>
      <w:tr>
        <w:trPr>
          <w:trHeight w:val="21"/>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Three Months Ended September 30, 2023</w:t>
            </w: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8" w:lineRule="exact"/>
              <w:rPr>
                <w:sz w:val="20"/>
                <w:szCs w:val="20"/>
                <w:color w:val="auto"/>
              </w:rPr>
            </w:pPr>
            <w:r>
              <w:rPr>
                <w:rFonts w:ascii="Arial" w:cs="Arial" w:eastAsia="Arial" w:hAnsi="Arial"/>
                <w:sz w:val="12"/>
                <w:szCs w:val="12"/>
                <w:b w:val="1"/>
                <w:bCs w:val="1"/>
                <w:color w:val="auto"/>
                <w:w w:val="95"/>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July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113,942,935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(1,635,966)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3,619,241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(2,622,773)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(630,253)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(876,911)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(1,507,164)</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(116,678)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(116,678)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(120,541)</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40" w:type="dxa"/>
            <w:vAlign w:val="bottom"/>
          </w:tcPr>
          <w:p>
            <w:pPr>
              <w:jc w:val="right"/>
              <w:spacing w:after="0"/>
              <w:rPr>
                <w:sz w:val="20"/>
                <w:szCs w:val="20"/>
                <w:color w:val="auto"/>
              </w:rPr>
            </w:pPr>
            <w:r>
              <w:rPr>
                <w:rFonts w:ascii="Arial" w:cs="Arial" w:eastAsia="Arial" w:hAnsi="Arial"/>
                <w:sz w:val="13"/>
                <w:szCs w:val="13"/>
                <w:color w:val="auto"/>
              </w:rPr>
              <w:t>40,099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w w:val="87"/>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Arial" w:cs="Arial" w:eastAsia="Arial" w:hAnsi="Arial"/>
                <w:sz w:val="13"/>
                <w:szCs w:val="13"/>
                <w:color w:val="auto"/>
              </w:rPr>
              <w:t>as treasury shares</w:t>
            </w:r>
          </w:p>
        </w:tc>
        <w:tc>
          <w:tcPr>
            <w:tcW w:w="840" w:type="dxa"/>
            <w:vAlign w:val="bottom"/>
          </w:tcPr>
          <w:p>
            <w:pPr>
              <w:jc w:val="right"/>
              <w:spacing w:after="0"/>
              <w:rPr>
                <w:sz w:val="20"/>
                <w:szCs w:val="20"/>
                <w:color w:val="auto"/>
              </w:rPr>
            </w:pPr>
            <w:r>
              <w:rPr>
                <w:rFonts w:ascii="Arial" w:cs="Arial" w:eastAsia="Arial" w:hAnsi="Arial"/>
                <w:sz w:val="13"/>
                <w:szCs w:val="13"/>
                <w:color w:val="auto"/>
              </w:rPr>
              <w:t>(623,417)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(58,925)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(58,925)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(58,925)</w:t>
            </w: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(28,487)</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(6,984)</w:t>
            </w:r>
          </w:p>
        </w:tc>
        <w:tc>
          <w:tcPr>
            <w:tcW w:w="0" w:type="dxa"/>
            <w:vAlign w:val="bottom"/>
          </w:tcPr>
          <w:p>
            <w:pPr>
              <w:spacing w:after="0"/>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15,371</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Balances, September 30, 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113,357,215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(1,694,891)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3,633,517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6,218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(2,767,938)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(821,764)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(887,285)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(1,709,049)</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Three Months Ended September 30, 2022</w:t>
            </w: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8" w:lineRule="exact"/>
              <w:rPr>
                <w:sz w:val="20"/>
                <w:szCs w:val="20"/>
                <w:color w:val="auto"/>
              </w:rPr>
            </w:pPr>
            <w:r>
              <w:rPr>
                <w:rFonts w:ascii="Arial" w:cs="Arial" w:eastAsia="Arial" w:hAnsi="Arial"/>
                <w:sz w:val="12"/>
                <w:szCs w:val="12"/>
                <w:b w:val="1"/>
                <w:bCs w:val="1"/>
                <w:color w:val="auto"/>
                <w:w w:val="95"/>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deficit</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6"/>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July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113,707,642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(1,585,678)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3,566,498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(2,601,331)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(609,362)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(764,892)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(1,374,254)</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(142,892)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(142,892)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(64,899)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(207,791)</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40" w:type="dxa"/>
            <w:vAlign w:val="bottom"/>
          </w:tcPr>
          <w:p>
            <w:pPr>
              <w:jc w:val="right"/>
              <w:spacing w:after="0"/>
              <w:rPr>
                <w:sz w:val="20"/>
                <w:szCs w:val="20"/>
                <w:color w:val="auto"/>
              </w:rPr>
            </w:pPr>
            <w:r>
              <w:rPr>
                <w:rFonts w:ascii="Arial" w:cs="Arial" w:eastAsia="Arial" w:hAnsi="Arial"/>
                <w:sz w:val="13"/>
                <w:szCs w:val="13"/>
                <w:color w:val="auto"/>
              </w:rPr>
              <w:t>166,424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w w:val="87"/>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Arial" w:cs="Arial" w:eastAsia="Arial" w:hAnsi="Arial"/>
                <w:sz w:val="13"/>
                <w:szCs w:val="13"/>
                <w:color w:val="auto"/>
              </w:rPr>
              <w:t>as treasury shares</w:t>
            </w:r>
          </w:p>
        </w:tc>
        <w:tc>
          <w:tcPr>
            <w:tcW w:w="840" w:type="dxa"/>
            <w:vAlign w:val="bottom"/>
          </w:tcPr>
          <w:p>
            <w:pPr>
              <w:jc w:val="right"/>
              <w:spacing w:after="0"/>
              <w:rPr>
                <w:sz w:val="20"/>
                <w:szCs w:val="20"/>
                <w:color w:val="auto"/>
              </w:rPr>
            </w:pPr>
            <w:r>
              <w:rPr>
                <w:rFonts w:ascii="Arial" w:cs="Arial" w:eastAsia="Arial" w:hAnsi="Arial"/>
                <w:sz w:val="13"/>
                <w:szCs w:val="13"/>
                <w:color w:val="auto"/>
              </w:rPr>
              <w:t>(497,062)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(29,319)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(29,319)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(29,319)</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(4,982)</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rPr>
              <w:t>Transactions with subsidiary minority</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Arial" w:cs="Arial" w:eastAsia="Arial" w:hAnsi="Arial"/>
                <w:sz w:val="13"/>
                <w:szCs w:val="13"/>
                <w:color w:val="auto"/>
              </w:rPr>
              <w:t>shareholders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1,627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1,627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16,233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16,234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18,651</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Balances,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113,373,330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(1,614,997)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3,584,357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10,388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(2,744,222)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(763,153)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(833,810)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(1,596,963)</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Nine Months Ended September 30, 2023</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95"/>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deficit</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113,369,439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(1,623,872)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3,583,923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(2,711,808)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(750,838)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(889,527)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(1,640,365)</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838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8,440</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9,249</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3"/>
                <w:szCs w:val="13"/>
                <w:color w:val="auto"/>
              </w:rPr>
              <w:t>32,284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1,965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1,965</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708,428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6,638</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40" w:type="dxa"/>
            <w:vAlign w:val="bottom"/>
          </w:tcPr>
          <w:p>
            <w:pPr>
              <w:jc w:val="right"/>
              <w:spacing w:after="0"/>
              <w:rPr>
                <w:sz w:val="20"/>
                <w:szCs w:val="20"/>
                <w:color w:val="auto"/>
              </w:rPr>
            </w:pPr>
            <w:r>
              <w:rPr>
                <w:rFonts w:ascii="Arial" w:cs="Arial" w:eastAsia="Arial" w:hAnsi="Arial"/>
                <w:sz w:val="13"/>
                <w:szCs w:val="13"/>
                <w:color w:val="auto"/>
              </w:rPr>
              <w:t>(16,991)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7"/>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(742,126)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(71,019)</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(56,968)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(56,968)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(56,968)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(15,929)</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rPr>
              <w:t>Transactions with subsidiary minority</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Arial" w:cs="Arial" w:eastAsia="Arial" w:hAnsi="Arial"/>
                <w:sz w:val="13"/>
                <w:szCs w:val="13"/>
                <w:color w:val="auto"/>
              </w:rPr>
              <w:t>shareholders</w:t>
            </w:r>
          </w:p>
        </w:tc>
        <w:tc>
          <w:tcPr>
            <w:tcW w:w="840" w:type="dxa"/>
            <w:vAlign w:val="bottom"/>
          </w:tcPr>
          <w:p>
            <w:pPr>
              <w:jc w:val="right"/>
              <w:spacing w:after="0"/>
              <w:rPr>
                <w:sz w:val="20"/>
                <w:szCs w:val="20"/>
                <w:color w:val="auto"/>
              </w:rPr>
            </w:pPr>
            <w:r>
              <w:rPr>
                <w:rFonts w:ascii="Arial" w:cs="Arial" w:eastAsia="Arial" w:hAnsi="Arial"/>
                <w:sz w:val="13"/>
                <w:szCs w:val="13"/>
                <w:color w:val="auto"/>
              </w:rPr>
              <w:t>6,181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44,746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44,746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48,940</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Balances, September 30, 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113,357,215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(1,694,891)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3,633,517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6,218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(2,767,938)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(821,764)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(887,285)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(1,709,049)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24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Nine Months Ended September 30, 2022</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95"/>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deficit</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115,714,943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(1,436,373)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3,502,715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(2,288,078)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(214,418)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(621,797)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(836,215)</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(456,267)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(456,267)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(219,556)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(675,823)</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6,213</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40" w:type="dxa"/>
            <w:vAlign w:val="bottom"/>
          </w:tcPr>
          <w:p>
            <w:pPr>
              <w:jc w:val="right"/>
              <w:spacing w:after="0"/>
              <w:rPr>
                <w:sz w:val="20"/>
                <w:szCs w:val="20"/>
                <w:color w:val="auto"/>
              </w:rPr>
            </w:pPr>
            <w:r>
              <w:rPr>
                <w:rFonts w:ascii="Arial" w:cs="Arial" w:eastAsia="Arial" w:hAnsi="Arial"/>
                <w:sz w:val="13"/>
                <w:szCs w:val="13"/>
                <w:color w:val="auto"/>
              </w:rPr>
              <w:t>763,660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9,280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9,288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9,288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w w:val="87"/>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Arial" w:cs="Arial" w:eastAsia="Arial" w:hAnsi="Arial"/>
                <w:sz w:val="13"/>
                <w:szCs w:val="13"/>
                <w:color w:val="auto"/>
              </w:rPr>
              <w:t>as treasury shares</w:t>
            </w:r>
          </w:p>
        </w:tc>
        <w:tc>
          <w:tcPr>
            <w:tcW w:w="840" w:type="dxa"/>
            <w:vAlign w:val="bottom"/>
          </w:tcPr>
          <w:p>
            <w:pPr>
              <w:jc w:val="right"/>
              <w:spacing w:after="0"/>
              <w:rPr>
                <w:sz w:val="20"/>
                <w:szCs w:val="20"/>
                <w:color w:val="auto"/>
              </w:rPr>
            </w:pPr>
            <w:r>
              <w:rPr>
                <w:rFonts w:ascii="Arial" w:cs="Arial" w:eastAsia="Arial" w:hAnsi="Arial"/>
                <w:sz w:val="13"/>
                <w:szCs w:val="13"/>
                <w:color w:val="auto"/>
              </w:rPr>
              <w:t>(3,019,099)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(178,624)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(178,624)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(178,624)</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(21,505)</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Contribution from noncontrolling interest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48,559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48,559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50,033</w:t>
            </w:r>
          </w:p>
        </w:tc>
        <w:tc>
          <w:tcPr>
            <w:tcW w:w="0" w:type="dxa"/>
            <w:vAlign w:val="bottom"/>
          </w:tcPr>
          <w:p>
            <w:pPr>
              <w:spacing w:after="0"/>
              <w:rPr>
                <w:sz w:val="1"/>
                <w:szCs w:val="1"/>
                <w:color w:val="auto"/>
              </w:rPr>
            </w:pPr>
          </w:p>
        </w:tc>
      </w:tr>
      <w:tr>
        <w:trPr>
          <w:trHeight w:val="129"/>
        </w:trPr>
        <w:tc>
          <w:tcPr>
            <w:tcW w:w="2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Transactions with subsidiary minority</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w:t>
            </w: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38,925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39,048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46,774</w:t>
            </w:r>
          </w:p>
        </w:tc>
        <w:tc>
          <w:tcPr>
            <w:tcW w:w="0" w:type="dxa"/>
            <w:vAlign w:val="bottom"/>
          </w:tcPr>
          <w:p>
            <w:pPr>
              <w:spacing w:after="0"/>
              <w:rPr>
                <w:sz w:val="1"/>
                <w:szCs w:val="1"/>
                <w:color w:val="auto"/>
              </w:rPr>
            </w:pPr>
          </w:p>
        </w:tc>
      </w:tr>
      <w:tr>
        <w:trPr>
          <w:trHeight w:val="200"/>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September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113,373,330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(1,614,997)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3,584,357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(2,744,222)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(763,153)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(833,810)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(1,596,963)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8,440</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(675,823)</w:t>
            </w: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510,743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520,026</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49,139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48,569</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21,859</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Loss on debt financing transactions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(11,331)</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Change in derivatives fair value</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(14,801)</w:t>
            </w:r>
          </w:p>
        </w:tc>
      </w:tr>
      <w:tr>
        <w:trPr>
          <w:trHeight w:val="232"/>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94,490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48,036</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Property charges and other</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146,298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55,416</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cash from changes in: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680"/>
              <w:spacing w:after="0"/>
              <w:rPr>
                <w:sz w:val="20"/>
                <w:szCs w:val="20"/>
                <w:color w:val="auto"/>
              </w:rPr>
            </w:pPr>
            <w:r>
              <w:rPr>
                <w:rFonts w:ascii="Arial" w:cs="Arial" w:eastAsia="Arial" w:hAnsi="Arial"/>
                <w:sz w:val="16"/>
                <w:szCs w:val="16"/>
                <w:color w:val="auto"/>
              </w:rPr>
              <w:t>Receivables, net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(29,513)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9"/>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Inventories, prepaid expenses and other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w:t>
            </w:r>
          </w:p>
        </w:tc>
      </w:tr>
      <w:tr>
        <w:trPr>
          <w:trHeight w:val="213"/>
        </w:trPr>
        <w:tc>
          <w:tcPr>
            <w:tcW w:w="7960" w:type="dxa"/>
            <w:vAlign w:val="bottom"/>
          </w:tcPr>
          <w:p>
            <w:pPr>
              <w:ind w:left="680"/>
              <w:spacing w:after="0"/>
              <w:rPr>
                <w:sz w:val="20"/>
                <w:szCs w:val="20"/>
                <w:color w:val="auto"/>
              </w:rPr>
            </w:pPr>
            <w:r>
              <w:rPr>
                <w:rFonts w:ascii="Arial" w:cs="Arial" w:eastAsia="Arial" w:hAnsi="Arial"/>
                <w:sz w:val="16"/>
                <w:szCs w:val="16"/>
                <w:color w:val="auto"/>
              </w:rPr>
              <w:t>Customer deposits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1,731</w:t>
            </w:r>
          </w:p>
        </w:tc>
      </w:tr>
      <w:tr>
        <w:trPr>
          <w:trHeight w:val="219"/>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(141,050)</w:t>
            </w:r>
          </w:p>
        </w:tc>
      </w:tr>
      <w:tr>
        <w:trPr>
          <w:trHeight w:val="207"/>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806,550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(153,038)</w:t>
            </w: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Capital expenditures, net of construction payables and retention</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(329,428)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(273,251)</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investments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Purchase of intangible and other assets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(62,921)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(10,919)</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assets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7"/>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(1,178,378)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(283,685)</w:t>
            </w: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211,435</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long-term debt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(1,522,812)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(71,019)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(178,624)</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Proceeds from issuance of subsidiary common stock</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2,895</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noncontrolling interest in subsidiary</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50,033</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Distribution to noncontrolling interest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(21,505)</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Finance lease payments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(12,812)</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financing costs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w:t>
            </w:r>
          </w:p>
        </w:tc>
      </w:tr>
      <w:tr>
        <w:trPr>
          <w:trHeight w:val="213"/>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(527,855)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9,441</w:t>
            </w:r>
          </w:p>
        </w:tc>
      </w:tr>
      <w:tr>
        <w:trPr>
          <w:trHeight w:val="207"/>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(3,721)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(1,119)</w:t>
            </w: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b w:val="1"/>
                <w:bCs w:val="1"/>
                <w:color w:val="auto"/>
              </w:rPr>
              <w:t>Decrease in cash, cash equivalents and restricted cash</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(903,404)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(428,401)</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Balance,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3,782,990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2,531,067</w:t>
            </w:r>
          </w:p>
        </w:tc>
      </w:tr>
      <w:tr>
        <w:trPr>
          <w:trHeight w:val="207"/>
        </w:trPr>
        <w:tc>
          <w:tcPr>
            <w:tcW w:w="7960" w:type="dxa"/>
            <w:vAlign w:val="bottom"/>
          </w:tcPr>
          <w:p>
            <w:pPr>
              <w:ind w:left="36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2,879,586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2,102,666</w:t>
            </w:r>
          </w:p>
        </w:tc>
      </w:tr>
      <w:tr>
        <w:trPr>
          <w:trHeight w:val="23"/>
        </w:trPr>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Macau Special Administrative Region ("Macau") of the People's Republic of China ("PRC"),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The Company also holds an approximately 97% interest in, and consolidates, Wynn Interactive Ltd. ("Wynn Interactive"), through which it operates online sports betting, gaming, and social casino businesses.</w:t>
      </w: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2023 are not necessarily indicative of results to be expected for any other interim period or the full fiscal year ending December 31, 2023. These condensed consolidated financial statements should be read in conjunction with the consolidated financial statements and notes thereto in the Company's Annual Report on Form 10-K for the year ended December 31,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17, "Retail Joint Venture." All significant intercompany accounts and transactions have been eliminated. Certain amounts in the condensed consolidated financial statements for the nine months ended September 30, 2022 have been reclassified to be consistent with the current period presentation. These reclassifications had no effect on the previously reported net loss or operating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long-lived and intangible assets, valuations of derivatives, and litigation and contingency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$415.0 million and $105.2 million for the three months ended September 30, 2023 and 2022, respectively, and $1.12 billion and $388.4 million for the nine months ended September 30, 2023 and 2022,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Company's investments include financial assets in the form of interest-bearing fixed deposits, which are recorded at fair value (see Note 10, "Fair Value Measurements"), and debt securities in the form of United States treasury bills. Investments in debt securities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as a separate component of other comprehensive income. Premiums and discounts on debt securities are amortized or accreted into interest income using the effective interest method. All of the Company’s debt securities are classified as held-to-maturity.</w:t>
      </w:r>
    </w:p>
    <w:p>
      <w:pPr>
        <w:spacing w:after="0" w:line="20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September 30, 2023, the Company held $500.0 million in fixed deposits, recorded at fair value, and $291.7 million in debt securities, recorded at amortized cost within Investments on the Condensed Consolidated Balance Sheets. The estimated fair value of the Company's debt securities as of September 30, 2023 was approximately $290.7 million and the gross unrecognized holding loss was $1.0 million. As of September 30, 2023, the Company had $5.2 million in accrued interest on its debt securities, recorded in Investments on the Condensed Consolidated Balance Sheets.</w:t>
      </w:r>
    </w:p>
    <w:p>
      <w:pPr>
        <w:spacing w:after="0" w:line="17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of December 31, 2022, the Company had no investments in fixed deposits or debt securities recorded within Investments on the Condensed Consolidated Balance Sheets.</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and nine months ended September 30, 2023, no impairment was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Company’s management has evaluated the recently issued, but not yet effective, accounting standards that have been issued or proposed by the Financial Accounting Standards Board or other standard-setting bodies through the filing date of these financial statements and does not believe the future adoption of any such pronouncements will have a material effect on the Company’s financial position, results of operations and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1,668,003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1,699,583</w:t>
            </w:r>
          </w:p>
        </w:tc>
      </w:tr>
      <w:tr>
        <w:trPr>
          <w:trHeight w:val="243"/>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1,120,105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1,950,857</w:t>
            </w:r>
          </w:p>
        </w:tc>
      </w:tr>
      <w:tr>
        <w:trPr>
          <w:trHeight w:val="223"/>
        </w:trPr>
        <w:tc>
          <w:tcPr>
            <w:tcW w:w="7960" w:type="dxa"/>
            <w:vAlign w:val="bottom"/>
          </w:tcPr>
          <w:p>
            <w:pPr>
              <w:ind w:left="260"/>
              <w:spacing w:after="0"/>
              <w:rPr>
                <w:sz w:val="20"/>
                <w:szCs w:val="20"/>
                <w:color w:val="auto"/>
              </w:rPr>
            </w:pPr>
            <w:r>
              <w:rPr>
                <w:rFonts w:ascii="Arial" w:cs="Arial" w:eastAsia="Arial" w:hAnsi="Arial"/>
                <w:sz w:val="18"/>
                <w:szCs w:val="18"/>
                <w:b w:val="1"/>
                <w:bCs w:val="1"/>
                <w:color w:val="auto"/>
              </w:rPr>
              <w:t>Total cash and cash equivalents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2,788,108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3,650,440</w:t>
            </w:r>
          </w:p>
        </w:tc>
      </w:tr>
      <w:tr>
        <w:trPr>
          <w:trHeight w:val="24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132,550</w:t>
            </w: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2,879,586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3,782,990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wp:posOffset>
            </wp:positionV>
            <wp:extent cx="2082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220" w:hanging="194"/>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ind w:left="220" w:hanging="194"/>
        <w:spacing w:after="0" w:line="20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ind w:left="240" w:hanging="214"/>
        <w:spacing w:after="0"/>
        <w:tabs>
          <w:tab w:leader="none" w:pos="2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Restricted cash consists of cash subject to certain contractual restrictions, cash collateral associated with obligations and cash held in a trust in accordance with WML's share award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-269875</wp:posOffset>
            </wp:positionV>
            <wp:extent cx="20828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80" w:right="20"/>
        <w:spacing w:after="0" w:line="271" w:lineRule="auto"/>
        <w:rPr>
          <w:sz w:val="20"/>
          <w:szCs w:val="20"/>
          <w:color w:val="auto"/>
        </w:rPr>
      </w:pPr>
      <w:r>
        <w:rPr>
          <w:rFonts w:ascii="Arial" w:cs="Arial" w:eastAsia="Arial" w:hAnsi="Arial"/>
          <w:sz w:val="13"/>
          <w:szCs w:val="13"/>
          <w:color w:val="auto"/>
        </w:rPr>
        <w:t>as of September 30, 2023 and December 31, 2022 included $87.3 million and $124.5 million, respectively, in the form of a first demand bank guarantee in favor of the Macau government to support Wynn Resorts (Macau) S.A.'s legal and contractual obligations through the term of the Gaming Concession Contract (as defined in Note 6, "Goodwill and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supplemental cash flow disclosures of the Company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437,760</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Liability settled with shares of common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9,287</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and construction payables related to property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 xml:space="preserve">Other liabilities related to intangible assets </w:t>
            </w:r>
            <w:r>
              <w:rPr>
                <w:rFonts w:ascii="Arial" w:cs="Arial" w:eastAsia="Arial" w:hAnsi="Arial"/>
                <w:sz w:val="14"/>
                <w:szCs w:val="14"/>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207,106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4,163</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 arising from obtaining finance lease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r>
    </w:tbl>
    <w:p>
      <w:pPr>
        <w:spacing w:after="0" w:line="62" w:lineRule="exact"/>
        <w:rPr>
          <w:sz w:val="20"/>
          <w:szCs w:val="20"/>
          <w:color w:val="auto"/>
        </w:rPr>
      </w:pPr>
    </w:p>
    <w:p>
      <w:pPr>
        <w:ind w:left="180" w:hanging="172"/>
        <w:spacing w:after="0" w:line="293" w:lineRule="auto"/>
        <w:tabs>
          <w:tab w:leader="none" w:pos="228"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nine months ended September 30, 2023, included $204.2 million related to the Macau gaming premium in connection with the Gaming Concession Contract. See Note 6, "Goodwill and Intangible Assets, net" for further information.</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171,893</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35,654</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87,328</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308,985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294,875</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(78,842)</w:t>
            </w:r>
          </w:p>
        </w:tc>
      </w:tr>
      <w:tr>
        <w:trPr>
          <w:trHeight w:val="223"/>
        </w:trPr>
        <w:tc>
          <w:tcPr>
            <w:tcW w:w="79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249,367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216,033</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2023 and December 31, 2022, approximately 66.8% and 57.6%,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1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allowance for casino credit losses was 31.3% and 43.2% of gross casino receivables as of September 30, 2023 and December 31, 2022,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periods presented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11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111,319</w:t>
            </w:r>
          </w:p>
        </w:tc>
        <w:tc>
          <w:tcPr>
            <w:tcW w:w="0" w:type="dxa"/>
            <w:vAlign w:val="bottom"/>
          </w:tcPr>
          <w:p>
            <w:pPr>
              <w:spacing w:after="0"/>
              <w:rPr>
                <w:sz w:val="1"/>
                <w:szCs w:val="1"/>
                <w:color w:val="auto"/>
              </w:rPr>
            </w:pPr>
          </w:p>
        </w:tc>
      </w:tr>
      <w:tr>
        <w:trPr>
          <w:trHeight w:val="230"/>
        </w:trPr>
        <w:tc>
          <w:tcPr>
            <w:tcW w:w="79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29"/>
        </w:trPr>
        <w:tc>
          <w:tcPr>
            <w:tcW w:w="796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 off</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59,618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81,208</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8,360,768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8,363,427</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1,226,090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1,195,717</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3,252,135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3,165,659</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110,623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110,623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112,034</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13,180,745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12,947,460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(6,449,948)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(6,051,400)</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6,730,797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6,896,060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and December 31, 2022, construction in progress consisted primarily of costs capitalized for various capital enhancements at the Company's properties.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expense for the three months ended September 30, 2023 and 2022 was $156.0 million and $161.7 million, respectively, and depreciation expense for the nine months ended September 30, 2023 and 2022 was $465.0 million and $492.1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Goodwill and Intangible Assets, net</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shows the movement in the Company's goodwill and intangible assets balances that occurred during the periods presented (in thousands):</w:t>
      </w: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60" w:type="dxa"/>
            <w:vAlign w:val="bottom"/>
          </w:tcPr>
          <w:p>
            <w:pPr>
              <w:ind w:left="120"/>
              <w:spacing w:after="0"/>
              <w:rPr>
                <w:sz w:val="20"/>
                <w:szCs w:val="20"/>
                <w:color w:val="auto"/>
              </w:rPr>
            </w:pPr>
            <w:r>
              <w:rPr>
                <w:rFonts w:ascii="Arial" w:cs="Arial" w:eastAsia="Arial" w:hAnsi="Arial"/>
                <w:sz w:val="18"/>
                <w:szCs w:val="18"/>
                <w:color w:val="auto"/>
              </w:rPr>
              <w:t>Macau gaming concession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208,810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48,304</w:t>
            </w:r>
          </w:p>
        </w:tc>
      </w:tr>
      <w:tr>
        <w:trPr>
          <w:trHeight w:val="230"/>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(48,304)</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193,149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7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Massachusetts gaming license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117,700</w:t>
            </w: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(27,638)</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84,177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90,062</w:t>
            </w:r>
          </w:p>
        </w:tc>
      </w:tr>
      <w:tr>
        <w:trPr>
          <w:trHeight w:val="270"/>
        </w:trPr>
        <w:tc>
          <w:tcPr>
            <w:tcW w:w="7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7960" w:type="dxa"/>
            <w:vAlign w:val="bottom"/>
          </w:tcPr>
          <w:p>
            <w:pPr>
              <w:ind w:left="120"/>
              <w:spacing w:after="0"/>
              <w:rPr>
                <w:sz w:val="20"/>
                <w:szCs w:val="20"/>
                <w:color w:val="auto"/>
              </w:rPr>
            </w:pPr>
            <w:r>
              <w:rPr>
                <w:rFonts w:ascii="Arial" w:cs="Arial" w:eastAsia="Arial" w:hAnsi="Arial"/>
                <w:sz w:val="18"/>
                <w:szCs w:val="18"/>
                <w:color w:val="auto"/>
              </w:rPr>
              <w:t>Other finite-lived intangible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65,194</w:t>
            </w: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r>
      <w:tr>
        <w:trPr>
          <w:trHeight w:val="223"/>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36,209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56,274</w:t>
            </w:r>
          </w:p>
        </w:tc>
      </w:tr>
      <w:tr>
        <w:trPr>
          <w:trHeight w:val="270"/>
        </w:trPr>
        <w:tc>
          <w:tcPr>
            <w:tcW w:w="79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223"/>
        </w:trPr>
        <w:tc>
          <w:tcPr>
            <w:tcW w:w="7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finite-lived intangible assets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313,535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146,336</w:t>
            </w:r>
          </w:p>
        </w:tc>
      </w:tr>
      <w:tr>
        <w:trPr>
          <w:trHeight w:val="250"/>
        </w:trPr>
        <w:tc>
          <w:tcPr>
            <w:tcW w:w="7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rights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r>
      <w:tr>
        <w:trPr>
          <w:trHeight w:val="223"/>
        </w:trPr>
        <w:tc>
          <w:tcPr>
            <w:tcW w:w="7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indefinite-lived intangible assets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8,397</w:t>
            </w:r>
          </w:p>
        </w:tc>
      </w:tr>
      <w:tr>
        <w:trPr>
          <w:trHeight w:val="250"/>
        </w:trPr>
        <w:tc>
          <w:tcPr>
            <w:tcW w:w="7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129,738</w:t>
            </w: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(72,055)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(37,761)</w:t>
            </w:r>
          </w:p>
        </w:tc>
      </w:tr>
      <w:tr>
        <w:trPr>
          <w:trHeight w:val="223"/>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18,465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90,520</w:t>
            </w:r>
          </w:p>
        </w:tc>
      </w:tr>
      <w:tr>
        <w:trPr>
          <w:trHeight w:val="250"/>
        </w:trPr>
        <w:tc>
          <w:tcPr>
            <w:tcW w:w="79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 goodwill and intangible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340,397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245,253</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Wynn Interactive Goodwill and Finite-Lived Intangible Assets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three months ended September 30, 2023, as a result of the Company's decision to cease operating Wynn Interactive's online sports betting and iGaming platform in certain jurisdictions, the Company identified interim indicators of impairment related to the goodwill assigned to the WynnBET reporting unit within the Wynn Interactive reportable segment. As a result, the Company performed an interim impairment test as of September 30, 2023, and determined that the carrying value of its goodwill exceeded the estimated fair value of that reporting unit based on a combination of the income and cost approaches, causing the Company to recognize a goodwill impairment loss of $72.1 million. As of September 30, 2023, the Company had no remaining goodwill recorded related to the acquisition of BetBull Limited ("BetBull"), a subsidiary of Wynn Interactive. The Company also recognized impairment of other finite-lived intangible assets related to Wynn Interactive's closed operations totaling $21.9 million during the three months ended September 30, 2023.</w:t>
      </w:r>
    </w:p>
    <w:p>
      <w:pPr>
        <w:spacing w:after="0" w:line="2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nine months ended September 30, 2022, the Company identified interim indicators of impairment of Wynn Interactive's BetBull reporting unit following management's decision to cease the operations of BetBull as well as changes in forecasts and other industry-specific factors. After revisiting the estimated fair value of the BetBull reporting units based on a combination of the income and market approaches, the Company recognized impairment of goodwill totaling $37.8 million and impairment of other finite-lived intangible totaling $10.3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Gaming Concession</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December 2022, Wynn Resorts (Macau) S.A. ("Wynn Macau SA"), an indirect subsidiary of Wynn Resorts, Limited,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 Under the terms of the Gaming Concession Contract, Wynn Macau SA is required to pay the Macau government an annual gaming premium consisting of a fixed and a variable portion. The fixed portion of the premium is composed of an annual amount equal to MOP30.0 million (approximately $3.7 million). The variable portion is composed of an annual amount equal to MOP300,000 (approximately $37 thousand) per gaming table located in special gaming halls reserved exclusively to particular games or players, MOP150,000 (approximately $19 thousand) per gaming table that is not reserved exclusively to particular games or players, and MOP1,000 (approximately $124) per gaming machine, including slot machines, operated by Wynn Macau SA.</w:t>
      </w:r>
    </w:p>
    <w:p>
      <w:pPr>
        <w:spacing w:after="0" w:line="19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As the Company expects to continue to operate the casino areas and gaming equipment at its Macau Operations in the same manner as under the previous concession, obtain substantially all of the economic benefits, and bear all of the risks arising from the use of these assets, the Company will continue to recognize the casino areas and gaming equipment as property and equipment over their remaining estimated useful lives. In exchange for the use of such assets, Wynn Macau SA has agreed to make annual payments to the Macau government of MOP53.1 million (approximately $6.6 million) during each of the years ending December 31, 2023, 2024, and 2025, and an annual payment of MOP177.0 million (approximately $21.9 million) during each of the remaining years of the term of the Gaming Concession Contract through December 31, 2032, subject to adjustment in each year based on the average price index in Macau. Pursuant to the Gaming Concession Contract, Wynn Macau SA will revert to the Macau government the casino areas and gaming equipment, without compensation and free of encumbrance upon the rescission or termination of the gaming concession on December 31, 2032.</w:t>
      </w:r>
    </w:p>
    <w:p>
      <w:pPr>
        <w:spacing w:after="0" w:line="21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January 1, 2023, the Company recognized an intangible asset and financial liability of MOP1.68 billion (approximately $208.3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above-described Property Transfer Agreements. The contractually obligated annual variable premium payments associated with the intangible asset was determined using the total number of gaming tables and gaming machines that Wynn Macau SA is currently approved to operate by the Macau government. In the accompanying condensed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$5.2 million in the three months ending December 31, 2023, and $20.9 million each year from 2024 to 2032.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7 -</w:t>
      </w:r>
      <w:r>
        <w:rPr>
          <w:sz w:val="20"/>
          <w:szCs w:val="20"/>
          <w:color w:val="auto"/>
        </w:rPr>
        <w:tab/>
      </w:r>
      <w:r>
        <w:rPr>
          <w:rFonts w:ascii="Arial" w:cs="Arial" w:eastAsia="Arial" w:hAnsi="Arial"/>
          <w:sz w:val="16"/>
          <w:szCs w:val="16"/>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 xml:space="preserve">WM Cayman II Revolver, due 2025 </w:t>
            </w: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1,495,406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1,500,473</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4 7/8% Senior Notes, due 2024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WML 5 1/2% Senior Notes, due 2026</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1/2% Senior Notes, due 2027</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WML 5 5/8% Senior Notes, due 2028</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1,350,000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1/8% Senior Notes, due 2029</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 xml:space="preserve">WML 4 1/2% Convertible Bonds, due 2029 </w:t>
            </w:r>
            <w:r>
              <w:rPr>
                <w:rFonts w:ascii="Arial" w:cs="Arial" w:eastAsia="Arial" w:hAnsi="Arial"/>
                <w:sz w:val="14"/>
                <w:szCs w:val="14"/>
                <w:color w:val="auto"/>
              </w:rPr>
              <w:t>(2)</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WRF Term Loan, due 2024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837,500</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WRF Term Loan, due 2027</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WLV 4 1/4% Senior Notes, due 2023</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1/2% Senior Notes, due 2025</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1,780,000</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WLV 5 1/4% Senior Notes, due 2027</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880,000</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7 3/4% Senior Notes, due 2025</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WRF 5 1/8% Senior Notes, due 2029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7 1/8% Senior Notes, due 2031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(4)</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r>
      <w:tr>
        <w:trPr>
          <w:trHeight w:val="223"/>
        </w:trPr>
        <w:tc>
          <w:tcPr>
            <w:tcW w:w="7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11,835,095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12,162,973</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WML Convertible Bond Conversion Option Derivative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125,752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(46,114)</w:t>
            </w:r>
          </w:p>
        </w:tc>
      </w:tr>
      <w:tr>
        <w:trPr>
          <w:trHeight w:val="223"/>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11,790,831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12,116,859</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(547,543)</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11,678,732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11,569,316</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180" w:hanging="172"/>
        <w:spacing w:after="0" w:line="259" w:lineRule="auto"/>
        <w:tabs>
          <w:tab w:leader="none" w:pos="231"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September 30, 2023, the borrowings under the WM Cayman II Revolver bear interest at the term secured overnight financing rate ("Term SOFR") plus a credit adjustment spread of 0.10% or HIBOR, in each case plus a margin of 1.875% to 2.875% per annum based on WM Cayman II’s leverage ratio on a consolidated basis. Approximately $312.5 million and $1.18 billion of the WM Cayman II Revolver bears interest at a rate of Term SOFR plus 2.1% per year and HIBOR plus 2.0% per year, respectively. As of September 30, 2023, the weighted average interest rate was approximately 7.35%. As of September 30, 2023, the WM Cayman II Revolver was fully drawn.</w:t>
      </w:r>
    </w:p>
    <w:p>
      <w:pPr>
        <w:jc w:val="both"/>
        <w:ind w:left="180" w:hanging="172"/>
        <w:spacing w:after="0" w:line="261" w:lineRule="auto"/>
        <w:tabs>
          <w:tab w:leader="none" w:pos="238"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September 30, 2023, the net carrying amount of the WML Convertible Bonds was $475.1 million, with unamortized debt discount and debt issuance costs of $124.9 million. The Company recorded contractual interest expense of $6.8 million and $15.3 million and amortization of discounts and issuance costs of $4.4 million and $9.7 million during the three and nine months ended September 30, 2023, respectively.</w:t>
      </w:r>
    </w:p>
    <w:p>
      <w:pPr>
        <w:spacing w:after="0" w:line="1" w:lineRule="exact"/>
        <w:rPr>
          <w:rFonts w:ascii="Arial" w:cs="Arial" w:eastAsia="Arial" w:hAnsi="Arial"/>
          <w:sz w:val="14"/>
          <w:szCs w:val="14"/>
          <w:color w:val="auto"/>
        </w:rPr>
      </w:pPr>
    </w:p>
    <w:p>
      <w:pPr>
        <w:ind w:left="180" w:hanging="172"/>
        <w:spacing w:after="0" w:line="251" w:lineRule="auto"/>
        <w:tabs>
          <w:tab w:leader="none" w:pos="22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Term SOFR plus 1.85% per year. As of September 30, 2023, the weighted average interest rate was approximately 7.17%. Additionally, as of September 30, 2023, the available borrowing capacity under the WRF Revolver was $737.0 million, net of $13.0 million in outstanding letters of credit.</w:t>
      </w:r>
    </w:p>
    <w:p>
      <w:pPr>
        <w:jc w:val="both"/>
        <w:ind w:left="180" w:hanging="172"/>
        <w:spacing w:after="0" w:line="272" w:lineRule="auto"/>
        <w:tabs>
          <w:tab w:leader="none" w:pos="22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Retail Term Loan bears interest at a rate of adjusted daily simple secured overnight financing rate ("SOFR") plus 1.80% per year. As of September 30, 2023, the interest rate was 5.47%. On June 2, 2023, the Company entered into a second amendment to the existing term loan agreement which transitions the benchmark interest rate of the Retail Term Loan from LIBOR to SOFR, effective July 3, 2023.</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WM Cayman II Revolver Facility Agreement Amendment</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Due to the global phase out of London Interbank Offered Rate ("LIBOR"), on June 27, 2023, WM Cayman Holdings Limited II, as borrower ("WM Cayman II"), and WML, as guarantor, entered into an Amended and Restated Facility Agreement with Bank of China Limited, Macau Branch, as agent for the syndicate of lenders (as amended and restated, the "Facility Agreement"), to transition the base rate applicable to loans denominated in U.S. dollars made pursuant to the revolving credit facility provided thereunder (the "WM Cayman II Revolver") from LIBOR to Term SOFR. The new Term SOFR base rate became effective July 4,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WM Cayman II Revolver consists of a U.S. dollar tranche in an amount of $312.5 million ("Facility A") and a Hong Kong dollar tranche in an amount of HK$9.26 billion (equivalent to $1.18 billion) ("Facility B"). Pursuant to the Facility Agreement, loans provided under Facility A bear interest at a variable rate per annum equal to: (a) Term SOFR, plus a credit adjustment spread of 0.10% (subject to a minimum floor of 0.00%), plus (b) a margin of 1.875% to 2.875% based on the consolidated leverage ratio of WM Cayman II and its subsidiaries (as calculated pursuant to the Facility Agreement), and loans provided under Facility B bear interest at a variable rate per annum equal to: (i) the Hong Kong Interbank Offered Rate, plus (ii) a margin of 1.875% to 2.875% based on the consolidated leverage ratio of WM Cayman II and its subsidiaries (as calculated pursuant to the Facility Agreement).</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WML 4 1/2% Convertible Bonds, due 2029</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7, 2023, WML completed an offering (the "Offering") of $600 million 4.50% convertible bonds due 2029 (the "WML Convertible Bonds"). The WML Convertible Bonds are governed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$585.9 million. WML intends to use the net proceeds for general corporate purposes.</w:t>
      </w:r>
    </w:p>
    <w:p>
      <w:pPr>
        <w:spacing w:after="0" w:line="21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WML Convertible Bonds bear interest on their outstanding principal amount from and including March 7, 2023 at the rate of 4.50% per annum, payable semi-annually in arrears on March 7 and September 7 of each year. At any time on or after April 17, 2023, the WML Convertible Bonds are convertible at the option of the holder thereof into fully paid ordinary shares of WML, each with a nominal value of HK$0.001 per share ("Ordinary Shares"), at the initial conversion price of approximately HK$10.24 (equivalent to approximately $1.31)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w:t>
      </w:r>
    </w:p>
    <w:p>
      <w:pPr>
        <w:spacing w:after="0" w:line="2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Holders of the WML Convertible Bonds have the option to require WML to redeem all or some only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w:t>
      </w:r>
    </w:p>
    <w:p>
      <w:pPr>
        <w:spacing w:after="0" w:line="2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determined that the conversion feature contained within the WML Convertible Bonds is required to be bifurcated from the debt host contract and accounted for as a free-standing derivative (the "WML Convertible Bond Conversion Option Derivative"). In accordance with applicable accounting standards, the WML Convertible Bond Conversion Option Derivative will be reported at fair value as of the end of each reporting period, with changes recognized in the statements of operations. For more information, see "Note 8 - WML Convertible Bond Conversion Option Derivative." As a result, the Company recognized a debt discount of $123.5 million within Long-term debt, representing the estimated fair value of the holders' conversion option upon completion of the Offering. The debt discount will be amortized to interest expense over the term of the WML Convertible Bonds using the effective interest method. As of September 30, 2023, the estimated fair value of the WML Convertible Bond Conversion Option Derivative was a liability of $125.8 million, recorded within Long-term debt within the accompanying Condensed Consolidated Balance Sheet.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WRF Credit Facility Agreement Amendment</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May 17, 2023, Wynn Resorts Finance, LLC ("WRF") and certain of its subsidiaries entered into an amendment (the "WRF Credit Facility Agreement Amendment") to its existing credit agreement (the "WRF Credit Facility Agreement") among Deutsche Bank AG New York Branch, as administrative agent and collateral agent, and the other lenders party thereto.</w:t>
      </w:r>
    </w:p>
    <w:p>
      <w:pPr>
        <w:spacing w:after="0" w:line="2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WRF Credit Facility Agreement Amendment amends the WRF Credit Facility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 In connection with the WRF Credit Facility Agreement Amendment, the Company recognized a loss on debt financing transactions of $1.2 million within the accompanying Condensed Consolidated Statements of Operations, and the Company recorded debt issuance costs of $5.1 million, within the Condensed Consolidated Balance Sheet.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WRF 7 1/8% Senior Notes, due 2031 and WRF 7 3/4% Senior Notes, due 2025</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February 16, 2023, WRF and its subsidiary Wynn Resorts Capital Corp. (together with WRF, the "WRF Issuers"), each an indirect wholly owned subsidiary of the Company, issued $600.0 million aggregate principal amount of 7 1/8% Senior Notes due 2031 (the "2031 WRF Senior Notes") pursuant to an indenture among the WRF Issuers, the guarantors party thereto, and U.S. Bank Trust Company, National Association, as trustee, in a private offering. The 2031 WRF Senior Notes were issued at par, for proceeds of $596.2 million, net of $3.8 million of related fees and expenses. Also on February 16, 2023, the WRF Issuers completed a cash tender offer for any and all of the outstanding principal amount of the 7 3/4% Senior Notes due 2025 (the "2025 WRF Senior Notes") and accepted for purchase valid tenders with respect to $506.4 million principal amount and paid a tender premium of $12.4 million to the holders of such tendered 2025 WRF Senior Notes. The Company used a portion of the net proceeds from the issuance of the 2031 WRF Senior Notes to purchase such tendered 2025 WRF Senior Notes and to pay the tender premium and related fees and expenses.</w:t>
      </w:r>
    </w:p>
    <w:p>
      <w:pPr>
        <w:spacing w:after="0" w:line="19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April 2023, WRF repurchased all of the outstanding 2025 WRF Senior Notes using the remaining net proceeds from the issuance of the 2031 WRF Senior Notes and cash held by WRF, at a price equal to 101.938% of the principal amount plus accrued interest under the terms of its indenture.</w:t>
      </w:r>
    </w:p>
    <w:p>
      <w:pPr>
        <w:spacing w:after="0" w:line="15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In connection with the issuance of the 2031 WRF Senior Notes and purchase of the 2025 WRF Senior Notes, the Company recognized a loss on debt financing transactions of $10.6 million within the accompanying Condensed Consolidated Statements of Operations, and the Company recorded debt issuance costs of $11.4 million within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WLV 5 1/2% Senior Notes, due 2025</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August 2023, Wynn Las Vegas repurchased $400.0 million aggregate principal amount of its 5 1/2% Senior Notes due 2025 (the "2025 WLV Senior Notes"), at a price equal to 94% of the principal amount, plus accrued interest and an early tender premium of $20.0 million to the holders of validly tendered 2025 WLV Senior Notes. WRF used cash held by Wynn Resorts to purchase such tendered 2025 WLV Senior Notes and to pay the tender premium and related fees and expenses. In connection with the completion of the tender, the Company recognized a gain on debt financing transaction of $2.9 million within the accompanying Condensed Consolidated Statements of Operations.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WLV 4 1/4% Senior Notes, due 2023</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2023, the Company repurchased all of its outstanding Wynn Las Vegas 4 1/4% Senior Notes due 2023, representing an aggregate principal amount of $500.0 million, using cash held by WRF, at a price equal to 100% of the principal amount plus accrued interest under the terms of its indenture. In connection with the repurchase, the Company recognized a loss on debt financing transaction of $1.0 million within the accompanying Condensed Consolidated Statements of Operations.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 Term Loan Second Amendment</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2, 2023, Wynn/CA Plaza Property Owner, LLC and Wynn/CA Property Owner, LLC (collectively, the "Borrowers") entered into a second amendment (the "Retail Term Loan Second Amendment") to their existing term loan agreement (the "Retail Term Loan Agreement"). The Retail Term Loan Second Amendment, which is effective as of July 3, 2023, amends the Retail Term Loan Agreement to transition the benchmark interest rate applicable to the secured loan in an aggregate principal amount of $615.0 million issued to the Borrowers thereunder from LIBOR to SOFR and to make related conforming changes to the Retail Term Loan Agreement.</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Covenant Compliance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2023, management believes the Company was in compliance with all debt covenants.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September 30, 2023 and December 31, 2022, was approximately $11.13 billion and $11.23 billion, respectively, compared to its carrying value, excluding debt issuance costs and original issue discount and premium, of $11.84 billion and $12.16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WML Convertible Bond Conversion Option Derivative</w:t>
      </w:r>
    </w:p>
    <w:p>
      <w:pPr>
        <w:spacing w:after="0" w:line="2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reported at fair value as of the end of each reporting period, with changes recognized in the statements of operations.</w:t>
      </w:r>
    </w:p>
    <w:p>
      <w:pPr>
        <w:spacing w:after="0" w:line="20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WML Convertible Bonds is assumed to be equivalent to their remaining term to maturity. The dividend yield is based on the historical WML dividend rate over the last several years.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inputs to the lattice models that were used to value the embedded derivatives: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2, 2023 (Pricing date)</w:t>
            </w:r>
          </w:p>
        </w:tc>
      </w:tr>
      <w:tr>
        <w:trPr>
          <w:trHeight w:val="26"/>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stock price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HK$</w:t>
            </w:r>
          </w:p>
        </w:tc>
        <w:tc>
          <w:tcPr>
            <w:tcW w:w="1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HK$</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8.08</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Estimated volatility</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33.6 %</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36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bl>
    <w:p>
      <w:pPr>
        <w:spacing w:after="0" w:line="32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the completion of the Offering on March 7,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September 30, 2023, the estimated fair value of the embedded derivative was a liability of $125.8 million, recorded within Long-term debt within the accompanying Condensed Consolidated Balance Sheet. In connection with the change in fair value, the Company recorded a loss of $48.8 million and $2.3 million within Change in derivatives fair value in the accompanying Condensed Consolidated Statements of Operations for the three and nine months ended September 30, 2023,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Deficit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Repurchase Program</w:t>
      </w:r>
    </w:p>
    <w:p>
      <w:pPr>
        <w:spacing w:after="0" w:line="23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April 2016, the Company's board of directors authorized an equity repurchase program of up to $1.00 billion, which may include repurchases by the Company of its common stock from time to time through open market purchases, privately negotiated transactions, and under plans complying with Rules 10b5-1 and 10b-18 under the Securities Exchange Act of 1934, as amended. Any shares repurchased pursuant to the equity repurchase program are held as treasury shares. During the three and nine months ended September 30, 2023, the Company repurchased 596,948 shares of its common stock at an average price of $94.11 per share, for an aggregate cost of $56.2 million under the equity repurchase program. During the three and nine months ended September 30, 2022, the Company repurchased 491,503 and 2,873,431 shares of its common stock, respectively, at average prices of $58.95 and $57.91 per share, respectively, for an aggregate cost of $29.0 million and $166.4 million, respectively, under the equity repurchase program. As of September 30, 2023, the Company had $572.7 million in repurchase authority remaining under the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paid a cash dividend of $0.25 per share in each of the quarters ended June 30, 2023 and September 30, 2023 and recorded $28.5 million and $28.2 million, respectively, against accumulated deficit.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9, 2023, the Company declared a cash dividend of $0.25 per share, payable on November 30, 2023 to stockholders of record as of November 20, 2023.</w:t>
      </w:r>
    </w:p>
    <w:p>
      <w:pPr>
        <w:spacing w:after="0" w:line="197" w:lineRule="exact"/>
        <w:rPr>
          <w:sz w:val="20"/>
          <w:szCs w:val="20"/>
          <w:color w:val="auto"/>
        </w:rPr>
      </w:pPr>
    </w:p>
    <w:p>
      <w:pPr>
        <w:jc w:val="center"/>
        <w:ind w:right="9480"/>
        <w:spacing w:after="0"/>
        <w:rPr>
          <w:sz w:val="20"/>
          <w:szCs w:val="20"/>
          <w:color w:val="auto"/>
        </w:rPr>
      </w:pPr>
      <w:r>
        <w:rPr>
          <w:rFonts w:ascii="Arial" w:cs="Arial" w:eastAsia="Arial" w:hAnsi="Arial"/>
          <w:sz w:val="16"/>
          <w:szCs w:val="16"/>
          <w:i w:val="1"/>
          <w:iCs w:val="1"/>
          <w:color w:val="auto"/>
        </w:rPr>
        <w:t>Noncontrolling Interests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 Joint Venture</w:t>
      </w:r>
    </w:p>
    <w:p>
      <w:pPr>
        <w:spacing w:after="0" w:line="25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nine months ended September 30, 2023 and 2022, the Retail Joint Venture made aggregate distributions of approximately $15.9 million and $21.5 million, respectively, to its non-controlling interest holder. For more information on the Retail Joint Venture, see Note 17, "Retail Joint Venture."</w:t>
      </w:r>
    </w:p>
    <w:p>
      <w:pPr>
        <w:spacing w:after="0" w:line="15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2022, in exchange for cash consideration of $50.0 million, the Company sold to Crown Acquisitions Inc. ("Crown") a 49.9% interest in certain additional retail space contributed by the Company to the Retail Joint Venture. In connection with this transaction, the Company recorded $48.6 million of additional paid-in capital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 million of noncontrolling interest, within Contribution from noncontrolling interest in the accompanying Condensed Consolidated Statement of Stockholders' Deficit for the three months ended March 31, 2022.</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WML Securities Lending Agreement</w:t>
      </w:r>
    </w:p>
    <w:p>
      <w:pPr>
        <w:spacing w:after="0" w:line="25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connection with the WML Convertible Bonds Offering, WM Cayman Holdings I Limited ("WM Cayman I"), a wholly owned subsidiary of the Company and holder of our approximate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On March 6, 2023, the WML Stock Borrower borrowed 459,774,985 ordinary shares of WML under the Securities Lending Agreement and on April 3, 2023 returned 280,000,000 of such shares to WM Cayman I. As of the date of this report, the WML Stock Borrower held 179,774,985 WML shares under the Securities Lending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6"/>
          </w:tcPr>
          <w:p>
            <w:pPr>
              <w:jc w:val="center"/>
              <w:ind w:left="921"/>
              <w:spacing w:after="0"/>
              <w:rPr>
                <w:sz w:val="20"/>
                <w:szCs w:val="20"/>
                <w:color w:val="auto"/>
              </w:rPr>
            </w:pPr>
            <w:r>
              <w:rPr>
                <w:rFonts w:ascii="Arial" w:cs="Arial" w:eastAsia="Arial" w:hAnsi="Arial"/>
                <w:sz w:val="14"/>
                <w:szCs w:val="14"/>
                <w:b w:val="1"/>
                <w:bCs w:val="1"/>
                <w:color w:val="auto"/>
                <w:w w:val="92"/>
              </w:rPr>
              <w:t>Fair Value Measurements Using: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1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1,120,105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1,120,105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Fixed deposits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collar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w w:val="98"/>
              </w:rPr>
              <w:t>WML Convertible Bond Conversion Option Derivative (see Note 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125,752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125,752</w:t>
            </w: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921"/>
              <w:spacing w:after="0"/>
              <w:rPr>
                <w:sz w:val="20"/>
                <w:szCs w:val="20"/>
                <w:color w:val="auto"/>
              </w:rPr>
            </w:pPr>
            <w:r>
              <w:rPr>
                <w:rFonts w:ascii="Arial" w:cs="Arial" w:eastAsia="Arial" w:hAnsi="Arial"/>
                <w:sz w:val="14"/>
                <w:szCs w:val="14"/>
                <w:b w:val="1"/>
                <w:bCs w:val="1"/>
                <w:color w:val="auto"/>
                <w:w w:val="92"/>
              </w:rPr>
              <w:t>Fair Value Measurements Using:</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1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1,950,857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490,683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1,460,174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10,408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Increase /</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rPr>
              <w:t>Increase /</w:t>
            </w: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(decrease)</w:t>
            </w:r>
          </w:p>
        </w:tc>
      </w:tr>
      <w:tr>
        <w:trPr>
          <w:trHeight w:val="162"/>
        </w:trPr>
        <w:tc>
          <w:tcPr>
            <w:tcW w:w="37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Casino outstanding chips and front money</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deposits </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20,818</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r>
      <w:tr>
        <w:trPr>
          <w:trHeight w:val="24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w:t>
            </w:r>
          </w:p>
        </w:tc>
      </w:tr>
      <w:tr>
        <w:trPr>
          <w:trHeight w:val="248"/>
        </w:trPr>
        <w:tc>
          <w:tcPr>
            <w:tcW w:w="3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554,956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541,898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472,193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both"/>
        <w:ind w:left="260" w:hanging="252"/>
        <w:spacing w:after="0" w:line="264" w:lineRule="auto"/>
        <w:tabs>
          <w:tab w:leader="none" w:pos="229" w:val="left"/>
        </w:tabs>
        <w:numPr>
          <w:ilvl w:val="0"/>
          <w:numId w:val="6"/>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1" w:lineRule="exact"/>
        <w:rPr>
          <w:rFonts w:ascii="Arial" w:cs="Arial" w:eastAsia="Arial" w:hAnsi="Arial"/>
          <w:sz w:val="14"/>
          <w:szCs w:val="14"/>
          <w:color w:val="auto"/>
        </w:rPr>
      </w:pPr>
    </w:p>
    <w:p>
      <w:pPr>
        <w:jc w:val="both"/>
        <w:ind w:left="260" w:hanging="252"/>
        <w:spacing w:after="0" w:line="274" w:lineRule="auto"/>
        <w:tabs>
          <w:tab w:leader="none" w:pos="234" w:val="left"/>
        </w:tabs>
        <w:numPr>
          <w:ilvl w:val="0"/>
          <w:numId w:val="6"/>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61"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63"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Rooms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8,238</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29,133</w:t>
            </w: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48,569</w:t>
            </w:r>
          </w:p>
        </w:tc>
      </w:tr>
      <w:tr>
        <w:trPr>
          <w:trHeight w:val="229"/>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capitalized</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50,920</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recorded an income tax benefit of $2.7 million and an expense of $1.4 million for the three months ended September 30, 2023 and 2022, respectively and an income tax expense of $2.6 million and $3.2 million for the nine months ended September 30, 2023 and 2022, respectively. Income tax expense in 2023 primarily relates to U.S. operating profits. Income tax expense in 2022 primarily related to changes in U.S. deferred taxes.</w:t>
      </w:r>
    </w:p>
    <w:p>
      <w:pPr>
        <w:spacing w:after="0" w:line="1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carryback, the reversal of net taxable temporary differences, the duration of statutory carryforward periods and tax planning strategies.</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Given the Company’s current earnings and anticipated future earnings, the Company believes there is a reasonable possibility that within the next 12 months, sufficient positive evidence may become available to reach a conclusion that a portion of the valuation allowance on certain of its U.S. deferred tax assets will no longer be needed.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WRM received an exemption from Macau's 12% Complementary Tax on casino gaming profits (the "Tax Holiday") through December 31, 2022. In December 2022, the Company applied for an exemption from Complementary Tax on casino gaming profits commencing January 1, 2023. The application is subject to approval.</w:t>
      </w:r>
    </w:p>
    <w:p>
      <w:pPr>
        <w:spacing w:after="0" w:line="2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WRM had an agreement with the Macau government that provided for a payment of MOP 12.8 million (approximately $1.6 million) as complementary tax otherwise due by stockholders of WRM through December 31, 2022. The Company is evaluating an extension of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5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as of the date of their issuance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0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w w:val="97"/>
              </w:rPr>
              <w:t>Net income (loss) attributable to Wynn Resorts, Limited - 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(456,267)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 of Wynn Resorts, Limited subsidiaries: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Assumed conversion of WML Convertible Bonds</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5"/>
              </w:rPr>
              <w:t>Net income (loss) attributable to Wynn Resorts, Limited - diluted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(116,678)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(456,267)</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114,061</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Potential dilutive effect of stock options, nonvested, and performance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nonvested shares</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400" w:type="dxa"/>
            <w:vAlign w:val="bottom"/>
          </w:tcPr>
          <w:p>
            <w:pPr>
              <w:ind w:left="120"/>
              <w:spacing w:after="0" w:line="156" w:lineRule="exact"/>
              <w:rPr>
                <w:sz w:val="20"/>
                <w:szCs w:val="20"/>
                <w:color w:val="auto"/>
              </w:rPr>
            </w:pPr>
            <w:r>
              <w:rPr>
                <w:rFonts w:ascii="Arial" w:cs="Arial" w:eastAsia="Arial" w:hAnsi="Arial"/>
                <w:sz w:val="18"/>
                <w:szCs w:val="18"/>
                <w:b w:val="1"/>
                <w:bCs w:val="1"/>
                <w:color w:val="auto"/>
              </w:rPr>
              <w:t>Weighted average common and common equivalent shares</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112,797</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112,709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113,132</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114,061</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20"/>
              <w:spacing w:after="0" w:line="176" w:lineRule="exact"/>
              <w:rPr>
                <w:sz w:val="20"/>
                <w:szCs w:val="20"/>
                <w:color w:val="auto"/>
              </w:rPr>
            </w:pPr>
            <w:r>
              <w:rPr>
                <w:rFonts w:ascii="Arial" w:cs="Arial" w:eastAsia="Arial" w:hAnsi="Arial"/>
                <w:sz w:val="18"/>
                <w:szCs w:val="18"/>
                <w:color w:val="auto"/>
                <w:w w:val="94"/>
              </w:rPr>
              <w:t>Net income (loss) attributable to Wynn Resorts, Limited per common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1"/>
        </w:trPr>
        <w:tc>
          <w:tcPr>
            <w:tcW w:w="5400" w:type="dxa"/>
            <w:vAlign w:val="bottom"/>
          </w:tcPr>
          <w:p>
            <w:pPr>
              <w:ind w:left="220"/>
              <w:spacing w:after="0"/>
              <w:rPr>
                <w:sz w:val="20"/>
                <w:szCs w:val="20"/>
                <w:color w:val="auto"/>
              </w:rPr>
            </w:pPr>
            <w:r>
              <w:rPr>
                <w:rFonts w:ascii="Arial" w:cs="Arial" w:eastAsia="Arial" w:hAnsi="Arial"/>
                <w:sz w:val="18"/>
                <w:szCs w:val="18"/>
                <w:color w:val="auto"/>
              </w:rPr>
              <w:t>share, basic</w:t>
            </w:r>
          </w:p>
        </w:tc>
        <w:tc>
          <w:tcPr>
            <w:tcW w:w="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color w:val="auto"/>
              </w:rPr>
              <w:t>Net income (loss) attributable to Wynn Resorts, Limited per common</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 diluted</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Anti-dilutive stock options, nonvested, and performance nonvested</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shares excluded from the calculation of diluted net income per share</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93,796</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rental income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45,404</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139,200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Litigation Related to Dore</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Wynn Macau SA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Wynn Macau SA, as a gaming concessionaire, should be held responsible for Dore’s conduct on the basis that Wynn Macau SA is responsible for the supervision of Dore’s activities at Wynn Macau that resulted in the purported losses.</w:t>
      </w:r>
    </w:p>
    <w:p>
      <w:pPr>
        <w:spacing w:after="0" w:line="2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believes these cases are without merit and unfounded and intends to vigorously defend against the remaining claims pleaded against Wynn Macau SA in these lawsuits. The Company has made estimates for potential litigation costs based upon its assessment of the likely outcome and has recorded provisions for such amounts in the accompanying condensed consolidated financial statements. No assurances can be provided as to the outcome of the pending Dore cases, and actual results may differ from these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current CEO Craig Billings and the individual directors, and allowing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The parties are now proceeding with discovery.</w:t>
      </w:r>
    </w:p>
    <w:p>
      <w:pPr>
        <w:spacing w:after="0" w:line="20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defendants in this action intend to vigorously defend against the claims pleaded against them and believe that the claims are without merit. This action is in the preliminary stages and the Company has determined that based on proceedings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date, it is currently unable to determine the probability of the outcome of these actions or reasonably estimate the range of possible loss, if 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Retail Joint Venture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2023 and December 31, 2022, the Retail Joint Venture had total assets of $107.7 million and $102.9 million, respectively, and total liabilities of $622.3 million and $620.9 million, respectively. As of September 30, 2023 and December 31, 2022, the Retail Joint Venture's liabilities included long-term debt of $613.9 million and $613.5 million, respectively, net of debt issuance costs, related to the outstanding borrowings under the Retail Term Loan.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19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color w:val="auto"/>
              </w:rPr>
              <w:t>Casino</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418,043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45,361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1,054,007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186,968</w:t>
            </w: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27,813</w:t>
            </w: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24,027</w:t>
            </w:r>
          </w:p>
        </w:tc>
      </w:tr>
      <w:tr>
        <w:trPr>
          <w:trHeight w:val="243"/>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58,416</w:t>
            </w:r>
          </w:p>
        </w:tc>
      </w:tr>
      <w:tr>
        <w:trPr>
          <w:trHeight w:val="223"/>
        </w:trPr>
        <w:tc>
          <w:tcPr>
            <w:tcW w:w="5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524,773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1,362,486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297,224</w:t>
            </w: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Casino</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649,627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165,221</w:t>
            </w: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18,547</w:t>
            </w: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17,878</w:t>
            </w:r>
          </w:p>
        </w:tc>
      </w:tr>
      <w:tr>
        <w:trPr>
          <w:trHeight w:val="243"/>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50,679</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32,405</w:t>
            </w:r>
          </w:p>
        </w:tc>
      </w:tr>
      <w:tr>
        <w:trPr>
          <w:trHeight w:val="223"/>
        </w:trPr>
        <w:tc>
          <w:tcPr>
            <w:tcW w:w="5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827,335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234,051</w:t>
            </w:r>
          </w:p>
        </w:tc>
      </w:tr>
      <w:tr>
        <w:trPr>
          <w:trHeight w:val="223"/>
        </w:trPr>
        <w:tc>
          <w:tcPr>
            <w:tcW w:w="54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819,789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2,189,821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531,275</w:t>
            </w:r>
          </w:p>
        </w:tc>
      </w:tr>
      <w:tr>
        <w:trPr>
          <w:trHeight w:val="250"/>
        </w:trPr>
        <w:tc>
          <w:tcPr>
            <w:tcW w:w="5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Casino</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460,606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393,930</w:t>
            </w: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460,707</w:t>
            </w: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570,695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526,389</w:t>
            </w:r>
          </w:p>
        </w:tc>
      </w:tr>
      <w:tr>
        <w:trPr>
          <w:trHeight w:val="243"/>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211,109</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165,618</w:t>
            </w:r>
          </w:p>
        </w:tc>
      </w:tr>
      <w:tr>
        <w:trPr>
          <w:trHeight w:val="223"/>
        </w:trPr>
        <w:tc>
          <w:tcPr>
            <w:tcW w:w="5420" w:type="dxa"/>
            <w:vAlign w:val="bottom"/>
            <w:tcBorders>
              <w:bottom w:val="single" w:sz="8" w:color="CCEEFF"/>
            </w:tcBorders>
          </w:tcPr>
          <w:p>
            <w:pPr>
              <w:ind w:left="620"/>
              <w:spacing w:after="0"/>
              <w:rPr>
                <w:sz w:val="20"/>
                <w:szCs w:val="20"/>
                <w:color w:val="auto"/>
              </w:rPr>
            </w:pPr>
            <w:r>
              <w:rPr>
                <w:rFonts w:ascii="Arial" w:cs="Arial" w:eastAsia="Arial" w:hAnsi="Arial"/>
                <w:sz w:val="18"/>
                <w:szCs w:val="18"/>
                <w:b w:val="1"/>
                <w:bCs w:val="1"/>
                <w:color w:val="auto"/>
              </w:rPr>
              <w:t>Total Las Vegas Operations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544,389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1,783,802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1,546,644</w:t>
            </w:r>
          </w:p>
        </w:tc>
      </w:tr>
      <w:tr>
        <w:trPr>
          <w:trHeight w:val="250"/>
        </w:trPr>
        <w:tc>
          <w:tcPr>
            <w:tcW w:w="5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Casino</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463,204</w:t>
            </w: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Rooms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61,819</w:t>
            </w: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60,272</w:t>
            </w:r>
          </w:p>
        </w:tc>
      </w:tr>
      <w:tr>
        <w:trPr>
          <w:trHeight w:val="243"/>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30,441</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27,438</w:t>
            </w:r>
          </w:p>
        </w:tc>
      </w:tr>
      <w:tr>
        <w:trPr>
          <w:trHeight w:val="223"/>
        </w:trPr>
        <w:tc>
          <w:tcPr>
            <w:tcW w:w="54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648,641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612,733</w:t>
            </w:r>
          </w:p>
        </w:tc>
      </w:tr>
      <w:tr>
        <w:trPr>
          <w:trHeight w:val="250"/>
        </w:trPr>
        <w:tc>
          <w:tcPr>
            <w:tcW w:w="5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Interactive: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Entertainment, retail and other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61,236</w:t>
            </w:r>
          </w:p>
        </w:tc>
      </w:tr>
      <w:tr>
        <w:trPr>
          <w:trHeight w:val="223"/>
        </w:trPr>
        <w:tc>
          <w:tcPr>
            <w:tcW w:w="54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Wynn Interactive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61,236</w:t>
            </w:r>
          </w:p>
        </w:tc>
      </w:tr>
      <w:tr>
        <w:trPr>
          <w:trHeight w:val="250"/>
        </w:trPr>
        <w:tc>
          <w:tcPr>
            <w:tcW w:w="54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4,691,437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2,751,888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Includes lease revenue accounted for under lease accounting guidance. For more information on leases, see Note 15, "Leases."</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Property EBITDAR </w:t>
            </w:r>
            <w:r>
              <w:rPr>
                <w:rFonts w:ascii="Arial" w:cs="Arial" w:eastAsia="Arial" w:hAnsi="Arial"/>
                <w:sz w:val="14"/>
                <w:szCs w:val="14"/>
                <w:b w:val="1"/>
                <w:bCs w:val="1"/>
                <w:color w:val="auto"/>
              </w:rPr>
              <w:t>(1)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28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(72,622)</w:t>
            </w:r>
          </w:p>
        </w:tc>
      </w:tr>
      <w:tr>
        <w:trPr>
          <w:trHeight w:val="230"/>
        </w:trPr>
        <w:tc>
          <w:tcPr>
            <w:tcW w:w="5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Wynn Macau</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(88,878)</w:t>
            </w:r>
          </w:p>
        </w:tc>
      </w:tr>
      <w:tr>
        <w:trPr>
          <w:trHeight w:val="223"/>
        </w:trPr>
        <w:tc>
          <w:tcPr>
            <w:tcW w:w="52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Macau Operations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656,987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(161,500)</w:t>
            </w:r>
          </w:p>
        </w:tc>
      </w:tr>
      <w:tr>
        <w:trPr>
          <w:trHeight w:val="230"/>
        </w:trPr>
        <w:tc>
          <w:tcPr>
            <w:tcW w:w="5280" w:type="dxa"/>
            <w:vAlign w:val="bottom"/>
          </w:tcPr>
          <w:p>
            <w:pPr>
              <w:ind w:left="200"/>
              <w:spacing w:after="0"/>
              <w:rPr>
                <w:sz w:val="20"/>
                <w:szCs w:val="20"/>
                <w:color w:val="auto"/>
              </w:rPr>
            </w:pPr>
            <w:r>
              <w:rPr>
                <w:rFonts w:ascii="Arial" w:cs="Arial" w:eastAsia="Arial" w:hAnsi="Arial"/>
                <w:sz w:val="18"/>
                <w:szCs w:val="18"/>
                <w:color w:val="auto"/>
              </w:rPr>
              <w:t>Las Vegas Operations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195,760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675,458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581,844</w:t>
            </w:r>
          </w:p>
        </w:tc>
      </w:tr>
      <w:tr>
        <w:trPr>
          <w:trHeight w:val="229"/>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Encore Boston Harbor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180,132</w:t>
            </w:r>
          </w:p>
        </w:tc>
      </w:tr>
      <w:tr>
        <w:trPr>
          <w:trHeight w:val="230"/>
        </w:trPr>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Wynn Interactive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(70,202)</w:t>
            </w:r>
          </w:p>
        </w:tc>
      </w:tr>
      <w:tr>
        <w:trPr>
          <w:trHeight w:val="223"/>
        </w:trPr>
        <w:tc>
          <w:tcPr>
            <w:tcW w:w="52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1,484,565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530,274</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r>
      <w:tr>
        <w:trPr>
          <w:trHeight w:val="229"/>
        </w:trPr>
        <w:tc>
          <w:tcPr>
            <w:tcW w:w="5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510,743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520,026</w:t>
            </w:r>
          </w:p>
        </w:tc>
      </w:tr>
      <w:tr>
        <w:trPr>
          <w:trHeight w:val="23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 and intangible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48,036</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 xml:space="preserve">Property charges and other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132,265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29,326</w:t>
            </w:r>
          </w:p>
        </w:tc>
      </w:tr>
      <w:tr>
        <w:trPr>
          <w:trHeight w:val="23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expenses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70,805</w:t>
            </w:r>
          </w:p>
        </w:tc>
      </w:tr>
      <w:tr>
        <w:trPr>
          <w:trHeight w:val="229"/>
        </w:trPr>
        <w:tc>
          <w:tcPr>
            <w:tcW w:w="52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48,569</w:t>
            </w:r>
          </w:p>
        </w:tc>
      </w:tr>
      <w:tr>
        <w:trPr>
          <w:trHeight w:val="229"/>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Triple-net operating lease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other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467,766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226,525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1,002,119</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730,158</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482,446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(199,884)</w:t>
            </w: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w:t>
            </w:r>
          </w:p>
        </w:tc>
      </w:tr>
      <w:tr>
        <w:trPr>
          <w:trHeight w:val="229"/>
        </w:trPr>
        <w:tc>
          <w:tcPr>
            <w:tcW w:w="5280" w:type="dxa"/>
            <w:vAlign w:val="bottom"/>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(566,554)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(472,265)</w:t>
            </w:r>
          </w:p>
        </w:tc>
      </w:tr>
      <w:tr>
        <w:trPr>
          <w:trHeight w:val="23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w:t>
            </w:r>
          </w:p>
        </w:tc>
      </w:tr>
      <w:tr>
        <w:trPr>
          <w:trHeight w:val="230"/>
        </w:trPr>
        <w:tc>
          <w:tcPr>
            <w:tcW w:w="5280" w:type="dxa"/>
            <w:vAlign w:val="bottom"/>
          </w:tcPr>
          <w:p>
            <w:pPr>
              <w:ind w:left="340"/>
              <w:spacing w:after="0"/>
              <w:rPr>
                <w:sz w:val="20"/>
                <w:szCs w:val="20"/>
                <w:color w:val="auto"/>
              </w:rPr>
            </w:pPr>
            <w:r>
              <w:rPr>
                <w:rFonts w:ascii="Arial" w:cs="Arial" w:eastAsia="Arial" w:hAnsi="Arial"/>
                <w:sz w:val="18"/>
                <w:szCs w:val="18"/>
                <w:color w:val="auto"/>
              </w:rPr>
              <w:t>Gain (loss) on debt financing transactions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(26,090)</w:t>
            </w:r>
          </w:p>
        </w:tc>
      </w:tr>
      <w:tr>
        <w:trPr>
          <w:trHeight w:val="223"/>
        </w:trPr>
        <w:tc>
          <w:tcPr>
            <w:tcW w:w="528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other non-operating income and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(185,885)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(471,432)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(472,691)</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(672,575)</w:t>
            </w:r>
          </w:p>
        </w:tc>
      </w:tr>
      <w:tr>
        <w:trPr>
          <w:trHeight w:val="230"/>
        </w:trPr>
        <w:tc>
          <w:tcPr>
            <w:tcW w:w="5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(675,823)</w:t>
            </w:r>
          </w:p>
        </w:tc>
      </w:tr>
      <w:tr>
        <w:trPr>
          <w:trHeight w:val="230"/>
        </w:trPr>
        <w:tc>
          <w:tcPr>
            <w:tcW w:w="5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219,556</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(456,267)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260" w:hanging="252"/>
        <w:spacing w:after="0" w:line="278" w:lineRule="auto"/>
        <w:tabs>
          <w:tab w:leader="none" w:pos="221"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Property EBITDAR" is net income (loss) before interest, income taxes, depreciation and amortization, pre-opening expenses,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gain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1" w:lineRule="exact"/>
        <w:rPr>
          <w:rFonts w:ascii="Arial" w:cs="Arial" w:eastAsia="Arial" w:hAnsi="Arial"/>
          <w:sz w:val="13"/>
          <w:szCs w:val="13"/>
          <w:color w:val="auto"/>
        </w:rPr>
      </w:pPr>
    </w:p>
    <w:p>
      <w:pPr>
        <w:ind w:left="260" w:right="20" w:hanging="252"/>
        <w:spacing w:after="0" w:line="263" w:lineRule="auto"/>
        <w:tabs>
          <w:tab w:leader="none" w:pos="341"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2023, includes $97.7 million related to the Company's decision to cease operating Wynn Interactive's online sports betting and iGaming platform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2,884,073</w:t>
            </w: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Wynn Macau</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1,712,077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1,430,051</w:t>
            </w:r>
          </w:p>
        </w:tc>
      </w:tr>
      <w:tr>
        <w:trPr>
          <w:trHeight w:val="23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Macau</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268,017</w:t>
            </w:r>
          </w:p>
        </w:tc>
      </w:tr>
      <w:tr>
        <w:trPr>
          <w:trHeight w:val="223"/>
        </w:trPr>
        <w:tc>
          <w:tcPr>
            <w:tcW w:w="774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5,499,925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4,582,141</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3,168,597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2,024,697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2,080,424</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Interactive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213,837</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2,592,427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3,370,101</w:t>
            </w:r>
          </w:p>
        </w:tc>
      </w:tr>
      <w:tr>
        <w:trPr>
          <w:trHeight w:val="248"/>
        </w:trPr>
        <w:tc>
          <w:tcPr>
            <w:tcW w:w="7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13,336,261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13,415,100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unaudited condensed consolidated financial statements and the notes thereto included elsewhere in this Form 10-Q and the audited consolidated financial statements appearing in our Annual Report on Form 10-K for the year ended December 31, 2022.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2022 and other factors we describe from time to time in our periodic filings with the Securities and Exchange Commission ("SEC"), such as:</w:t>
      </w:r>
    </w:p>
    <w:p>
      <w:pPr>
        <w:spacing w:after="0" w:line="214" w:lineRule="exact"/>
        <w:rPr>
          <w:sz w:val="20"/>
          <w:szCs w:val="20"/>
          <w:color w:val="auto"/>
        </w:rPr>
      </w:pPr>
    </w:p>
    <w:p>
      <w:pPr>
        <w:jc w:val="both"/>
        <w:ind w:left="1300" w:hanging="644"/>
        <w:spacing w:after="0" w:line="251"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including the COVID-19 pandemic, public incidents of violence, mass shootings,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ind w:left="1300" w:hanging="644"/>
        <w:spacing w:after="0" w:line="21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investigations, litigation and other disputes;</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key managers and employees;</w:t>
      </w:r>
    </w:p>
    <w:p>
      <w:pPr>
        <w:ind w:left="1300" w:hanging="644"/>
        <w:spacing w:after="0" w:line="226"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deterioration of the macroeconomic environment, including an economic downturn or recession or worsening geopolitical tensions that could reduce discretionary consumer spending;</w:t>
      </w:r>
    </w:p>
    <w:p>
      <w:pPr>
        <w:spacing w:after="0" w:line="1"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 and comply with applicable gaming law;</w:t>
      </w:r>
    </w:p>
    <w:p>
      <w:pPr>
        <w:ind w:left="1300" w:hanging="644"/>
        <w:spacing w:after="0" w:line="226"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relations, national security policies, anticorruption campaigns and other geopolitical events, which may impact the number of visitors to our properties and the amount of money they are willing to spend;</w:t>
      </w:r>
    </w:p>
    <w:p>
      <w:pPr>
        <w:spacing w:after="0" w:line="1"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perception of our resorts and the level of service we provide;</w:t>
      </w:r>
    </w:p>
    <w:p>
      <w:pPr>
        <w:ind w:left="1300" w:hanging="644"/>
        <w:spacing w:after="0" w:line="226"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1" w:lineRule="exact"/>
        <w:rPr>
          <w:rFonts w:ascii="Arial" w:cs="Arial" w:eastAsia="Arial" w:hAnsi="Arial"/>
          <w:sz w:val="18"/>
          <w:szCs w:val="18"/>
          <w:color w:val="auto"/>
        </w:rPr>
      </w:pPr>
    </w:p>
    <w:p>
      <w:pPr>
        <w:ind w:left="1300" w:right="20" w:hanging="644"/>
        <w:spacing w:after="0" w:line="234"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1" w:lineRule="exact"/>
        <w:rPr>
          <w:rFonts w:ascii="Arial" w:cs="Arial" w:eastAsia="Arial" w:hAnsi="Arial"/>
          <w:sz w:val="18"/>
          <w:szCs w:val="18"/>
          <w:color w:val="auto"/>
        </w:rPr>
      </w:pPr>
    </w:p>
    <w:p>
      <w:pPr>
        <w:ind w:left="1300" w:hanging="644"/>
        <w:spacing w:after="0" w:line="21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 rates for our gaming operations;</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construction and regulatory risks associated with our current and future construction projects;</w:t>
      </w:r>
    </w:p>
    <w:p>
      <w:pPr>
        <w:ind w:left="1300" w:hanging="644"/>
        <w:spacing w:after="0" w:line="21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compliance with environmental requirements and potential cleanup responsibility and liability as an owner or operator of property;</w:t>
      </w:r>
    </w:p>
    <w:p>
      <w:pPr>
        <w:spacing w:after="0" w:line="18" w:lineRule="exact"/>
        <w:rPr>
          <w:rFonts w:ascii="Arial" w:cs="Arial" w:eastAsia="Arial" w:hAnsi="Arial"/>
          <w:sz w:val="16"/>
          <w:szCs w:val="16"/>
          <w:color w:val="auto"/>
        </w:rPr>
      </w:pPr>
    </w:p>
    <w:p>
      <w:pPr>
        <w:ind w:left="1300" w:hanging="644"/>
        <w:spacing w:after="0" w:line="21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compliance with the gaming laws or regulations in the various jurisdictions in which we operate;</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or regulations related to taxation, including changes in the rates of taxation;</w:t>
      </w:r>
    </w:p>
    <w:p>
      <w:pPr>
        <w:ind w:left="1300" w:right="20" w:hanging="644"/>
        <w:spacing w:after="0" w:line="226"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collection and use of personal data and our level of compliance with applicable governmental regulations, credit card industry standards and other applicable data security standards;</w:t>
      </w:r>
    </w:p>
    <w:p>
      <w:pPr>
        <w:spacing w:after="0" w:line="1" w:lineRule="exact"/>
        <w:rPr>
          <w:rFonts w:ascii="Arial" w:cs="Arial" w:eastAsia="Arial" w:hAnsi="Arial"/>
          <w:sz w:val="18"/>
          <w:szCs w:val="18"/>
          <w:color w:val="auto"/>
        </w:rPr>
      </w:pPr>
    </w:p>
    <w:p>
      <w:pPr>
        <w:ind w:left="1300" w:hanging="644"/>
        <w:spacing w:after="0" w:line="226"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spacing w:after="0" w:line="1"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actions and other labor problems;</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specifically associated with our Macau Operations;</w:t>
      </w:r>
    </w:p>
    <w:p>
      <w:pPr>
        <w:spacing w:after="0" w:line="11" w:lineRule="exact"/>
        <w:rPr>
          <w:rFonts w:ascii="Arial" w:cs="Arial" w:eastAsia="Arial" w:hAnsi="Arial"/>
          <w:sz w:val="18"/>
          <w:szCs w:val="18"/>
          <w:color w:val="auto"/>
        </w:rPr>
      </w:pPr>
    </w:p>
    <w:p>
      <w:pPr>
        <w:ind w:left="1300" w:hanging="644"/>
        <w:spacing w:after="0" w:line="226"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indebtedness and our ability to meet our debt service obligations (including sensitivity to fluctuations in interest rates); and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compliance with the covenants in our debt agreements</w:t>
      </w:r>
    </w:p>
    <w:p>
      <w:pPr>
        <w:spacing w:after="0" w:line="23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We also hold an approximately 97% interest in, and consolidate, Wynn Interactive Ltd. ("Wynn Interactive"), through which we operate WynnBET, our digital sports betting and casino gaming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9"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08" w:lineRule="exact"/>
        <w:rPr>
          <w:sz w:val="20"/>
          <w:szCs w:val="20"/>
          <w:color w:val="auto"/>
        </w:rPr>
      </w:pPr>
    </w:p>
    <w:p>
      <w:pPr>
        <w:ind w:left="1300" w:hanging="644"/>
        <w:spacing w:after="0" w:line="258"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6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right="1240" w:firstLine="196"/>
        <w:spacing w:after="0" w:line="532" w:lineRule="auto"/>
        <w:tabs>
          <w:tab w:leader="none" w:pos="13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 Below is a discussion of the methodologies used to calculate win percentages at our resorts.</w:t>
      </w: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third quarter 2023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financial results for the periods presented (dollars 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Increase/</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Percent</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1,671,936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889,722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782,214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91"/>
              </w:rPr>
              <w:t>87.9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4,691,437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2,751,888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1,939,549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20"/>
              <w:spacing w:after="0" w:line="189" w:lineRule="exact"/>
              <w:rPr>
                <w:sz w:val="20"/>
                <w:szCs w:val="20"/>
                <w:color w:val="auto"/>
              </w:rPr>
            </w:pPr>
            <w:r>
              <w:rPr>
                <w:rFonts w:ascii="Arial" w:cs="Arial" w:eastAsia="Arial" w:hAnsi="Arial"/>
                <w:sz w:val="18"/>
                <w:szCs w:val="18"/>
                <w:color w:val="auto"/>
              </w:rPr>
              <w:t>attributable to Wynn</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Resorts, Limited</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26,214</w:t>
            </w:r>
          </w:p>
        </w:tc>
        <w:tc>
          <w:tcPr>
            <w:tcW w:w="100" w:type="dxa"/>
            <w:vAlign w:val="bottom"/>
          </w:tcPr>
          <w:p>
            <w:pPr>
              <w:spacing w:after="0"/>
              <w:rPr>
                <w:sz w:val="20"/>
                <w:szCs w:val="20"/>
                <w:color w:val="auto"/>
              </w:rPr>
            </w:pPr>
          </w:p>
        </w:tc>
        <w:tc>
          <w:tcPr>
            <w:tcW w:w="860" w:type="dxa"/>
            <w:vAlign w:val="bottom"/>
          </w:tcPr>
          <w:p>
            <w:pPr>
              <w:jc w:val="center"/>
              <w:ind w:left="297"/>
              <w:spacing w:after="0"/>
              <w:rPr>
                <w:sz w:val="20"/>
                <w:szCs w:val="20"/>
                <w:color w:val="auto"/>
              </w:rPr>
            </w:pPr>
            <w:r>
              <w:rPr>
                <w:rFonts w:ascii="Arial" w:cs="Arial" w:eastAsia="Arial" w:hAnsi="Arial"/>
                <w:sz w:val="18"/>
                <w:szCs w:val="18"/>
                <w:color w:val="auto"/>
                <w:w w:val="93"/>
              </w:rPr>
              <w:t>(18.3)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457,105</w:t>
            </w:r>
          </w:p>
        </w:tc>
        <w:tc>
          <w:tcPr>
            <w:tcW w:w="10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net income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297"/>
              <w:spacing w:after="0"/>
              <w:rPr>
                <w:sz w:val="20"/>
                <w:szCs w:val="20"/>
                <w:color w:val="auto"/>
              </w:rPr>
            </w:pPr>
            <w:r>
              <w:rPr>
                <w:rFonts w:ascii="Arial" w:cs="Arial" w:eastAsia="Arial" w:hAnsi="Arial"/>
                <w:sz w:val="18"/>
                <w:szCs w:val="18"/>
                <w:color w:val="auto"/>
                <w:w w:val="93"/>
              </w:rPr>
              <w:t>(18.9)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increase in operating revenues for the three months ended September 30, 2023 was primarily driven by increases of $449.5 million and $254.6 million from Wynn Palace and Wynn Macau, respectively, resulting from an increase in gaming volumes, hotel occupancy, and covers at restaurants. The results of our Macau Operations for the three months ended September 30, 2022 were negatively impacted by certain travel-related restrictions and conditions, including COVID-19 testing, entry restrictions, and other mitigation procedures, related to the COVID-19 pandemic. Over the course of December 2022 and January 2023, Macau authorities relaxed or eliminated COVID-19 related protective measures. As of the date of this report, there are no remaining entry restrictions or mandatory quarantine requirements in place for travelers to Macau, which resulted in increased business volumes at our Macau Operations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net loss attributable to Wynn Resorts, Limited for the three months ended September 30, 2023 was due to increased operating revenues at our Macau Operations, offset by impairment losses for goodwill and intangible assets related to the Wynn Interactive reportable segment, and losses recorded in connection with changes in the fair value of a derivative instrument.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2023 compared to the three months ended September 30,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449,525</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254,648</w:t>
            </w:r>
          </w:p>
        </w:tc>
        <w:tc>
          <w:tcPr>
            <w:tcW w:w="1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704,173</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29"/>
        </w:trPr>
        <w:tc>
          <w:tcPr>
            <w:tcW w:w="570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618,966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74,577</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Encore Boston Harbor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Wynn Interactive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782,214</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Casino revenues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972,453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359,876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612,577</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Non-casino revenues: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92,126</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42,702</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34,809</w:t>
            </w:r>
          </w:p>
        </w:tc>
        <w:tc>
          <w:tcPr>
            <w:tcW w:w="1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non-casino revenues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699,483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529,846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169,637</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1,671,936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889,722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782,214</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three months ended September 30, 2023 were 58.2% of operating revenues, compared to 40.4% for the same period of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three months ended September 30, 2023 were 41.8% of operating revenues, compared to 59.6% for the same period of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Casino revenues increased primarily due to higher gaming volumes at our Macau Operations following the discontinuation of pandemic-related travel restrictions in Macau in late 2022 and early 2023.</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418,043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372,682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VIP:</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2,866,469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283,744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2,582,725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98,014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18,386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1,725,845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197,066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1,528,779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775.8</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402,285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17,913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634,121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512,599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22,228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16,810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230,294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207,462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VIP:</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1,192,610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152,872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1,039,738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41,995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1,384,258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167,539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1,216,719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228,323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11,423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570,122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193,680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16,143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9,182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4,494</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4,420</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168,130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134,314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33,816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607,610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570,419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37,191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157,873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118,263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1,638,274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1,522,512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115,738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107,575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8,163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5,669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155,986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157,369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343,686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364,844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(21,158)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71,555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2,561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1,336,724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1,288,250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105,330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104,122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5,224</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54,309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47,335</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31,673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27,278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178,518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162,125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24,838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23,718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Room revenues increased $92.1 million, primarily due to higher occupancy and ADR at our Macau Operations.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Food and beverage revenues increased $42.7 million as a result of increased restaurant covers at our Macau Operations.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Entertainment, retail and other revenues increased $34.8 million, primarily due to higher business volumes at our Macau Operations and our Las Vegas Operations, including an increase in revenues of $10.6 million from entertainment venue and convention-related sales at our Las Vegas Operations, and an increase in revenues of $8.0 million and $3.1 million from our leased retail outlets at our Macau Operations and our Las Vegas Operations,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577,733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239,901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337,832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Impairment of goodwill and intangible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93,990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1,609,341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942,713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666,628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total operating expenses was primarily due to increased operating costs associated with higher business volumes at each of our properties and an increase in impairment of goodwill and intangible assets and property charges at Wynn Interactive, as a result of our decision to close its online sports betting and iGaming platform, WynnBET, in certain jurisdictions.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Casino expenses increased $213.3 million and $116.3 million at Wynn Palace and Wynn Macau, respectively. These increases resulted from higher operating costs, including $197.9 million and $109.1 million in incremental gaming tax expense at Wynn Palace and Wynn Macau, respectively, driven by the increase in casino revenues.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Room expenses increased $5.7 million and $3.2 million at our Las Vegas Operations and Wynn Palace, respectively. These increases resulted from higher operating costs related to an increase in room revenues at our Las Vegas Operations and Wynn Palace.</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Food and beverage expenses increased $18.5 million, $11.0 million, and $6.5 million at our Las Vegas Operations, Wynn Palace, and Wynn Macau, respectively. These increases resulted from higher operating costs related to an increase in food and beverage revenues at our Las Vegas Operations, Wynn Palace, and Wynn Macau.</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Entertainment, retail and other expenses increased $8.9 million, $7.6 million, and $2.5 million at our Las Vegas Operations, Wynn Palace, and Wynn Macau, respectively, primarily due to higher operating costs related to increased revenues at our Las Vegas Operations and our Macau Operations. These increases were partially offset by a decrease in marketing and other operational costs of $9.7 million at Wynn Interactive.</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increased primarily due to triple-net operating lease expense of $35.4 million at Encore Boston Harbor following the sale-leaseback transaction in December 2022, an increase of $11.0 million at our Las Vegas Operations attributable to payroll and other general and administrative expenses required to support higher business volumes. In addition, corporate and other general and administrative expenses increased $12.7 million, primarily due to increased development costs.</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September 30, 2023, the Company recognized impairment of goodwill and other finite-lived intangible assets of $72.1 million and $21.9 million, respectively, as a result of our decision to close Wynn Interactive's online sports betting and iGaming platform, WynnBET,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Property charges and other expenses for the three months ended September 30, 2023 consisted primarily of contract termination and other expenses of $97.7 million, as a result of our decision to close Wynn Interactive's online sports betting and iGaming platform, WynnBET, in certain jurisdictions. Property charges and other expenses for the three months ended September 30, 2023 also included other contract terminations and asset abandonments of $9.1 million, $3.4 million, and $1.3 million at Wynn Palace, Wynn Macau, and our Las Vegas Operations, respectively. Property charges and other expenses for the quarter ended September 30, 2022 consisted primarily of asset abandonments of $2.0 million and $1.0 million at Wynn Palace and our Las Vegas Operations, respectively, and other contingency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expense, net of capitalized interest, increased $23.3 million primarily due to an increase in the weighted average total debt balance and an increase in the weighted average interest rate to 6.18% for the three months ended September 30, 2023, from 5.41% for the three months ended September 30, 2022.</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interest income of $46.5 million for the three months ended September 30, 2023 primarily related to interest earned on cash and cash equivalents held at financial institutions.</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incurred a foreign currency remeasurement gain of $3.9 million and a loss of $0.9 million for the three months ended September 30, 2023 and 2022, respectively. The impact of the exchange rate fluctuation of the Macau pataca, in relation to the U.S. dollar, on the remeasurements of U.S. dollar denominated debt and other obligations from our Macau-related entities primarily drove the variability between periods.</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recorded a loss of $50.6 million and a gain of $5.8 million for the three months ended September 30, 2023 and 2022, respectively, from change in derivatives fair value. The change in derivatives fair value for the three months ended September 30, 2023 included a loss of $48.8 million recorded in relation to the conversion feature of the WML Convertible Bonds.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$2.9 million gain on debt financing transactions for the three months ended September 30, 2023, related to the repurchase of the tendered 2025 WLV Senior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recorded an income tax benefit of $2.7 million and an expense of $1.4 million for the three months ended September 30, 2023 and 2022, respectively. Income tax expense in 2023 primarily relates to U.S. operating profits. Income tax expense in 2022 primarily related to changes in U.S. deferred taxes.</w:t>
      </w: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intend to continue to maintain a valuation allowance on our deferred tax assets until there is sufficient evidence to support the reversal of all or some portion of these allowances. However, given our current earnings and anticipated future earnings, we believe there is a reasonable possibility that within the next 12 months, sufficient positive evidence may become available to allow us to reach a conclusion that a portion of the valuation allowance on certain U.S. deferred tax assets will no longer be needed. Release of the valuation allowance would result in the recognition of our deferred tax assets and a decrease to income tax expense for the period the release is recorded. However, the exact timing and amount of the valuation allowance release are uncertain.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loss attributable to noncontrolling interests was $3.9 million and $64.9 million for the three months ended September 30, 2023 and 2022, respectively. These amounts are primarily related to the noncontrolling interests' share of net loss attributable to WML.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2023 compared to the nine months ended September 30,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Macau Operations: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1,065,262</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827,335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593,284</w:t>
            </w:r>
          </w:p>
        </w:tc>
        <w:tc>
          <w:tcPr>
            <w:tcW w:w="1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Macau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2,189,821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1,658,546</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Las Vegas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1,783,802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1,546,644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237,158</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Encore Boston Harbor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35,908</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Wynn Interactive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4,691,437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2,751,888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1,939,549</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Casino revenues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2,652,444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1,209,323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1,443,121</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Non-casino 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568,886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269,486</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128,513</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98,429</w:t>
            </w:r>
          </w:p>
        </w:tc>
        <w:tc>
          <w:tcPr>
            <w:tcW w:w="1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non-casino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2,038,993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1,542,565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496,428</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4,691,437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2,751,888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1,939,549</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nine months ended September 30, 2023 were 56.5% of operating revenues, compared to 43.9% for the same period of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nine months ended September 30, 2023 were 43.5% of operating revenues, compared to 56.1% for the same period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Casino revenues increased primarily due to higher gaming volumes at our Macau Operations following the discontinuation of pandemic-related travel restrictions in Macau in late 2022 and early 2023. The table below sets forth our casino revenues and associated key operating measures (dollars in thousands, except for win per unit per day):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Wynn Palace: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1,054,007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186,968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867,039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8,202,165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1,593,761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6,608,404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289,492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267,139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4,414,990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939,474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3,475,516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968,967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195,205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773,762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1,760,345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502,856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1,257,489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75,236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22,989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52,247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649,627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165,221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484,406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3,727,106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1,341,567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2,385,539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3,597,557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852,832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2,744,725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613,154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135,074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478,080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1,559,698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676,531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47,892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23,902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23,990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13,807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13,673</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9"/>
        </w:trPr>
        <w:tc>
          <w:tcPr>
            <w:tcW w:w="1020" w:type="dxa"/>
            <w:vAlign w:val="bottom"/>
            <w:tcBorders>
              <w:top w:val="single" w:sz="8" w:color="0000FF"/>
            </w:tcBorders>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460,606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393,930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66,676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1,768,057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1,683,317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84,740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431,896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386,306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4,733,534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4,026,675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706,859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325,883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278,250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47,633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Poker rake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16,243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488,204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463,204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1,064,092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1,077,261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(13,169)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230,170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2,547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3,933,388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3,703,990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229,398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316,129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298,842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17,287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Poker rake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16,116</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11,536</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151,311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Wynn Macau:</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79,774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18,547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61,227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541,392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460,707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65,895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61,819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Room revenues increased $269.5 million, primarily due to higher occupancy and ADR at our Macau Operations and our Las Vegas Operations.</w:t>
      </w:r>
    </w:p>
    <w:p>
      <w:pPr>
        <w:spacing w:after="0" w:line="2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revenues increased $128.5 million, primarily due to increased restaurant covers at our Las Vegas Operations and our Macau Operations.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Entertainment, retail and other revenues increased $98.4 million due to higher business volumes across our properties, including an increase in revenues of $31.0 million from entertainment venue and convention-related sales at our Las Vegas Operations and an increase in revenues of $27.2 million from our leased retail outlets at our Macau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operating expenses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Casino</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1,594,761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808,044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786,717</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87,861</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24,182</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187,105</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Impairment of goodwill and intangible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46,454</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102,939</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4,208,991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2,951,772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1,257,219</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total operating expenses was primarily due to increased operating costs associated with higher business volumes at each of our properties and an increase in impairment of goodwill and intangible assets and property charges at Wynn Interactive, as a result of our decision to close its online sports betting and iGaming platform, WynnBET, in certain jurisdictions.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Casino expenses increased $494.7 million and $261.2 million at Wynn Palace and Wynn Macau, respectively. These increases resulted from higher operating costs, including increases of $463.4 million and $250.8 million in incremental gaming tax expense at Wynn Palace and Wynn Macau, respectively, driven by the increase in casino revenues.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expenses increased $18.6 million and $7.8 million at our Las Vegas Operations and Wynn Palace, respectively. These increases resulted from higher operating costs related to an increase in room revenues at our Las Vegas Operations and Wynn Palace.</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Food and beverage expenses increased $49.5 million, $21.3 million, and $12.3 million at our Las Vegas Operations, Wynn Palace, and Wynn Macau, respectively. These increases resulted from higher operating costs related to an increase in food and beverage revenues at our Las Vegas Operations and Wynn Palace.</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Entertainment, retail and other expenses increased $30.8 million at our Las Vegas Operations as a result of higher operating costs associated with live and theatrical entertainment. Entertainment, retail and other expenses also increased $13.5 million at our Macau Operations as a result of higher operating costs associated with increased business volumes. These increases were partially offset by a decrease in marketing and other operational costs of $22.7 million at Wynn Interactive.</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increased primarily due to triple-net operating lease expense of $106.3 million at Encore Boston Harbor following the sale-leaseback transaction in December 2022, an increase of $26.7 million at our Las Vegas Operations attributable to payroll and other general and administrative expenses required to support higher business volumes, and increased corporate and other general and administrative expenses of $37.0 million, primarily due to development costs.</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2023, pre-opening expenses totaled $6.8 million, which primarily related to the launch of sports betting operations in Massachusetts. For the nine months ended September 30, 2022, pre-opening expenses totaled $13.4 million, which primarily related to reconfiguring the theater space at Wynn Las Vegas.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nine months ended September 30, 2023, the Company recognized impairment of goodwill and other finite-lived intangible assets of $72.1 million and $22.4 million, respectively, as a result of our decision to close Wynn Interactive's online sports betting and iGaming platform, WynnBET, in certain jurisdictions. During the nine months ended September 30,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2022, the Company recognized impairment of goodwill and other intangible assets of $37.8 million and $10.3 million, respectively, as a result of changes in forecasts and other industry-specific factors and our decision to cease Wynn Interactive's BetBull operations.</w:t>
      </w:r>
    </w:p>
    <w:p>
      <w:pPr>
        <w:spacing w:after="0" w:line="1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charges and other expenses for the nine months ended September 30, 2023 consisted primarily of contract termination and other expenses of $97.7 million, as a result of our decision to close Wynn Interactive's online sports betting and iGaming platform, WynnBET, in certain jurisdictions. Property charges and other expenses for the nine months ended September 30, 2023 also included other contract terminations of $9.6 million at Wynn Macau, and asset abandonments of $12.2 million and $8.0 million at Wynn Palace and our Las Vegas Operations, respectively. Property charges and other expenses for the nine months ended September 30, 2022 consisted primarily of restructuring costs of $7.1 million related to Wynn Interactive's BetBull operations, as well as other contract termination expenses of $10.7 million and asset abandonments of $2.1 million related to Wynn Interactive, and other contingency expenses of $6.8 million at Wynn Macau.</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expense, net of capitalized interest, increased $94.3 million primarily due to an increase in the weighted average total debt balance and an increase in the weighted average interest rate to 6.08% for the nine months ended September 30, 2023, from 5.20% for the nine months ended September 30, 2022.</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interest income of $130.9 million for the nine months ended September 30, 2023, primarily related to interest earned on cash and cash equivalents held at financial institutions.</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incurred a foreign currency remeasurement loss of $19.8 million and $26.1 million for the nine months ended September 30, 2023 and 2022, respectively. The impact of the exchange rate fluctuation of the Macau pataca, in relation to the U.S. dollar, on the remeasurements of U.S. dollar denominated debt and other obligations from our Macau-related entities primarily drove the variability between periods.</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recorded a loss of $3.3 million and a gain of $14.8 million for the nine months ended September 30, 2023 and 2022, respectively, from change in derivatives fair value. The change in derivatives fair value for the nine months ended September 30, 2023 included a loss of $2.3 million recorded in relation to the conversion feature of the WML Convertible Bonds.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$12.7 million loss on debt financing transactions for the nine months ended September 30, 2023, primarily related to the issuance of the 2031 WRF Senior Notes and the repurchase of the tendered 2025 WRF Senior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recorded income tax expense of $2.6 million and $3.2 million for the nine months ended September 30, 2023 and 2022, respectively. Income tax expense in 2023 primarily relates to U.S. operating profits. Income tax expense in 2022 primarily related to changes in U.S. deferred taxes.</w:t>
      </w:r>
    </w:p>
    <w:p>
      <w:pPr>
        <w:spacing w:after="0" w:line="15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intend to continue to maintain a valuation allowance on our deferred tax assets until there is sufficient evidence to support the reversal of all or some portion of these allowances. However, given our current earnings and anticipated future earnings, we believe there is a reasonable possibility that within the next 12 months, sufficient positive evidence may become available to allow us to reach a conclusion that a portion of the valuation allowance on certain U.S. deferred tax assets will no longer be needed. Release of the valuation allowance would result in the recognition of our deferred tax assets and a decrease to income tax expense for the period the release is recorded. However, the exact timing and amount of the valuation allowance release are uncertain.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income attributable to noncontrolling interests was $7.6 million and net loss attributable to noncontrolling interests was $219.6 million for the nine months ended September 30, 2023 and 2022, respectively. These amounts are primarily related to the noncontrolling interests' share of net income (loss) from WML.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As further described in Item 1—"Notes to Condensed Consolidated Financial Statements," Note 18, "Segment Information," we use Adjusted Property EBITDAR to manage the operating results of our segments. Adjusted Property EBITDAR is net income (loss) before interest, income taxes, depreciation and amortization, pre-opening expenses,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gain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19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following table summarizes Adjusted Property EBITDAR (dollars in thousands) for Wynn Palace, Wynn Macau, Las Vegas Operations, Encore Boston Harbor, and Wynn Interactive as reviewed by management and summarized in Item 1—"Notes to Condensed Consolidated Financial Statements," Note 18, "Segment Information." That footnote also presents a reconciliation of Adjusted Property EBITDAR to net income (loss) attributable to Wynn Resorts, Limited.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September 30,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5"/>
          </w:tcPr>
          <w:p>
            <w:pPr>
              <w:ind w:left="100"/>
              <w:spacing w:after="0"/>
              <w:rPr>
                <w:sz w:val="20"/>
                <w:szCs w:val="20"/>
                <w:color w:val="auto"/>
              </w:rPr>
            </w:pPr>
            <w:r>
              <w:rPr>
                <w:rFonts w:ascii="Arial" w:cs="Arial" w:eastAsia="Arial" w:hAnsi="Arial"/>
                <w:sz w:val="13"/>
                <w:szCs w:val="13"/>
                <w:b w:val="1"/>
                <w:bCs w:val="1"/>
                <w:color w:val="auto"/>
              </w:rPr>
              <w:t>Nine Months Ended September 30,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ind w:left="200"/>
              <w:spacing w:after="0" w:line="126" w:lineRule="exact"/>
              <w:rPr>
                <w:sz w:val="20"/>
                <w:szCs w:val="20"/>
                <w:color w:val="auto"/>
              </w:rPr>
            </w:pPr>
            <w:r>
              <w:rPr>
                <w:rFonts w:ascii="Arial" w:cs="Arial" w:eastAsia="Arial" w:hAnsi="Arial"/>
                <w:sz w:val="14"/>
                <w:szCs w:val="14"/>
                <w:b w:val="1"/>
                <w:bCs w:val="1"/>
                <w:color w:val="auto"/>
              </w:rPr>
              <w:t>Percent</w:t>
            </w: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Increase/</w:t>
            </w:r>
          </w:p>
        </w:tc>
        <w:tc>
          <w:tcPr>
            <w:tcW w:w="860" w:type="dxa"/>
            <w:vAlign w:val="bottom"/>
          </w:tcPr>
          <w:p>
            <w:pPr>
              <w:jc w:val="right"/>
              <w:ind w:right="122"/>
              <w:spacing w:after="0" w:line="126"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Wynn Palace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198,856</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NM  $</w:t>
            </w:r>
          </w:p>
        </w:tc>
        <w:tc>
          <w:tcPr>
            <w:tcW w:w="1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444,713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(72,622)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Arial" w:cs="Arial" w:eastAsia="Arial" w:hAnsi="Arial"/>
                <w:sz w:val="16"/>
                <w:szCs w:val="16"/>
                <w:color w:val="auto"/>
              </w:rPr>
              <w:t>Wynn Macau</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121,745</w:t>
            </w:r>
          </w:p>
        </w:tc>
        <w:tc>
          <w:tcPr>
            <w:tcW w:w="100" w:type="dxa"/>
            <w:vAlign w:val="bottom"/>
          </w:tcPr>
          <w:p>
            <w:pPr>
              <w:spacing w:after="0"/>
              <w:rPr>
                <w:sz w:val="18"/>
                <w:szCs w:val="18"/>
                <w:color w:val="auto"/>
              </w:rPr>
            </w:pPr>
          </w:p>
        </w:tc>
        <w:tc>
          <w:tcPr>
            <w:tcW w:w="1140" w:type="dxa"/>
            <w:vAlign w:val="bottom"/>
            <w:gridSpan w:val="3"/>
          </w:tcPr>
          <w:p>
            <w:pPr>
              <w:ind w:left="580"/>
              <w:spacing w:after="0"/>
              <w:rPr>
                <w:sz w:val="20"/>
                <w:szCs w:val="20"/>
                <w:color w:val="auto"/>
              </w:rPr>
            </w:pPr>
            <w:r>
              <w:rPr>
                <w:rFonts w:ascii="Arial" w:cs="Arial" w:eastAsia="Arial" w:hAnsi="Arial"/>
                <w:sz w:val="16"/>
                <w:szCs w:val="16"/>
                <w:color w:val="auto"/>
              </w:rPr>
              <w:t>NM</w:t>
            </w:r>
          </w:p>
        </w:tc>
        <w:tc>
          <w:tcPr>
            <w:tcW w:w="1000" w:type="dxa"/>
            <w:vAlign w:val="bottom"/>
          </w:tcPr>
          <w:p>
            <w:pPr>
              <w:ind w:left="400"/>
              <w:spacing w:after="0"/>
              <w:rPr>
                <w:sz w:val="20"/>
                <w:szCs w:val="20"/>
                <w:color w:val="auto"/>
              </w:rPr>
            </w:pPr>
            <w:r>
              <w:rPr>
                <w:rFonts w:ascii="Arial" w:cs="Arial" w:eastAsia="Arial" w:hAnsi="Arial"/>
                <w:sz w:val="16"/>
                <w:szCs w:val="16"/>
                <w:color w:val="auto"/>
              </w:rPr>
              <w:t>212,274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300"/>
              <w:spacing w:after="0"/>
              <w:rPr>
                <w:sz w:val="20"/>
                <w:szCs w:val="20"/>
                <w:color w:val="auto"/>
              </w:rPr>
            </w:pPr>
            <w:r>
              <w:rPr>
                <w:rFonts w:ascii="Arial" w:cs="Arial" w:eastAsia="Arial" w:hAnsi="Arial"/>
                <w:sz w:val="16"/>
                <w:szCs w:val="16"/>
                <w:color w:val="auto"/>
                <w:w w:val="93"/>
              </w:rPr>
              <w:t>(88,878)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301,152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Las Vegas Operations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675,458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581,844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93,614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Arial" w:cs="Arial" w:eastAsia="Arial" w:hAnsi="Arial"/>
                <w:sz w:val="16"/>
                <w:szCs w:val="16"/>
                <w:color w:val="auto"/>
              </w:rPr>
              <w:t>Encore Boston Harbor</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60,498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400"/>
              <w:spacing w:after="0"/>
              <w:rPr>
                <w:sz w:val="20"/>
                <w:szCs w:val="20"/>
                <w:color w:val="auto"/>
              </w:rPr>
            </w:pPr>
            <w:r>
              <w:rPr>
                <w:rFonts w:ascii="Arial" w:cs="Arial" w:eastAsia="Arial" w:hAnsi="Arial"/>
                <w:sz w:val="16"/>
                <w:szCs w:val="16"/>
                <w:color w:val="auto"/>
              </w:rPr>
              <w:t>193,016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280"/>
              <w:spacing w:after="0"/>
              <w:rPr>
                <w:sz w:val="20"/>
                <w:szCs w:val="20"/>
                <w:color w:val="auto"/>
              </w:rPr>
            </w:pPr>
            <w:r>
              <w:rPr>
                <w:rFonts w:ascii="Arial" w:cs="Arial" w:eastAsia="Arial" w:hAnsi="Arial"/>
                <w:sz w:val="16"/>
                <w:szCs w:val="16"/>
                <w:color w:val="auto"/>
              </w:rPr>
              <w:t>180,132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12,884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Wynn Interactive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3"/>
              </w:rPr>
              <w:t>(40,896)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(70,202)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Adjusted Property EBITDAR at Wynn Palace and Wynn Macau increased $198.9 million and $121.7 million for the three months ended September 30, 2023, respectively, and $517.3 million and $301.2 million for the nine months ended September 30, 2023, respectively, primarily due to an increase in operating revenues of $449.5 million and $254.6 million for the three months ended September 30, 2023, respectively, and $1.07 billion and $593.3 million for the nine months ended September 30, 2023, respectively, partially offset by an increase in operating expenses. Our Macau Operations for the three and nine months ended September 30, 2022 were negatively impacted by certain travel-related restrictions and conditions related to the COVID-19 pandemic. Over the course of December 2022 and January 2023, the Macau authorities relaxed or eliminated COVID-19 related protective measures, which resulted in increased business volumes at our Macau Operations for the three and nine months ended September 30, 2023.</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EBITDAR at our Las Vegas Operations increased $24.0 million for the three months ended September 30, 2023, primarily due to an increase in operating revenues, partially off by an increase in operating expenses. Adjusted Property EBITDAR at our Las Vegas Operations increased $93.6 million for the nine months ended September 30, 2023, primarily due to an increase in revenues from casino, hotel, and food and beverage operations, partially offset by increased operating expenses.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Adjusted Property EBITDAR at Encore Boston Harbor increased $12.9 million for the nine months ended September 30, 2023, primarily due to an increase in revenues from casino operations, partially offset by increased operating expenses.</w:t>
      </w:r>
    </w:p>
    <w:p>
      <w:pPr>
        <w:spacing w:after="0" w:line="19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Adjusted Property EBITDAR at Wynn Interactive increased $12.9 million and $29.3 million for the three and nine months ended September 30, 2023, respectively, primarily due to a decrease in marketing and promotional expense.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9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806,550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(153,038)</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Capital expenditures, net of construction payables and retention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(329,428)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(273,251)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investments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Purchase of intangible and other assets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assets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(1,178,378)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(283,685)</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211,435</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(1,522,812)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(178,624)</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subsidiary common stock</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Proceeds from sale of noncontrolling interest in subsidiary</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50,033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to noncontrolling interest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payments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Payments for financing costs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(527,855)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9,441</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(428,401)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0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nine months ended September 30, 2023, the increase in cash flows from operating activities was primarily due to increased revenues from our Macau Operations and our Las Vegas Operations, which was partially offset by an increase in operating expenses associated with higher business volumes. During the nine months ended September 30, 2022, the decrease in net cash used in operating activities was primarily due to increased revenues from our Las Vegas Operations and Encore Boston Harbor, which was partially offset by decreases in revenues from Wynn Palace and Wynn Macau.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19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nine months ended September 30, 2023, we incurred capital expenditures of $137.7 million at our Las Vegas Operations, $56.5 million at Encore Boston Harbor, $38.1 million at Wynn Palace, and $18.8 million at Wynn Macau primarily related to maintenance capital expenditures, and $78.4 million at Corporate and other primarily related to future development projects. In addition, during the nine months ended September 30, 2023, we purchased $786.5 million in investments, comprised of United States treasury bills and fixed deposits maturing in less than one year.</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nine months ended September 30, 2022, we incurred capital expenditures of $214.1 million at our Las Vegas Operations primarily related to the Wynn Las Vegas room remodel and theater reconfiguration, and $14.7 million at Encore Boston Harbor, $27.9 million at Wynn Palace, and $9.6 million at Wynn Macau primarily related to maintenance capital expenditures.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During the nine months ended September 30, 2023, the cash flows from financing activities was primarily due to the following debt issuances, repayments, and repurchases (in thousands):</w:t>
      </w: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7"/>
              </w:rPr>
              <w:t>Proceeds from issuance</w:t>
            </w:r>
          </w:p>
        </w:tc>
        <w:tc>
          <w:tcPr>
            <w:tcW w:w="200" w:type="dxa"/>
            <w:vAlign w:val="bottom"/>
          </w:tcPr>
          <w:p>
            <w:pPr>
              <w:spacing w:after="0"/>
              <w:rPr>
                <w:sz w:val="12"/>
                <w:szCs w:val="12"/>
                <w:color w:val="auto"/>
              </w:rPr>
            </w:pPr>
          </w:p>
        </w:tc>
        <w:tc>
          <w:tcPr>
            <w:tcW w:w="140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w w:val="98"/>
              </w:rPr>
              <w:t>Repayments and</w:t>
            </w:r>
          </w:p>
        </w:tc>
        <w:tc>
          <w:tcPr>
            <w:tcW w:w="0" w:type="dxa"/>
            <w:vAlign w:val="bottom"/>
          </w:tcPr>
          <w:p>
            <w:pPr>
              <w:spacing w:after="0"/>
              <w:rPr>
                <w:sz w:val="1"/>
                <w:szCs w:val="1"/>
                <w:color w:val="auto"/>
              </w:rPr>
            </w:pPr>
          </w:p>
        </w:tc>
      </w:tr>
      <w:tr>
        <w:trPr>
          <w:trHeight w:val="192"/>
        </w:trPr>
        <w:tc>
          <w:tcPr>
            <w:tcW w:w="794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54"/>
              <w:spacing w:after="0"/>
              <w:rPr>
                <w:sz w:val="20"/>
                <w:szCs w:val="20"/>
                <w:color w:val="auto"/>
              </w:rPr>
            </w:pPr>
            <w:r>
              <w:rPr>
                <w:rFonts w:ascii="Arial" w:cs="Arial" w:eastAsia="Arial" w:hAnsi="Arial"/>
                <w:sz w:val="14"/>
                <w:szCs w:val="14"/>
                <w:b w:val="1"/>
                <w:bCs w:val="1"/>
                <w:color w:val="auto"/>
              </w:rPr>
              <w:t>repurchases</w:t>
            </w:r>
          </w:p>
        </w:tc>
        <w:tc>
          <w:tcPr>
            <w:tcW w:w="0" w:type="dxa"/>
            <w:vAlign w:val="bottom"/>
          </w:tcPr>
          <w:p>
            <w:pPr>
              <w:spacing w:after="0"/>
              <w:rPr>
                <w:sz w:val="1"/>
                <w:szCs w:val="1"/>
                <w:color w:val="auto"/>
              </w:rPr>
            </w:pPr>
          </w:p>
        </w:tc>
      </w:tr>
      <w:tr>
        <w:trPr>
          <w:trHeight w:val="229"/>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WRF 7 1/8% Senior Notes, due 2031</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WML 4 1/2% Convertible Bonds, due 2029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7 3/4% Senior Notes, due 2025</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WLV 4 1/4% Senior Notes, due 2023</w:t>
            </w:r>
          </w:p>
        </w:tc>
        <w:tc>
          <w:tcPr>
            <w:tcW w:w="4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1/2% Senior Notes, due 2025</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399,999</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WRF Term Loan, due 2024</w:t>
            </w:r>
          </w:p>
        </w:tc>
        <w:tc>
          <w:tcPr>
            <w:tcW w:w="4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1,522,812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during the nine months ended September 30, 2023, we repurchased 596,948 shares of our common stock for approximately $56.2 million. We also made dividend payments of $56.7 million, paid $41.2 million for financing costs related to the financing activities above and used cash of $15.9 million for distributions to noncontrolling interest holders of the Retail Joint Venture.</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nine months ended September 30, 2022, we repurchased 2,873,431 shares of our common stock for approximately $166.4 million. We also borrowed $211.4 million under the WM Cayman II Revolver and made quarterly amortization payments under the WRF Term Loan totaling $37.5 million. In addition, we received a $50.0 million contribution from a noncontrolling interest holder in exchange for a 49.9% interest in certain retail space contributed by the Company to the Retail Joint Venture and used cash of $21.5 million for distributions to noncontrolling interest holders of the Retail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right="20" w:firstLine="405"/>
        <w:spacing w:after="0" w:line="269" w:lineRule="auto"/>
        <w:rPr>
          <w:sz w:val="20"/>
          <w:szCs w:val="20"/>
          <w:color w:val="auto"/>
        </w:rPr>
      </w:pPr>
      <w:r>
        <w:rPr>
          <w:rFonts w:ascii="Arial" w:cs="Arial" w:eastAsia="Arial" w:hAnsi="Arial"/>
          <w:sz w:val="18"/>
          <w:szCs w:val="18"/>
          <w:color w:val="auto"/>
        </w:rPr>
        <w:t>The following table summarizes our unrestricted cash and cash equivalents, investments, and available revolver borrowing capacity presented by significant financing entity as of September 30, 2023 (in thousands):</w:t>
      </w:r>
    </w:p>
    <w:tbl>
      <w:tblPr>
        <w:tblLayout w:type="fixed"/>
        <w:tblInd w:w="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Total Cash and Cash</w:t>
            </w:r>
          </w:p>
        </w:tc>
        <w:tc>
          <w:tcPr>
            <w:tcW w:w="22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12"/>
                <w:szCs w:val="12"/>
                <w:b w:val="1"/>
                <w:bCs w:val="1"/>
                <w:color w:val="auto"/>
              </w:rPr>
              <w:t>(1)</w:t>
            </w:r>
          </w:p>
        </w:tc>
        <w:tc>
          <w:tcPr>
            <w:tcW w:w="140" w:type="dxa"/>
            <w:vAlign w:val="bottom"/>
          </w:tcPr>
          <w:p>
            <w:pPr>
              <w:spacing w:after="0"/>
              <w:rPr>
                <w:sz w:val="12"/>
                <w:szCs w:val="12"/>
                <w:color w:val="auto"/>
              </w:rPr>
            </w:pPr>
          </w:p>
        </w:tc>
        <w:tc>
          <w:tcPr>
            <w:tcW w:w="146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4"/>
              </w:rPr>
              <w:t>Revolver Borrowing</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Equivalents</w:t>
            </w: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436"/>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22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Macau, Limited and subsidiaries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646,187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Wynn Resorts Finance, LLC </w:t>
            </w: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651,544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736,985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Resorts, Limited and other</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936,683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2,788,108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791,676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736,985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Investments consist of investments in United States treasury bills and fixed deposits maturing in less than one year.</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Excluding Wynn Macau, Limited and subsidiaries.</w:t>
      </w:r>
    </w:p>
    <w:p>
      <w:pPr>
        <w:spacing w:after="0" w:line="25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Wynn Macau, Limited and subsidiaries</w:t>
      </w:r>
      <w:r>
        <w:rPr>
          <w:rFonts w:ascii="Arial" w:cs="Arial" w:eastAsia="Arial" w:hAnsi="Arial"/>
          <w:sz w:val="18"/>
          <w:szCs w:val="18"/>
          <w:color w:val="auto"/>
        </w:rPr>
        <w:t>. WML generates cash from our Macau Operations. We expect to use this cash to fund working capital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 requirements at WML and our Macau Operations, and to service our WML Senior Notes, WM Cayman II Revolver, and WML Convertible Bonds. WML paid no dividends during 2022 or the nine months ended September 30, 2023.</w:t>
      </w:r>
    </w:p>
    <w:p>
      <w:pPr>
        <w:spacing w:after="0" w:line="2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Pursuant to the amended and restated facility agreement dated June 27, 2023, the base rate applicable to loans denominated in U.S. dollars made pursuant to the WM Cayman II Revolver transitioned to the term secured overnight financing rate ("Term SOFR"), plus a credit adjustment spread of 0.10%, plus (b) a margin of 1.875% to 2.875% per annum based on WM Cayman II’s leverage ratio on a consolidated basis. The new Term SOFR base rate became effective July 4, 2023. The loans denominated in Hong Kong dollars under the WM Cayman II Revolver bear interest at HIBOR plus a margin of 1.875% to 2.875% per annum based on WM Cayman II's leverage ratio on consolidated basis. The final maturity of all outstanding loans under the Revolving Facility remains unchanged at September 16, 2025. </w:t>
      </w:r>
      <w:r>
        <w:rPr>
          <w:rFonts w:ascii="Arial" w:cs="Arial" w:eastAsia="Arial" w:hAnsi="Arial"/>
          <w:sz w:val="17"/>
          <w:szCs w:val="17"/>
          <w:color w:val="242424"/>
        </w:rPr>
        <w:t>WML</w:t>
      </w:r>
      <w:r>
        <w:rPr>
          <w:rFonts w:ascii="Arial" w:cs="Arial" w:eastAsia="Arial" w:hAnsi="Arial"/>
          <w:sz w:val="17"/>
          <w:szCs w:val="17"/>
          <w:color w:val="auto"/>
        </w:rPr>
        <w:t>, as guarantor, may be subject to certain restrictions on payments of dividends or distributions to its shareholders, unless certain financial criteria have been satisfied.</w:t>
      </w:r>
    </w:p>
    <w:p>
      <w:pPr>
        <w:spacing w:after="0" w:line="2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7, 2023, WML completed an offering (the "Offering") of $600.0 million 4.50% convertible bonds due 2029 (the "WML Convertible Bonds"). The WML Convertible Bonds are governed by a trust deed dated March 7, 2023 (the "Trust Deed"). The net proceeds from the Offering, after deduction of commission and other related expenses, were $585.9 million. WML intends to use the proceeds for general corporate purposes. The WML Convertible Bonds bear interest on their outstanding principal amount from and including March 7, 2023 at the rate of 4.50% per annum.</w:t>
      </w:r>
    </w:p>
    <w:p>
      <w:pPr>
        <w:spacing w:after="0" w:line="19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WML Convertible Bonds are convertible at the option of the holder thereof into fully paid ordinary shares of WML, at the initial conversion price of approximately HK$10.24 (equivalent to approximately $1.31) per share, subject to and upon compliance with the terms and conditions of the WML Convertible Bonds (the "Terms and Conditions," and such right, the "Conversion Right"). The conversion price is at the fixed rate of HK$7.8497 (equivalent to US$1.00), subject to standard adjustments for certain dilutive events as described in the Terms and Conditions. WML has the option, in its sole discretion, to pay to the relevant bondholder an amount of cash equivalent in order to satisfy the Conversion Right in whole or in part.</w:t>
      </w:r>
    </w:p>
    <w:p>
      <w:pPr>
        <w:spacing w:after="0" w:line="20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holders of the WML Convertible Bonds have the option to require WML to redeem all or some only of such holder’s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 The WML Convertible Bonds may also be redeemed at the option of WML in whole, but not in part, at any time after March 7, 2027, but prior to March 7, 2029, upon giving notice to the bondholders in accordance with the Terms and Conditions, under certain circumstances specified in the Trust Deed.</w:t>
      </w:r>
    </w:p>
    <w:p>
      <w:pPr>
        <w:spacing w:after="0" w:line="19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September 30, 2023, it would be subject to minimal U.S. taxes in the year of repatriation.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 xml:space="preserve">Wynn Resorts Finance, LLC and subsidiaries. </w:t>
      </w:r>
      <w:r>
        <w:rPr>
          <w:rFonts w:ascii="Arial" w:cs="Arial" w:eastAsia="Arial" w:hAnsi="Arial"/>
          <w:sz w:val="16"/>
          <w:szCs w:val="16"/>
          <w:color w:val="auto"/>
        </w:rPr>
        <w:t>Wynn Resorts Finance, LLC ("WRF" or "Wynn Resorts Finance") generates cash from distributions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pacing w:after="0" w:line="18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jc w:val="both"/>
        <w:ind w:firstLine="405"/>
        <w:spacing w:after="0" w:line="287" w:lineRule="auto"/>
        <w:rPr>
          <w:sz w:val="20"/>
          <w:szCs w:val="20"/>
          <w:color w:val="auto"/>
        </w:rPr>
      </w:pPr>
      <w:r>
        <w:rPr>
          <w:rFonts w:ascii="Arial" w:cs="Arial" w:eastAsia="Arial" w:hAnsi="Arial"/>
          <w:sz w:val="16"/>
          <w:szCs w:val="16"/>
          <w:color w:val="auto"/>
        </w:rPr>
        <w:t>On February 16, 2023, WRF and its subsidiary Wynn Resorts Capital Corp. (together with WRF, the "WRF Issuers") issued $600.0 million aggregate principal amount of 7 1/8% Senior Notes due 2031 (the "2031 WRF Senior Notes") in a private offering. The 2031 WRF Senior Notes were issued at par, for proceeds of $596.2 million, net of $3.8 million of related fees and expenses. Also on February 16, 2023, WRF completed a cash tender offer for any and all of the outstanding principal amount of the 2025 WRF Senior Notes, and accepted for purchase valid tenders with respect to $506.4 million and paid a tender premium of $12.4 million. We used a portion of the net proceeds from the offering of the 2031 WRF Senior Notes to purchase such tendered 2025 WRF Senior Notes and to pay related fees and expenses, and intend to use the remaining net proceeds for general corporate purposes. In April 2023, we repurchased the remaining outstanding 2025 WRF Senior Notes using the remaining net proceeds from the issuance of the 2031 WRF Senior Notes and cash held by WRF, at a price equal to 101.938% of the principal amount plus accrued interest under the terms of its indenture.</w:t>
      </w:r>
    </w:p>
    <w:p>
      <w:pPr>
        <w:spacing w:after="0" w:line="197"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In March 2023, we repurchased all of the outstanding Wynn Las Vegas 4.25% Senior Notes due 2023 of $500.0 million using cash held by WRF, at a price equal to 100% of the principal amount plus accrued interest under the terms of their indenture.</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May 17, 2023, WRF and certain of its subsidiaries entered into an amendment (the "WRF Credit Agreement Amendment") to its existing credit agreement (the "WRF Credit Agreement").</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August 2023, Wynn Las Vegas repurchased $400.0 million aggregate principal amount of its 5 1/2% Senior Notes due 2025, at a price equal to 94% of the principal amount, plus accrued interest and an early tender premium of $20.0 million and the related fees and expenses, using cash held by Wynn Resorts.</w:t>
      </w:r>
    </w:p>
    <w:p>
      <w:pPr>
        <w:spacing w:after="0" w:line="2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WRF Credit Agreement Amendment amends the WRF Credit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w:t>
      </w:r>
    </w:p>
    <w:p>
      <w:pPr>
        <w:spacing w:after="0" w:line="20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Wynn Resorts, Limited and other subsidiaries. </w:t>
      </w:r>
      <w:r>
        <w:rPr>
          <w:rFonts w:ascii="Arial" w:cs="Arial" w:eastAsia="Arial" w:hAnsi="Arial"/>
          <w:sz w:val="16"/>
          <w:szCs w:val="16"/>
          <w:color w:val="auto"/>
        </w:rPr>
        <w:t>Wynn Resorts, Limited is a holding company and, as a result, our ability to pay dividends is 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$115.1 million for the year ended December 31, 2023. We expect to use cash held by Wynn Resorts, Limited and other to service our Retail Term Loan, to pay dividends, to fund future development projects, and for general corporate purposes.</w:t>
      </w:r>
    </w:p>
    <w:p>
      <w:pPr>
        <w:spacing w:after="0" w:line="1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2, 2023, the Company entered into a second amendment to the existing term loan agreement (the "Retail Term Loan Amendment") which transitions the benchmark interest rate of the Retail Term Loan from LIBOR to the adjusted daily simple secured overnight financing rate ("SOFR") and to make related conforming changes, effective July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paid a cash dividend of $0.25 per share in each of the quarters ended June 30, 2023 and September 30, 2023 and recorded $28.5 million and $28.2 million, respectively, against accumulated deficit.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9, 2023, the Company declared a cash dividend of $0.25 per share, payable on November 30, 2023 to stockholders of record as of November 20, 2023.</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Legal proceedings in which we are involved also may impact our liquidity. No assurance can be provided as to the outcome of such proceedings. In addition, litigation inherently involves significant costs. For information regarding legal proceedings, see Note 16, "Commitments and Contingencies."</w:t>
      </w:r>
    </w:p>
    <w:p>
      <w:pPr>
        <w:spacing w:after="0" w:line="15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April 2016, our Board of Directors has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We repurchased 596,948 shares of our common stock at an average price of $94.11 per share, for an aggregate cost of $56.2 million under this equity repurchase program during the three and nine months ended September 30, 2023. As of September 30, 2023, we had $572.7 million in repurchase authority remaining under the program.</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Commitments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2023, except as described below, there have been no material changes to the contractual obligations previously reported in our Annual Report on Form 10-K for the year ended December 31, 2022.</w:t>
      </w:r>
    </w:p>
    <w:p>
      <w:pPr>
        <w:spacing w:after="0" w:line="19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nine months ended September 30, 2023, our fixed interest rate long-term debt obligations decreased by a net amount of $300.0 million, as a result of $1.20 billion in long-term debt issuances, net of $1.50 billion in debt repayments. Additionally, our annual fixed interest payments are expected to increase $2.2 million in 2023, $1.3 million in 2024, $52.5 million in 2025, $69.8 million in each of 2026 and 2027, and $166.2 million thereafter, primarily as a result of the issuance of the WRF 2031 Senior Notes and the WML Convertible Bonds and the repurchase of the tendered 2025 WRF Senior Notes, the tendered 2025 Wynn Las Vegas Senior Notes, and the 2023 Wynn Las Vegas Senior Notes, each as described above.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2023, our other commitments are expected to increase $7.5 million in 2023, $32.5 million in 2024, and $13.9 million in 2025.</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description of our critical accounting policies is included in Item 7 of our Annual Report on Form 10-K for the year ended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below, there have been no significant changes to these policies for the nine months ended September 30, 2023:</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WML Convertible Bond Conversion Option Derivative</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7,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will be reported at fair value as of the end of each reporting period, with changes recognized in the statements of operations.</w:t>
      </w:r>
    </w:p>
    <w:p>
      <w:pPr>
        <w:spacing w:after="0" w:line="21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related disclosure in Note 2, "Basis of Presentation and Significant Accounting Policies" of Part I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2023, approximately 25% of our long-term debt was based on variable rates. Based on our outstanding borrowings as of September 30, 2023, an assumed 100 basis point increase and decrease in the applicable variable rates would have caused our annual interest expense to change by $23.1 million.</w:t>
      </w:r>
    </w:p>
    <w:p>
      <w:pPr>
        <w:spacing w:after="0" w:line="2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an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 and as of the July 3, 2023 effective date of the Retail Term Loan Amendment, the Company pays the counterparty if one-month SOFR falls below the established floor rate of 1.00%, and the counterparty will pay the Company if one-month SOFR exceeds the ceiling rate of 3.67%.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September 30, 2023, an assumed 1% change in the U.S. dollar/Hong Kong dollar exchange rate would cause a foreign currency transaction gain/loss of $45.5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16, "Commitments and Contingencies" of Part I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2022. There were no material changes to those risk factors during the nine months ended September 30,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share repurchases made by the Company during the three months ended September 30, 2023:</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00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960" w:type="dxa"/>
            <w:vAlign w:val="bottom"/>
            <w:vMerge w:val="restart"/>
          </w:tcPr>
          <w:p>
            <w:pPr>
              <w:jc w:val="center"/>
              <w:ind w:left="868"/>
              <w:spacing w:after="0"/>
              <w:rPr>
                <w:sz w:val="20"/>
                <w:szCs w:val="20"/>
                <w:color w:val="auto"/>
              </w:rPr>
            </w:pPr>
            <w:r>
              <w:rPr>
                <w:rFonts w:ascii="Arial" w:cs="Arial" w:eastAsia="Arial" w:hAnsi="Arial"/>
                <w:sz w:val="14"/>
                <w:szCs w:val="14"/>
                <w:b w:val="1"/>
                <w:bCs w:val="1"/>
                <w:color w:val="auto"/>
                <w:w w:val="92"/>
              </w:rPr>
              <w:t>Total Number of Shares</w:t>
            </w:r>
          </w:p>
        </w:tc>
        <w:tc>
          <w:tcPr>
            <w:tcW w:w="2260" w:type="dxa"/>
            <w:vAlign w:val="bottom"/>
          </w:tcPr>
          <w:p>
            <w:pPr>
              <w:spacing w:after="0"/>
              <w:rPr>
                <w:sz w:val="12"/>
                <w:szCs w:val="12"/>
                <w:color w:val="auto"/>
              </w:rPr>
            </w:pPr>
          </w:p>
        </w:tc>
        <w:tc>
          <w:tcPr>
            <w:tcW w:w="2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Purchased as Part of Publicly</w:t>
            </w:r>
          </w:p>
        </w:tc>
        <w:tc>
          <w:tcPr>
            <w:tcW w:w="200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960" w:type="dxa"/>
            <w:vAlign w:val="bottom"/>
            <w:vMerge w:val="continue"/>
          </w:tcPr>
          <w:p>
            <w:pPr>
              <w:spacing w:after="0"/>
              <w:rPr>
                <w:sz w:val="12"/>
                <w:szCs w:val="12"/>
                <w:color w:val="auto"/>
              </w:rPr>
            </w:pPr>
          </w:p>
        </w:tc>
        <w:tc>
          <w:tcPr>
            <w:tcW w:w="22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Average Price Paid Per Share</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 Programs</w:t>
            </w:r>
          </w:p>
        </w:tc>
        <w:tc>
          <w:tcPr>
            <w:tcW w:w="20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0"/>
        </w:trPr>
        <w:tc>
          <w:tcPr>
            <w:tcW w:w="1640" w:type="dxa"/>
            <w:vAlign w:val="bottom"/>
            <w:vMerge w:val="continue"/>
          </w:tcPr>
          <w:p>
            <w:pPr>
              <w:spacing w:after="0"/>
              <w:rPr>
                <w:sz w:val="16"/>
                <w:szCs w:val="16"/>
                <w:color w:val="auto"/>
              </w:rPr>
            </w:pPr>
          </w:p>
        </w:tc>
        <w:tc>
          <w:tcPr>
            <w:tcW w:w="296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Purchased (1) (2)</w:t>
            </w:r>
          </w:p>
        </w:tc>
        <w:tc>
          <w:tcPr>
            <w:tcW w:w="2260" w:type="dxa"/>
            <w:vAlign w:val="bottom"/>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00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Programs (in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July 1, 2023 to July 31, 2023</w:t>
      </w:r>
    </w:p>
    <w:p>
      <w:pPr>
        <w:spacing w:after="0" w:line="46"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August 1, 2023 to August 31, 2023</w:t>
      </w:r>
    </w:p>
    <w:p>
      <w:pPr>
        <w:spacing w:after="0" w:line="14" w:lineRule="exact"/>
        <w:rPr>
          <w:sz w:val="20"/>
          <w:szCs w:val="20"/>
          <w:color w:val="auto"/>
        </w:rPr>
      </w:pPr>
    </w:p>
    <w:p>
      <w:pPr>
        <w:ind w:left="140" w:right="600"/>
        <w:spacing w:after="0" w:line="289" w:lineRule="auto"/>
        <w:rPr>
          <w:sz w:val="20"/>
          <w:szCs w:val="20"/>
          <w:color w:val="auto"/>
        </w:rPr>
      </w:pPr>
      <w:r>
        <w:rPr>
          <w:rFonts w:ascii="Arial" w:cs="Arial" w:eastAsia="Arial" w:hAnsi="Arial"/>
          <w:sz w:val="16"/>
          <w:szCs w:val="16"/>
          <w:color w:val="auto"/>
        </w:rPr>
        <w:t>September 1, 2023 to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628,841</w:t>
            </w:r>
          </w:p>
        </w:tc>
      </w:tr>
      <w:tr>
        <w:trPr>
          <w:trHeight w:val="323"/>
        </w:trPr>
        <w:tc>
          <w:tcPr>
            <w:tcW w:w="2100" w:type="dxa"/>
            <w:vAlign w:val="bottom"/>
          </w:tcPr>
          <w:p>
            <w:pPr>
              <w:jc w:val="right"/>
              <w:spacing w:after="0"/>
              <w:rPr>
                <w:sz w:val="20"/>
                <w:szCs w:val="20"/>
                <w:color w:val="auto"/>
              </w:rPr>
            </w:pPr>
            <w:r>
              <w:rPr>
                <w:rFonts w:ascii="Arial" w:cs="Arial" w:eastAsia="Arial" w:hAnsi="Arial"/>
                <w:sz w:val="18"/>
                <w:szCs w:val="18"/>
                <w:color w:val="auto"/>
              </w:rPr>
              <w:t>23,871</w:t>
            </w:r>
          </w:p>
        </w:tc>
        <w:tc>
          <w:tcPr>
            <w:tcW w:w="80" w:type="dxa"/>
            <w:vAlign w:val="bottom"/>
          </w:tcPr>
          <w:p>
            <w:pPr>
              <w:spacing w:after="0"/>
              <w:rPr>
                <w:sz w:val="24"/>
                <w:szCs w:val="24"/>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Pr>
          <w:p>
            <w:pPr>
              <w:spacing w:after="0"/>
              <w:rPr>
                <w:sz w:val="24"/>
                <w:szCs w:val="24"/>
                <w:color w:val="auto"/>
              </w:rPr>
            </w:pP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628,841</w:t>
            </w:r>
          </w:p>
        </w:tc>
      </w:tr>
      <w:tr>
        <w:trPr>
          <w:trHeight w:val="418"/>
        </w:trPr>
        <w:tc>
          <w:tcPr>
            <w:tcW w:w="2100" w:type="dxa"/>
            <w:vAlign w:val="bottom"/>
          </w:tcPr>
          <w:p>
            <w:pPr>
              <w:jc w:val="right"/>
              <w:spacing w:after="0"/>
              <w:rPr>
                <w:sz w:val="20"/>
                <w:szCs w:val="20"/>
                <w:color w:val="auto"/>
              </w:rPr>
            </w:pPr>
            <w:r>
              <w:rPr>
                <w:rFonts w:ascii="Arial" w:cs="Arial" w:eastAsia="Arial" w:hAnsi="Arial"/>
                <w:sz w:val="18"/>
                <w:szCs w:val="18"/>
                <w:color w:val="auto"/>
              </w:rPr>
              <w:t>598,564</w:t>
            </w:r>
          </w:p>
        </w:tc>
        <w:tc>
          <w:tcPr>
            <w:tcW w:w="80" w:type="dxa"/>
            <w:vAlign w:val="bottom"/>
          </w:tcPr>
          <w:p>
            <w:pPr>
              <w:spacing w:after="0"/>
              <w:rPr>
                <w:sz w:val="24"/>
                <w:szCs w:val="24"/>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596,948</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572,663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-205105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2280" w:space="280"/>
            <w:col w:w="8680"/>
          </w:cols>
          <w:pgMar w:left="320" w:top="122" w:right="339" w:bottom="1440" w:gutter="0" w:footer="0" w:header="0"/>
          <w:type w:val="continuous"/>
        </w:sectPr>
      </w:pPr>
    </w:p>
    <w:p>
      <w:pPr>
        <w:jc w:val="both"/>
        <w:ind w:firstLine="8"/>
        <w:spacing w:after="0" w:line="258" w:lineRule="auto"/>
        <w:tabs>
          <w:tab w:leader="none" w:pos="211"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Shares purchased in July 2023, August 2023, and September 2023 include 982, 23,871, and 1,616 shares, respectively, purchased in satisfaction of employee tax withholding obligations on vested restricted stock relating to our stock incentive plans. Refer to Note 12 to our Consolidated Financial Statements included in our 2022 Form 10-K for additional details on our stock incentive plans.</w:t>
      </w:r>
    </w:p>
    <w:p>
      <w:pPr>
        <w:jc w:val="both"/>
        <w:ind w:firstLine="8"/>
        <w:spacing w:after="0" w:line="302" w:lineRule="auto"/>
        <w:tabs>
          <w:tab w:leader="none" w:pos="213"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April 20, 2016, the Company announced that the Board of Directors authorized an equity repurchase program of up to $1.0 billion of our common stock, with no expiration. Under the program, repurchases may be made at the discretion of the Company from time to time on the open market or in privately negotiated transactions. The Company is not obligated to make any repurchases, and the repurchase program may be discontinued at any time. Any shares acquired are held as treasury shares and available for general corporate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Arrangements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June 2, 2023, Craig S. Billings, Director and Chief Executive Officer, Wynn Resorts, Limited, adopted a trading plan intended to satisfy the affirmative defense conditions under Rule 10b5-1(c) under the Exchange Act. The plan covers the exercise of up to 10,902 employee stock options and the sale of shares of common stock acquired upon exercise of such options, as well as the sale of up to 8,333 shares of the Company's common stock at an established limit price. The plan expires on the earlier of the date all the shares under the plan are sold and August 9, 2024.</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Except as disclosed above, none of the Company’s directors or officers (as defined in Section 16 of the Exchange Act) adopted or terminated a “Rule 10b5-1 trading arrangement” or a “non-Rule 10b5-1 trading arrangement” (each as defined in Item 408(a) and (c) of Regulation S-K) during the Company’s fiscal quarter ended September 30,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ind w:left="440"/>
        <w:spacing w:after="0"/>
        <w:tabs>
          <w:tab w:leader="none" w:pos="12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8" w:lineRule="exact"/>
        <w:rPr>
          <w:sz w:val="20"/>
          <w:szCs w:val="20"/>
          <w:color w:val="auto"/>
        </w:rPr>
      </w:pPr>
    </w:p>
    <w:p>
      <w:pPr>
        <w:ind w:left="8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67">
        <w:r>
          <w:rPr>
            <w:rFonts w:ascii="Arial" w:cs="Arial" w:eastAsia="Arial" w:hAnsi="Arial"/>
            <w:sz w:val="16"/>
            <w:szCs w:val="16"/>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940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1220"/>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10-Q filed by the Registrant on May 8, 2015.)</w:t>
        </w:r>
      </w:hyperlink>
    </w:p>
    <w:p>
      <w:pPr>
        <w:spacing w:after="0" w:line="7" w:lineRule="exact"/>
        <w:rPr>
          <w:sz w:val="20"/>
          <w:szCs w:val="20"/>
          <w:color w:val="auto"/>
        </w:rPr>
      </w:pPr>
    </w:p>
    <w:p>
      <w:pPr>
        <w:ind w:left="1220" w:right="340" w:hanging="368"/>
        <w:spacing w:after="0" w:line="242"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69">
        <w:r>
          <w:rPr>
            <w:rFonts w:ascii="Arial" w:cs="Arial" w:eastAsia="Arial" w:hAnsi="Arial"/>
            <w:sz w:val="18"/>
            <w:szCs w:val="18"/>
            <w:u w:val="single" w:color="auto"/>
            <w:color w:val="0000FF"/>
          </w:rPr>
          <w:t>Ninth Amended and Restated Bylaws of the Registrant. (Incorporated by reference from the Annual Report on Form 10-K filed by the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Registrant on February 28, 2020.)</w:t>
        </w:r>
      </w:hyperlink>
    </w:p>
    <w:p>
      <w:pPr>
        <w:spacing w:after="0" w:line="1" w:lineRule="exact"/>
        <w:rPr>
          <w:sz w:val="20"/>
          <w:szCs w:val="20"/>
          <w:color w:val="auto"/>
        </w:rPr>
      </w:pPr>
    </w:p>
    <w:p>
      <w:pPr>
        <w:ind w:left="680"/>
        <w:spacing w:after="0"/>
        <w:tabs>
          <w:tab w:leader="none" w:pos="12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Chief Executive Officer of Periodic Report Pursuant to Rule 13a – 14(a) and Rule 15d – 14(a).</w:t>
      </w:r>
    </w:p>
    <w:p>
      <w:pPr>
        <w:spacing w:after="0" w:line="23" w:lineRule="exact"/>
        <w:rPr>
          <w:sz w:val="20"/>
          <w:szCs w:val="20"/>
          <w:color w:val="auto"/>
        </w:rPr>
      </w:pPr>
    </w:p>
    <w:p>
      <w:pPr>
        <w:ind w:left="680"/>
        <w:spacing w:after="0"/>
        <w:tabs>
          <w:tab w:leader="none" w:pos="12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Certification of Chief Financial Officer of Periodic Report Pursuant to Rule 13a – 14(a) and Rule 15d – 14(a).</w:t>
      </w:r>
    </w:p>
    <w:p>
      <w:pPr>
        <w:spacing w:after="0" w:line="23" w:lineRule="exact"/>
        <w:rPr>
          <w:sz w:val="20"/>
          <w:szCs w:val="20"/>
          <w:color w:val="auto"/>
        </w:rPr>
      </w:pPr>
    </w:p>
    <w:p>
      <w:pPr>
        <w:ind w:left="1220" w:hanging="316"/>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Certification of CEO and CFO Pursuant to 18 U.S.C. Section 1350 (furnished herewith).</w:t>
      </w:r>
    </w:p>
    <w:p>
      <w:pPr>
        <w:spacing w:after="0" w:line="23" w:lineRule="exact"/>
        <w:rPr>
          <w:sz w:val="20"/>
          <w:szCs w:val="20"/>
          <w:color w:val="auto"/>
        </w:rPr>
      </w:pPr>
    </w:p>
    <w:p>
      <w:pPr>
        <w:jc w:val="both"/>
        <w:ind w:left="1220" w:right="20" w:hanging="406"/>
        <w:spacing w:after="0" w:line="229"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material from Wynn Resorts, Limited's Quarterly Report on Form 10-Q, formatted in Inline XBRL (Inline Extensible Business Reporting Language): (i) the Condensed Consolidated Balance Sheets as of September 30, 2023 and December 31, 2022; (ii) the Condensed Consolidated Statements of Operations for the three and nine months ended September 30, 2023 and 2022; (iii) the Condensed Consolidated Statements of Comprehensive Income (Loss) for the three and nine months ended September 30, 2023 and 2022; (iv) the Condensed Consolidated Statements of Stockholders' Deficit for the three and nine months ended September 30, 2023 and 2022; (v) the Condensed Consolidated Statements of Cash Flows for the nine months ended September 30, 2023 and 2022; and (vi) Notes to Condensed Consolidated Financial Statements. The instance document does not appear in the Interactive Data File because its XBRL tags are embedded within the Inline XBRL document.</w:t>
      </w:r>
    </w:p>
    <w:p>
      <w:pPr>
        <w:spacing w:after="0" w:line="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4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0740"/>
          </w:cols>
          <w:pgMar w:left="320" w:top="122" w:right="8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9, 2023</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29210</wp:posOffset>
            </wp:positionV>
            <wp:extent cx="26231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740" w:space="720"/>
            <w:col w:w="4280"/>
          </w:cols>
          <w:pgMar w:left="320" w:top="122" w:right="839" w:bottom="1440" w:gutter="0" w:footer="0" w:header="0"/>
          <w:type w:val="continuous"/>
        </w:sectPr>
      </w:pPr>
    </w:p>
    <w:p>
      <w:pPr>
        <w:ind w:left="6460"/>
        <w:spacing w:after="0"/>
        <w:rPr>
          <w:sz w:val="20"/>
          <w:szCs w:val="20"/>
          <w:color w:val="auto"/>
        </w:rPr>
      </w:pPr>
      <w:r>
        <w:rPr>
          <w:rFonts w:ascii="Arial" w:cs="Arial" w:eastAsia="Arial" w:hAnsi="Arial"/>
          <w:sz w:val="18"/>
          <w:szCs w:val="18"/>
          <w:color w:val="auto"/>
        </w:rPr>
        <w:t>Julie Cameron-Doe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740"/>
          </w:cols>
          <w:pgMar w:left="320" w:top="122" w:right="8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63"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980" w:right="20" w:hanging="972"/>
        <w:spacing w:after="0" w:line="29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hanging="972"/>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51"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220" w:hanging="980"/>
        <w:spacing w:after="0" w:line="286" w:lineRule="auto"/>
        <w:tabs>
          <w:tab w:leader="none" w:pos="19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hanging="980"/>
        <w:spacing w:after="0" w:line="263" w:lineRule="auto"/>
        <w:tabs>
          <w:tab w:leader="none" w:pos="19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1960" w:right="320" w:hanging="980"/>
        <w:spacing w:after="0" w:line="305" w:lineRule="auto"/>
        <w:tabs>
          <w:tab w:leader="none" w:pos="19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80" w:right="140" w:hanging="972"/>
        <w:spacing w:after="0" w:line="316"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263" w:lineRule="auto"/>
        <w:tabs>
          <w:tab w:leader="none" w:pos="19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960" w:right="100" w:hanging="980"/>
        <w:spacing w:after="0" w:line="277" w:lineRule="auto"/>
        <w:tabs>
          <w:tab w:leader="none" w:pos="19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Arial" w:cs="Arial" w:eastAsia="Arial" w:hAnsi="Arial"/>
                <w:sz w:val="18"/>
                <w:szCs w:val="18"/>
                <w:color w:val="auto"/>
              </w:rPr>
              <w:t>Date: November 9, 2023</w:t>
            </w:r>
          </w:p>
        </w:tc>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 Billings</w:t>
            </w:r>
          </w:p>
        </w:tc>
        <w:tc>
          <w:tcPr>
            <w:tcW w:w="10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Craig S. Billings</w:t>
            </w:r>
          </w:p>
        </w:tc>
      </w:tr>
      <w:tr>
        <w:trPr>
          <w:trHeight w:val="175"/>
        </w:trPr>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04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Julie Cameron-Doe, certify that:</w:t>
      </w:r>
    </w:p>
    <w:p>
      <w:pPr>
        <w:spacing w:after="0" w:line="63" w:lineRule="exact"/>
        <w:rPr>
          <w:sz w:val="20"/>
          <w:szCs w:val="20"/>
          <w:color w:val="auto"/>
        </w:rPr>
      </w:pPr>
    </w:p>
    <w:p>
      <w:pPr>
        <w:ind w:left="980" w:hanging="97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63"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980" w:right="20" w:hanging="972"/>
        <w:spacing w:after="0" w:line="29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hanging="972"/>
        <w:spacing w:after="0" w:line="29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51"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220" w:hanging="980"/>
        <w:spacing w:after="0" w:line="286" w:lineRule="auto"/>
        <w:tabs>
          <w:tab w:leader="none" w:pos="19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hanging="980"/>
        <w:spacing w:after="0" w:line="263" w:lineRule="auto"/>
        <w:tabs>
          <w:tab w:leader="none" w:pos="19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1960" w:right="320" w:hanging="980"/>
        <w:spacing w:after="0" w:line="305" w:lineRule="auto"/>
        <w:tabs>
          <w:tab w:leader="none" w:pos="19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80" w:right="140" w:hanging="972"/>
        <w:spacing w:after="0" w:line="316"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263" w:lineRule="auto"/>
        <w:tabs>
          <w:tab w:leader="none" w:pos="19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960" w:right="100" w:hanging="980"/>
        <w:spacing w:after="0" w:line="277" w:lineRule="auto"/>
        <w:tabs>
          <w:tab w:leader="none" w:pos="19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Arial" w:cs="Arial" w:eastAsia="Arial" w:hAnsi="Arial"/>
                <w:sz w:val="18"/>
                <w:szCs w:val="18"/>
                <w:color w:val="auto"/>
              </w:rPr>
              <w:t>Date: November 9, 2023</w:t>
            </w: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Cameron-Doe</w:t>
            </w:r>
          </w:p>
        </w:tc>
        <w:tc>
          <w:tcPr>
            <w:tcW w:w="104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3240" w:type="dxa"/>
            <w:vAlign w:val="bottom"/>
            <w:gridSpan w:val="2"/>
          </w:tcPr>
          <w:p>
            <w:pPr>
              <w:spacing w:after="0" w:line="196" w:lineRule="exact"/>
              <w:rPr>
                <w:sz w:val="20"/>
                <w:szCs w:val="20"/>
                <w:color w:val="auto"/>
              </w:rPr>
            </w:pPr>
            <w:r>
              <w:rPr>
                <w:rFonts w:ascii="Arial" w:cs="Arial" w:eastAsia="Arial" w:hAnsi="Arial"/>
                <w:sz w:val="18"/>
                <w:szCs w:val="18"/>
                <w:color w:val="auto"/>
              </w:rPr>
              <w:t>Julie Cameron-Doe</w:t>
            </w:r>
          </w:p>
        </w:tc>
      </w:tr>
      <w:tr>
        <w:trPr>
          <w:trHeight w:val="175"/>
        </w:trPr>
        <w:tc>
          <w:tcPr>
            <w:tcW w:w="5860" w:type="dxa"/>
            <w:vAlign w:val="bottom"/>
          </w:tcPr>
          <w:p>
            <w:pPr>
              <w:spacing w:after="0"/>
              <w:rPr>
                <w:sz w:val="15"/>
                <w:szCs w:val="15"/>
                <w:color w:val="auto"/>
              </w:rPr>
            </w:pPr>
          </w:p>
        </w:tc>
        <w:tc>
          <w:tcPr>
            <w:tcW w:w="3240" w:type="dxa"/>
            <w:vAlign w:val="bottom"/>
            <w:gridSpan w:val="2"/>
          </w:tcPr>
          <w:p>
            <w:pPr>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586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104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the Chief Executive Officer and the Chief Financial Officer Pursuant to 18 U.S.C. Section 1350, as Adopted Pursuant to Section 906 of the Sarbanes-Oxley Act of 2002</w:t>
      </w:r>
    </w:p>
    <w:p>
      <w:pPr>
        <w:spacing w:after="0" w:line="136" w:lineRule="exact"/>
        <w:rPr>
          <w:sz w:val="20"/>
          <w:szCs w:val="20"/>
          <w:color w:val="auto"/>
        </w:rPr>
      </w:pPr>
    </w:p>
    <w:p>
      <w:pPr>
        <w:jc w:val="both"/>
        <w:ind w:right="40" w:firstLine="972"/>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2023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980" w:hanging="972"/>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80" w:right="600" w:hanging="972"/>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S. Billings</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Craig S. Billings</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0"/>
              <w:spacing w:after="0"/>
              <w:rPr>
                <w:sz w:val="20"/>
                <w:szCs w:val="20"/>
                <w:color w:val="auto"/>
              </w:rPr>
            </w:pPr>
            <w:r>
              <w:rPr>
                <w:rFonts w:ascii="Arial" w:cs="Arial" w:eastAsia="Arial" w:hAnsi="Arial"/>
                <w:sz w:val="18"/>
                <w:szCs w:val="18"/>
                <w:color w:val="auto"/>
              </w:rPr>
              <w:t>November 9,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Julie Cameron-Doe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Julie Cameron-Doe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0"/>
              <w:spacing w:after="0"/>
              <w:rPr>
                <w:sz w:val="20"/>
                <w:szCs w:val="20"/>
                <w:color w:val="auto"/>
              </w:rPr>
            </w:pPr>
            <w:r>
              <w:rPr>
                <w:rFonts w:ascii="Arial" w:cs="Arial" w:eastAsia="Arial" w:hAnsi="Arial"/>
                <w:sz w:val="18"/>
                <w:szCs w:val="18"/>
                <w:color w:val="auto"/>
              </w:rPr>
              <w:t>November 9,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32"/>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7" Type="http://schemas.openxmlformats.org/officeDocument/2006/relationships/hyperlink" Target="http://www.sec.gov/Archives/edgar/data/1174922/000117492215000044/ex-31.htm" TargetMode="External"/><Relationship Id="rId69"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2023-11-09T16:29:02Z</dcterms:created>
  <dcterms:modified xsi:type="dcterms:W3CDTF">2023-11-09T16:29:02Z</dcterms:modified>
</cp:coreProperties>
</file>