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Sinatra Kimmarie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08/26/2010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SVP/General Counsel/Secretary</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640" w:type="dxa"/>
            <w:vAlign w:val="bottom"/>
            <w:gridSpan w:val="3"/>
          </w:tcPr>
          <w:p>
            <w:pPr>
              <w:ind w:left="700"/>
              <w:spacing w:after="0"/>
              <w:rPr>
                <w:sz w:val="20"/>
                <w:szCs w:val="20"/>
                <w:color w:val="auto"/>
              </w:rPr>
            </w:pPr>
            <w:r>
              <w:rPr>
                <w:rFonts w:ascii="Arial" w:cs="Arial" w:eastAsia="Arial" w:hAnsi="Arial"/>
                <w:sz w:val="17"/>
                <w:szCs w:val="17"/>
                <w:color w:val="0000FF"/>
              </w:rPr>
              <w:t>08/26/2010</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25,000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47.12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75,000</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5"/>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7"/>
                <w:szCs w:val="17"/>
                <w:color w:val="0000FF"/>
              </w:rPr>
              <w:t>08/26/2010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25,000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83.9393</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50,000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47.12</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08/26/2010</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w w:val="95"/>
              </w:rPr>
              <w:t>25,000</w:t>
            </w:r>
          </w:p>
        </w:tc>
        <w:tc>
          <w:tcPr>
            <w:tcW w:w="82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2"/>
              </w:rPr>
              <w:t>05/06/2019</w:t>
            </w: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25,000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w w:val="89"/>
              </w:rPr>
              <w:t>225,000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$0.01</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$83.48 and $84.42. The reporting person, upon request by the staff of the SEC, Wynn Resorts, Limited or any security holder of Wynn Resorts, Limited, undertakes to provide further information regarding the number of securities sold at each separate price.</w:t>
      </w:r>
    </w:p>
    <w:p>
      <w:pPr>
        <w:spacing w:after="0" w:line="9"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original grant of 250,000 options vest 10% per year on each anniversary of the date of grant (May 6, 2009); provided, that if the reporting person ceases to be an employee of the Company, any options that are unvested at such time will be forfeited.</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Kimmarie Sinatra</w:t>
            </w:r>
          </w:p>
        </w:tc>
        <w:tc>
          <w:tcPr>
            <w:tcW w:w="8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08/27/2010</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67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2019-12-18T01:41:13Z</dcterms:created>
  <dcterms:modified xsi:type="dcterms:W3CDTF">2019-12-18T01:41:13Z</dcterms:modified>
</cp:coreProperties>
</file>