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460" w:right="2040" w:hanging="452"/>
        <w:spacing w:after="0" w:line="438"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1" w:lineRule="exact"/>
        <w:rPr>
          <w:sz w:val="24"/>
          <w:szCs w:val="24"/>
          <w:color w:val="auto"/>
        </w:rPr>
      </w:pPr>
    </w:p>
    <w:p>
      <w:pPr>
        <w:ind w:left="39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22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1120" w:type="dxa"/>
            <w:vAlign w:val="bottom"/>
          </w:tcPr>
          <w:p>
            <w:pPr>
              <w:jc w:val="center"/>
              <w:ind w:left="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6220" w:type="dxa"/>
            <w:vAlign w:val="bottom"/>
            <w:gridSpan w:val="3"/>
          </w:tcPr>
          <w:p>
            <w:pPr>
              <w:jc w:val="center"/>
              <w:ind w:right="44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2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220" w:type="dxa"/>
            <w:vAlign w:val="bottom"/>
            <w:gridSpan w:val="3"/>
          </w:tcPr>
          <w:p>
            <w:pPr>
              <w:jc w:val="center"/>
              <w:ind w:right="4440"/>
              <w:spacing w:after="0"/>
              <w:rPr>
                <w:sz w:val="20"/>
                <w:szCs w:val="20"/>
                <w:color w:val="auto"/>
              </w:rPr>
            </w:pPr>
            <w:r>
              <w:rPr>
                <w:rFonts w:ascii="Arial" w:cs="Arial" w:eastAsia="Arial" w:hAnsi="Arial"/>
                <w:sz w:val="14"/>
                <w:szCs w:val="14"/>
                <w:b w:val="1"/>
                <w:bCs w:val="1"/>
                <w:color w:val="auto"/>
                <w:w w:val="89"/>
              </w:rPr>
              <w:t>incorporation or organization)</w:t>
            </w:r>
          </w:p>
        </w:tc>
        <w:tc>
          <w:tcPr>
            <w:tcW w:w="1120" w:type="dxa"/>
            <w:vAlign w:val="bottom"/>
          </w:tcPr>
          <w:p>
            <w:pPr>
              <w:jc w:val="center"/>
              <w:ind w:left="6"/>
              <w:spacing w:after="0"/>
              <w:rPr>
                <w:sz w:val="20"/>
                <w:szCs w:val="20"/>
                <w:color w:val="auto"/>
              </w:rPr>
            </w:pPr>
            <w:r>
              <w:rPr>
                <w:rFonts w:ascii="Arial" w:cs="Arial" w:eastAsia="Arial" w:hAnsi="Arial"/>
                <w:sz w:val="14"/>
                <w:szCs w:val="14"/>
                <w:b w:val="1"/>
                <w:bCs w:val="1"/>
                <w:color w:val="auto"/>
                <w:w w:val="87"/>
              </w:rPr>
              <w:t>Identification No.)</w:t>
            </w:r>
          </w:p>
        </w:tc>
      </w:tr>
      <w:tr>
        <w:trPr>
          <w:trHeight w:val="352"/>
        </w:trPr>
        <w:tc>
          <w:tcPr>
            <w:tcW w:w="6220" w:type="dxa"/>
            <w:vAlign w:val="bottom"/>
            <w:gridSpan w:val="3"/>
          </w:tcPr>
          <w:p>
            <w:pPr>
              <w:jc w:val="center"/>
              <w:ind w:left="1305"/>
              <w:spacing w:after="0"/>
              <w:rPr>
                <w:sz w:val="20"/>
                <w:szCs w:val="20"/>
                <w:color w:val="auto"/>
              </w:rPr>
            </w:pPr>
            <w:r>
              <w:rPr>
                <w:rFonts w:ascii="Arial" w:cs="Arial" w:eastAsia="Arial" w:hAnsi="Arial"/>
                <w:sz w:val="18"/>
                <w:szCs w:val="18"/>
                <w:b w:val="1"/>
                <w:bCs w:val="1"/>
                <w:color w:val="auto"/>
                <w:w w:val="87"/>
              </w:rPr>
              <w:t>3131 Las Vegas Boulevard South—Las Vegas, Nevada 89109</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120" w:type="dxa"/>
            <w:vAlign w:val="bottom"/>
          </w:tcPr>
          <w:p>
            <w:pPr>
              <w:spacing w:after="0"/>
              <w:rPr>
                <w:sz w:val="15"/>
                <w:szCs w:val="15"/>
                <w:color w:val="auto"/>
              </w:rPr>
            </w:pPr>
          </w:p>
        </w:tc>
      </w:tr>
      <w:tr>
        <w:trPr>
          <w:trHeight w:val="352"/>
        </w:trPr>
        <w:tc>
          <w:tcPr>
            <w:tcW w:w="4980" w:type="dxa"/>
            <w:vAlign w:val="bottom"/>
            <w:gridSpan w:val="2"/>
          </w:tcPr>
          <w:p>
            <w:pPr>
              <w:jc w:val="center"/>
              <w:ind w:left="2525"/>
              <w:spacing w:after="0"/>
              <w:rPr>
                <w:sz w:val="20"/>
                <w:szCs w:val="20"/>
                <w:color w:val="auto"/>
              </w:rPr>
            </w:pPr>
            <w:r>
              <w:rPr>
                <w:rFonts w:ascii="Arial" w:cs="Arial" w:eastAsia="Arial" w:hAnsi="Arial"/>
                <w:sz w:val="18"/>
                <w:szCs w:val="18"/>
                <w:b w:val="1"/>
                <w:bCs w:val="1"/>
                <w:color w:val="auto"/>
                <w:w w:val="89"/>
              </w:rPr>
              <w:t>(702) 770-7555</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20" w:type="dxa"/>
            <w:vAlign w:val="bottom"/>
          </w:tcPr>
          <w:p>
            <w:pPr>
              <w:spacing w:after="0"/>
              <w:rPr>
                <w:sz w:val="15"/>
                <w:szCs w:val="15"/>
                <w:color w:val="auto"/>
              </w:rPr>
            </w:pPr>
          </w:p>
        </w:tc>
      </w:tr>
      <w:tr>
        <w:trPr>
          <w:trHeight w:val="271"/>
        </w:trPr>
        <w:tc>
          <w:tcPr>
            <w:tcW w:w="260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1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359"/>
        </w:trPr>
        <w:tc>
          <w:tcPr>
            <w:tcW w:w="2600" w:type="dxa"/>
            <w:vAlign w:val="bottom"/>
          </w:tcPr>
          <w:p>
            <w:pPr>
              <w:spacing w:after="0"/>
              <w:rPr>
                <w:sz w:val="24"/>
                <w:szCs w:val="24"/>
                <w:color w:val="auto"/>
              </w:rPr>
            </w:pPr>
          </w:p>
        </w:tc>
        <w:tc>
          <w:tcPr>
            <w:tcW w:w="362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6"/>
              </w:rPr>
              <w:t>N/A</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9200" w:type="dxa"/>
            <w:vAlign w:val="bottom"/>
            <w:gridSpan w:val="3"/>
          </w:tcPr>
          <w:p>
            <w:pPr>
              <w:ind w:left="4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tc>
        <w:tc>
          <w:tcPr>
            <w:tcW w:w="28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378"/>
        </w:trPr>
        <w:tc>
          <w:tcPr>
            <w:tcW w:w="9200" w:type="dxa"/>
            <w:vAlign w:val="bottom"/>
            <w:gridSpan w:val="3"/>
          </w:tcPr>
          <w:p>
            <w:pPr>
              <w:ind w:left="460"/>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Rule12b-2 of the Exchange Act).   Yes </w:t>
            </w:r>
            <w:r>
              <w:rPr>
                <w:rFonts w:ascii="MS PGothic" w:cs="MS PGothic" w:eastAsia="MS PGothic" w:hAnsi="MS PGothic"/>
                <w:sz w:val="18"/>
                <w:szCs w:val="18"/>
                <w:color w:val="auto"/>
                <w:w w:val="90"/>
              </w:rPr>
              <w:t>☐</w:t>
            </w:r>
          </w:p>
        </w:tc>
        <w:tc>
          <w:tcPr>
            <w:tcW w:w="222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58"/>
        </w:trPr>
        <w:tc>
          <w:tcPr>
            <w:tcW w:w="9200" w:type="dxa"/>
            <w:vAlign w:val="bottom"/>
            <w:gridSpan w:val="3"/>
          </w:tcPr>
          <w:p>
            <w:pPr>
              <w:ind w:left="460"/>
              <w:spacing w:after="0"/>
              <w:rPr>
                <w:sz w:val="20"/>
                <w:szCs w:val="20"/>
                <w:color w:val="auto"/>
              </w:rPr>
            </w:pPr>
            <w:r>
              <w:rPr>
                <w:rFonts w:ascii="Arial" w:cs="Arial" w:eastAsia="Arial" w:hAnsi="Arial"/>
                <w:sz w:val="18"/>
                <w:szCs w:val="18"/>
                <w:color w:val="auto"/>
                <w:w w:val="88"/>
              </w:rPr>
              <w:t>Indicate the number of shares outstanding of each of the issuer’s classes of common stock, as of the latest practicable date.</w:t>
            </w: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73"/>
        </w:trPr>
        <w:tc>
          <w:tcPr>
            <w:tcW w:w="1100" w:type="dxa"/>
            <w:vAlign w:val="bottom"/>
          </w:tcPr>
          <w:p>
            <w:pPr>
              <w:spacing w:after="0"/>
              <w:rPr>
                <w:sz w:val="24"/>
                <w:szCs w:val="2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4"/>
              </w:rPr>
              <w:t>Class</w:t>
            </w:r>
          </w:p>
        </w:tc>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Outstanding at August 1, 2011</w:t>
            </w:r>
          </w:p>
        </w:tc>
      </w:tr>
      <w:tr>
        <w:trPr>
          <w:trHeight w:val="209"/>
        </w:trPr>
        <w:tc>
          <w:tcPr>
            <w:tcW w:w="142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89"/>
              </w:rPr>
              <w:t>Common stock, $</w:t>
            </w:r>
          </w:p>
        </w:tc>
        <w:tc>
          <w:tcPr>
            <w:tcW w:w="7780" w:type="dxa"/>
            <w:vAlign w:val="bottom"/>
          </w:tcPr>
          <w:p>
            <w:pPr>
              <w:spacing w:after="0" w:line="202" w:lineRule="exact"/>
              <w:rPr>
                <w:sz w:val="20"/>
                <w:szCs w:val="20"/>
                <w:color w:val="auto"/>
              </w:rPr>
            </w:pPr>
            <w:r>
              <w:rPr>
                <w:rFonts w:ascii="Arial" w:cs="Arial" w:eastAsia="Arial" w:hAnsi="Arial"/>
                <w:sz w:val="18"/>
                <w:szCs w:val="18"/>
                <w:color w:val="auto"/>
              </w:rPr>
              <w:t>0.01 par value</w:t>
            </w:r>
          </w:p>
        </w:tc>
        <w:tc>
          <w:tcPr>
            <w:tcW w:w="280" w:type="dxa"/>
            <w:vAlign w:val="bottom"/>
          </w:tcPr>
          <w:p>
            <w:pPr>
              <w:spacing w:after="0"/>
              <w:rPr>
                <w:sz w:val="18"/>
                <w:szCs w:val="18"/>
                <w:color w:val="auto"/>
              </w:rPr>
            </w:pPr>
          </w:p>
        </w:tc>
        <w:tc>
          <w:tcPr>
            <w:tcW w:w="1940" w:type="dxa"/>
            <w:vAlign w:val="bottom"/>
          </w:tcPr>
          <w:p>
            <w:pPr>
              <w:jc w:val="right"/>
              <w:ind w:right="462"/>
              <w:spacing w:after="0"/>
              <w:rPr>
                <w:sz w:val="20"/>
                <w:szCs w:val="20"/>
                <w:color w:val="auto"/>
              </w:rPr>
            </w:pPr>
            <w:r>
              <w:rPr>
                <w:rFonts w:ascii="Arial" w:cs="Arial" w:eastAsia="Arial" w:hAnsi="Arial"/>
                <w:sz w:val="18"/>
                <w:szCs w:val="18"/>
                <w:color w:val="auto"/>
              </w:rPr>
              <w:t>124,948,570</w:t>
            </w:r>
          </w:p>
        </w:tc>
      </w:tr>
      <w:tr>
        <w:trPr>
          <w:trHeight w:val="115"/>
        </w:trPr>
        <w:tc>
          <w:tcPr>
            <w:tcW w:w="1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7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640" w:type="dxa"/>
            <w:vAlign w:val="bottom"/>
            <w:gridSpan w:val="15"/>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980" w:type="dxa"/>
            <w:vAlign w:val="bottom"/>
          </w:tcPr>
          <w:p>
            <w:pPr>
              <w:spacing w:after="0"/>
              <w:rPr>
                <w:sz w:val="19"/>
                <w:szCs w:val="19"/>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00" w:type="dxa"/>
            <w:vAlign w:val="bottom"/>
          </w:tcPr>
          <w:p>
            <w:pPr>
              <w:spacing w:after="0"/>
              <w:rPr>
                <w:sz w:val="24"/>
                <w:szCs w:val="24"/>
                <w:color w:val="auto"/>
              </w:rPr>
            </w:pPr>
          </w:p>
        </w:tc>
        <w:tc>
          <w:tcPr>
            <w:tcW w:w="934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980" w:type="dxa"/>
            <w:vAlign w:val="bottom"/>
          </w:tcPr>
          <w:p>
            <w:pPr>
              <w:spacing w:after="0"/>
              <w:rPr>
                <w:sz w:val="24"/>
                <w:szCs w:val="24"/>
                <w:color w:val="auto"/>
              </w:rPr>
            </w:pPr>
          </w:p>
        </w:tc>
      </w:tr>
      <w:tr>
        <w:trPr>
          <w:trHeight w:val="286"/>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9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 – June 30, 2011 and December 31, 2010</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900" w:type="dxa"/>
            <w:vAlign w:val="bottom"/>
            <w:gridSpan w:val="13"/>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Condensed Consolidated Statements of Income (unaudited) – Three and six months ended June 30, 2011 and 2010</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80" w:type="dxa"/>
            <w:vAlign w:val="bottom"/>
            <w:tcBorders>
              <w:top w:val="single" w:sz="8" w:color="0000EE"/>
            </w:tcBorders>
            <w:gridSpan w:val="12"/>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Cash Flows (unaudited) – Six months ended June 30, 2011 and 2010</w:t>
              </w:r>
            </w:hyperlink>
          </w:p>
        </w:tc>
        <w:tc>
          <w:tcPr>
            <w:tcW w:w="8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60" w:type="dxa"/>
            <w:vAlign w:val="bottom"/>
            <w:tcBorders>
              <w:top w:val="single" w:sz="8" w:color="0000EE"/>
            </w:tcBorders>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240" w:type="dxa"/>
            <w:vAlign w:val="bottom"/>
            <w:gridSpan w:val="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300" w:type="dxa"/>
            <w:vAlign w:val="bottom"/>
          </w:tcPr>
          <w:p>
            <w:pPr>
              <w:spacing w:after="0"/>
              <w:rPr>
                <w:sz w:val="24"/>
                <w:szCs w:val="24"/>
                <w:color w:val="auto"/>
              </w:rPr>
            </w:pPr>
          </w:p>
        </w:tc>
        <w:tc>
          <w:tcPr>
            <w:tcW w:w="9340" w:type="dxa"/>
            <w:vAlign w:val="bottom"/>
            <w:gridSpan w:val="1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300" w:type="dxa"/>
            <w:vAlign w:val="bottom"/>
          </w:tcPr>
          <w:p>
            <w:pPr>
              <w:spacing w:after="0"/>
              <w:rPr>
                <w:sz w:val="24"/>
                <w:szCs w:val="24"/>
                <w:color w:val="auto"/>
              </w:rPr>
            </w:pPr>
          </w:p>
        </w:tc>
        <w:tc>
          <w:tcPr>
            <w:tcW w:w="42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040" w:type="dxa"/>
            <w:vAlign w:val="bottom"/>
            <w:gridSpan w:val="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00" w:type="dxa"/>
            <w:vAlign w:val="bottom"/>
          </w:tcPr>
          <w:p>
            <w:pPr>
              <w:spacing w:after="0"/>
              <w:rPr>
                <w:sz w:val="24"/>
                <w:szCs w:val="24"/>
                <w:color w:val="auto"/>
              </w:rPr>
            </w:pP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Controls and Procedures</w:t>
              </w:r>
            </w:hyperlink>
          </w:p>
        </w:tc>
        <w:tc>
          <w:tcPr>
            <w:tcW w:w="7600" w:type="dxa"/>
            <w:vAlign w:val="bottom"/>
            <w:gridSpan w:val="8"/>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43"/>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640" w:type="dxa"/>
            <w:vAlign w:val="bottom"/>
            <w:gridSpan w:val="15"/>
          </w:tcPr>
          <w:p>
            <w:pPr>
              <w:ind w:left="80"/>
              <w:spacing w:after="0"/>
              <w:rPr>
                <w:sz w:val="20"/>
                <w:szCs w:val="20"/>
                <w:color w:val="auto"/>
              </w:rPr>
            </w:pPr>
            <w:r>
              <w:rPr>
                <w:rFonts w:ascii="Arial" w:cs="Arial" w:eastAsia="Arial" w:hAnsi="Arial"/>
                <w:sz w:val="18"/>
                <w:szCs w:val="18"/>
                <w:b w:val="1"/>
                <w:bCs w:val="1"/>
                <w:color w:val="auto"/>
              </w:rPr>
              <w:t>Other Information</w:t>
            </w:r>
          </w:p>
        </w:tc>
        <w:tc>
          <w:tcPr>
            <w:tcW w:w="980" w:type="dxa"/>
            <w:vAlign w:val="bottom"/>
          </w:tcPr>
          <w:p>
            <w:pPr>
              <w:spacing w:after="0"/>
              <w:rPr>
                <w:sz w:val="24"/>
                <w:szCs w:val="24"/>
                <w:color w:val="auto"/>
              </w:rPr>
            </w:pPr>
          </w:p>
        </w:tc>
      </w:tr>
      <w:tr>
        <w:trPr>
          <w:trHeight w:val="286"/>
        </w:trPr>
        <w:tc>
          <w:tcPr>
            <w:tcW w:w="7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00" w:type="dxa"/>
            <w:vAlign w:val="bottom"/>
          </w:tcPr>
          <w:p>
            <w:pPr>
              <w:spacing w:after="0"/>
              <w:rPr>
                <w:sz w:val="24"/>
                <w:szCs w:val="24"/>
                <w:color w:val="auto"/>
              </w:rPr>
            </w:pPr>
          </w:p>
        </w:tc>
        <w:tc>
          <w:tcPr>
            <w:tcW w:w="9340" w:type="dxa"/>
            <w:vAlign w:val="bottom"/>
            <w:gridSpan w:val="1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300" w:type="dxa"/>
            <w:vAlign w:val="bottom"/>
          </w:tcPr>
          <w:p>
            <w:pPr>
              <w:spacing w:after="0"/>
              <w:rPr>
                <w:sz w:val="24"/>
                <w:szCs w:val="24"/>
                <w:color w:val="auto"/>
              </w:rPr>
            </w:pP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Risk Factors</w:t>
              </w:r>
            </w:hyperlink>
          </w:p>
        </w:tc>
        <w:tc>
          <w:tcPr>
            <w:tcW w:w="400" w:type="dxa"/>
            <w:vAlign w:val="bottom"/>
            <w:tcBorders>
              <w:top w:val="single" w:sz="8" w:color="0000EE"/>
            </w:tcBorders>
            <w:gridSpan w:val="2"/>
          </w:tcPr>
          <w:p>
            <w:pPr>
              <w:spacing w:after="0"/>
              <w:rPr>
                <w:sz w:val="24"/>
                <w:szCs w:val="24"/>
                <w:color w:val="auto"/>
              </w:rPr>
            </w:pPr>
          </w:p>
        </w:tc>
        <w:tc>
          <w:tcPr>
            <w:tcW w:w="8040" w:type="dxa"/>
            <w:vAlign w:val="bottom"/>
            <w:gridSpan w:val="9"/>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300" w:type="dxa"/>
            <w:vAlign w:val="bottom"/>
          </w:tcPr>
          <w:p>
            <w:pPr>
              <w:spacing w:after="0"/>
              <w:rPr>
                <w:sz w:val="24"/>
                <w:szCs w:val="24"/>
                <w:color w:val="auto"/>
              </w:rPr>
            </w:pPr>
          </w:p>
        </w:tc>
        <w:tc>
          <w:tcPr>
            <w:tcW w:w="9340" w:type="dxa"/>
            <w:vAlign w:val="bottom"/>
            <w:gridSpan w:val="1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300" w:type="dxa"/>
            <w:vAlign w:val="bottom"/>
          </w:tcPr>
          <w:p>
            <w:pPr>
              <w:spacing w:after="0"/>
              <w:rPr>
                <w:sz w:val="24"/>
                <w:szCs w:val="24"/>
                <w:color w:val="auto"/>
              </w:rPr>
            </w:pPr>
          </w:p>
        </w:tc>
        <w:tc>
          <w:tcPr>
            <w:tcW w:w="4240" w:type="dxa"/>
            <w:vAlign w:val="bottom"/>
            <w:tcBorders>
              <w:top w:val="single" w:sz="8" w:color="0000EE"/>
            </w:tcBorders>
            <w:gridSpan w:val="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5100" w:type="dxa"/>
            <w:vAlign w:val="bottom"/>
            <w:gridSpan w:val="7"/>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300" w:type="dxa"/>
            <w:vAlign w:val="bottom"/>
          </w:tcPr>
          <w:p>
            <w:pPr>
              <w:spacing w:after="0"/>
              <w:rPr>
                <w:sz w:val="24"/>
                <w:szCs w:val="24"/>
                <w:color w:val="auto"/>
              </w:rPr>
            </w:pPr>
          </w:p>
        </w:tc>
        <w:tc>
          <w:tcPr>
            <w:tcW w:w="1280" w:type="dxa"/>
            <w:vAlign w:val="bottom"/>
            <w:tcBorders>
              <w:top w:val="single" w:sz="8" w:color="0000EE"/>
            </w:tcBorders>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8060" w:type="dxa"/>
            <w:vAlign w:val="bottom"/>
            <w:gridSpan w:val="10"/>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700" w:type="dxa"/>
            <w:vAlign w:val="bottom"/>
            <w:gridSpan w:val="2"/>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Signature</w:t>
              </w:r>
            </w:hyperlink>
          </w:p>
        </w:tc>
        <w:tc>
          <w:tcPr>
            <w:tcW w:w="30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83"/>
        </w:trPr>
        <w:tc>
          <w:tcPr>
            <w:tcW w:w="6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gridSpan w:val="10"/>
          </w:tcPr>
          <w:p>
            <w:pPr>
              <w:jc w:val="right"/>
              <w:ind w:right="420"/>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7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9"/>
              </w:rPr>
              <w:t>June 30,</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ind w:left="4060"/>
              <w:spacing w:after="0" w:line="196" w:lineRule="exact"/>
              <w:rPr>
                <w:sz w:val="20"/>
                <w:szCs w:val="20"/>
                <w:color w:val="auto"/>
              </w:rPr>
            </w:pPr>
            <w:r>
              <w:rPr>
                <w:rFonts w:ascii="Arial" w:cs="Arial" w:eastAsia="Arial" w:hAnsi="Arial"/>
                <w:sz w:val="18"/>
                <w:szCs w:val="18"/>
                <w:b w:val="1"/>
                <w:bCs w:val="1"/>
                <w:color w:val="auto"/>
              </w:rPr>
              <w:t>ASSETS</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Current assets: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1,684,989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1,258,499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Investment securities – held-to-maturity</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99,289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180,792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75,368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2,070,862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1,561,136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4,770,450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4,921,259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Investment securities – held-to-maturity</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72,700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56,174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7,107,712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6,674,497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Borders>
              <w:top w:val="single" w:sz="8" w:color="CCEEFF"/>
              <w:bottom w:val="single" w:sz="8" w:color="CCEEFF"/>
            </w:tcBorders>
            <w:vMerge w:val="restart"/>
          </w:tcPr>
          <w:p>
            <w:pPr>
              <w:ind w:left="2480"/>
              <w:spacing w:after="0"/>
              <w:rPr>
                <w:sz w:val="20"/>
                <w:szCs w:val="20"/>
                <w:color w:val="auto"/>
              </w:rPr>
            </w:pPr>
            <w:r>
              <w:rPr>
                <w:rFonts w:ascii="Arial" w:cs="Arial" w:eastAsia="Arial" w:hAnsi="Arial"/>
                <w:sz w:val="18"/>
                <w:szCs w:val="18"/>
                <w:b w:val="1"/>
                <w:bCs w:val="1"/>
                <w:color w:val="auto"/>
              </w:rPr>
              <w:t>LIABILITIES AND STOCKHOLDERS’ EQUITY</w:t>
            </w: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62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Accounts and construction payable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166,711</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168,135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150,898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88,634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169,206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48,833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Construction retention</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10,338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1,158,251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887,929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2,995,256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3,264,854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140,404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76,066</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4,369,977</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4,293,912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6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40,000,000 shares authorized; zero shares issued and outstanding</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w w:val="92"/>
              </w:rPr>
              <w:t>Common stock, par value $0.01; 400,000,000 shares authorized; 137,754,305 and 137,404,462 shares issued;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640"/>
              <w:spacing w:after="0"/>
              <w:rPr>
                <w:sz w:val="20"/>
                <w:szCs w:val="20"/>
                <w:color w:val="auto"/>
              </w:rPr>
            </w:pPr>
            <w:r>
              <w:rPr>
                <w:rFonts w:ascii="Arial" w:cs="Arial" w:eastAsia="Arial" w:hAnsi="Arial"/>
                <w:sz w:val="18"/>
                <w:szCs w:val="18"/>
                <w:color w:val="auto"/>
              </w:rPr>
              <w:t>124,942,128 and 124,599,508 shares outstanding</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12,812,177 and 12,804,954 shares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(1,120,454)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(1,119,407)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Additional paid in capital</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3,384,105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3,346,050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242,490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Wynn Resorts, Limited stockholders’ equity</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2,508,440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2,237,948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229,295</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2,737,735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2,380,585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2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7,107,712</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6,674,497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Casino</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1,082,043</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789,205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2,088,348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1,480,793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119,998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100,528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235,379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147,787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127,390</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276,651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102,416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201,370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1,452,244</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1,104,139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2,801,748</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2,083,255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(84,891)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(71,496)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(174,123)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(141,694)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1,367,353</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1,032,643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2,627,625</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1,941,561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Casino</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684,505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519,005</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1,308,860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967,196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31,648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62,459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74,956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72,697</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140,953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134,533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47,633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110,439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91,912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95,668</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179,573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182,669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6,852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13,945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6,675</w:t>
            </w: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102,052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101,353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203,399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111,060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114,408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1,154,320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884,497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2,134,036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1,678,567</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0" w:type="dxa"/>
            <w:vAlign w:val="bottom"/>
            <w:gridSpan w:val="2"/>
            <w:vMerge w:val="continue"/>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213,033</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148,146</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493,589</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262,994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1,976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(58,231)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(53,598)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(116,494)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(102,859)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7,365</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debt/exchange offer</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(3,152)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866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1,701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(52,471)</w:t>
            </w:r>
          </w:p>
        </w:tc>
        <w:tc>
          <w:tcPr>
            <w:tcW w:w="8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(57,308)</w:t>
            </w:r>
          </w:p>
        </w:tc>
        <w:tc>
          <w:tcPr>
            <w:tcW w:w="1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(104,586)</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(109,228)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160,562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389,003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280"/>
              <w:spacing w:after="0"/>
              <w:rPr>
                <w:sz w:val="20"/>
                <w:szCs w:val="20"/>
                <w:color w:val="auto"/>
              </w:rPr>
            </w:pPr>
            <w:r>
              <w:rPr>
                <w:rFonts w:ascii="Arial" w:cs="Arial" w:eastAsia="Arial" w:hAnsi="Arial"/>
                <w:sz w:val="18"/>
                <w:szCs w:val="18"/>
                <w:color w:val="auto"/>
              </w:rPr>
              <w:t>Provision for income taxes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(5,231)</w:t>
            </w: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(7,337)</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(6,990)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155,331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381,666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860"/>
              <w:spacing w:after="0"/>
              <w:rPr>
                <w:sz w:val="20"/>
                <w:szCs w:val="20"/>
                <w:color w:val="auto"/>
              </w:rPr>
            </w:pPr>
            <w:r>
              <w:rPr>
                <w:rFonts w:ascii="Arial" w:cs="Arial" w:eastAsia="Arial" w:hAnsi="Arial"/>
                <w:sz w:val="18"/>
                <w:szCs w:val="18"/>
                <w:color w:val="auto"/>
              </w:rPr>
              <w:t>Less: Net income attributable to noncontrolling interest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(33,300)</w:t>
            </w: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(36,512)</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(85,831)</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(67,383)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Wynn Resorts, Limited</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122,031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295,835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income per common share:</w:t>
            </w: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 attributable to Wynn Resorts, Limited:</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280"/>
              <w:spacing w:after="0"/>
              <w:rPr>
                <w:sz w:val="20"/>
                <w:szCs w:val="20"/>
                <w:color w:val="auto"/>
              </w:rPr>
            </w:pPr>
            <w:r>
              <w:rPr>
                <w:rFonts w:ascii="Arial" w:cs="Arial" w:eastAsia="Arial" w:hAnsi="Arial"/>
                <w:sz w:val="18"/>
                <w:szCs w:val="18"/>
                <w:color w:val="auto"/>
              </w:rPr>
              <w:t>Basic</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0.98</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0.43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Diluted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860"/>
              <w:spacing w:after="0"/>
              <w:rPr>
                <w:sz w:val="20"/>
                <w:szCs w:val="20"/>
                <w:color w:val="auto"/>
              </w:rPr>
            </w:pPr>
            <w:r>
              <w:rPr>
                <w:rFonts w:ascii="Arial" w:cs="Arial" w:eastAsia="Arial" w:hAnsi="Arial"/>
                <w:sz w:val="18"/>
                <w:szCs w:val="18"/>
                <w:color w:val="auto"/>
              </w:rPr>
              <w:t>Weighted average common shares outstanding:</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Basic</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123,970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122,521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123,864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280"/>
              <w:spacing w:after="0"/>
              <w:rPr>
                <w:sz w:val="20"/>
                <w:szCs w:val="20"/>
                <w:color w:val="auto"/>
              </w:rPr>
            </w:pPr>
            <w:r>
              <w:rPr>
                <w:rFonts w:ascii="Arial" w:cs="Arial" w:eastAsia="Arial" w:hAnsi="Arial"/>
                <w:sz w:val="18"/>
                <w:szCs w:val="18"/>
                <w:color w:val="auto"/>
              </w:rPr>
              <w:t>Diluted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125,729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123,816</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125,567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123,387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income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381,666</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146,776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203,399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205,918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12,676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87,530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(7,365)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Receivables, net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(7,270)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(18,746)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128,608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830,998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422,590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(188,563)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Purchase of corporate debt securities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(171,989)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purchase of other assets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(244,532)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(197,367)</w:t>
            </w:r>
          </w:p>
        </w:tc>
        <w:tc>
          <w:tcPr>
            <w:tcW w:w="0" w:type="dxa"/>
            <w:vAlign w:val="bottom"/>
          </w:tcPr>
          <w:p>
            <w:pPr>
              <w:spacing w:after="0"/>
              <w:rPr>
                <w:sz w:val="1"/>
                <w:szCs w:val="1"/>
                <w:color w:val="auto"/>
              </w:rPr>
            </w:pPr>
          </w:p>
        </w:tc>
      </w:tr>
      <w:tr>
        <w:trPr>
          <w:trHeight w:val="222"/>
        </w:trPr>
        <w:tc>
          <w:tcPr>
            <w:tcW w:w="74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(62,785)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58,947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treasury stock</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(122,004)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(392,941)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deferred financing costs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vMerge w:val="continue"/>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(160,177)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(356,420)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on cash</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22"/>
        </w:trPr>
        <w:tc>
          <w:tcPr>
            <w:tcW w:w="74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426,490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(133,408)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1,258,499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1,991,830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1,684,989</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1,858,422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completed an initial public offering of its common stock on October 25, 2002.</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June 2002, the Company’s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October 2009, Wynn Macau, Limited, a newly formed and indirect wholly-owned subsidiary of the Company and the developer, owner and operator of Wynn Macau, had its ordinary shares of common stock listed on The Stock Exchange of Hong Kong Limited. Through an initial public offering, including the over allotment, Wynn Macau, Limited sold 1,437,500,000 shares (27.7%) of its common stock.</w:t>
      </w:r>
    </w:p>
    <w:p>
      <w:pPr>
        <w:spacing w:after="0" w:line="14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Company currently owns and operates casino hotel resort properties in Las Vegas, Nevada and Macau. In Las Vegas, Nevada, the Company owns Wynn Las Vegas, which opened on April 28, 2005 and was expanded with the opening of Encore at Wynn Las Vegas on December 22, 2008 (together, “Wynn Las Vegas” or the “Las Vegas Operations”). In Macau, the Company owns Wynn Macau, which opened on September 6, 2006 and was expanded with the opening of Encore at Wynn Macau on April 21, 2010 (together, “Wynn Macau” or the “Macau Operations”).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and six months ended June 30, 2011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2010.</w:t>
      </w:r>
    </w:p>
    <w:p>
      <w:pPr>
        <w:spacing w:after="0" w:line="193" w:lineRule="exact"/>
        <w:rPr>
          <w:sz w:val="20"/>
          <w:szCs w:val="20"/>
          <w:color w:val="auto"/>
        </w:rPr>
      </w:pPr>
    </w:p>
    <w:p>
      <w:pPr>
        <w:ind w:left="240" w:right="7920" w:hanging="232"/>
        <w:spacing w:after="0" w:line="347"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Cash and Cash Equivalents</w:t>
      </w:r>
    </w:p>
    <w:p>
      <w:pPr>
        <w:spacing w:after="0" w:line="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 Cash equivalents of $841.5</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million and $663.9 million at June 30, 2011 and December 31, 2010, respectively, were invested in time deposits, money market accounts, U.S. Treasuries and commercial paper. The Company utilized Level 1 inputs as described in Note 10 to determine fair value.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 Securities</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Investment securities consist of short-term and long-term investments in domestic and foreign corporate debt securities and commercial paper. Management determines the appropriate classification of debt securities at the time of purchase and reevaluates such designation as of each balance sheet date. All of the Company’s investments have been classified as held-to-maturity because the Company has the positive intent and ability to hold them to maturity. These investments are reported at amortized cost, adjusted for amortization of premiums and accretion of discounts to maturity computed under the effective interest method. Such amortization is included in interest income together with the stated interest on such securities.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June 30, 2011 and December 31, 2010, approximately 75% and 82%,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 consequently, the Company’s casino revenues are reduced by discounts and commissions, and points earned in the player’s club loyalty program.</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2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9"/>
              </w:rPr>
              <w:t>Three Months Ended</w:t>
            </w: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6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2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Pr>
          <w:p>
            <w:pPr>
              <w:spacing w:after="0"/>
              <w:rPr>
                <w:sz w:val="14"/>
                <w:szCs w:val="14"/>
                <w:color w:val="auto"/>
              </w:rPr>
            </w:pPr>
          </w:p>
        </w:tc>
        <w:tc>
          <w:tcPr>
            <w:tcW w:w="11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654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11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10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Rooms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$12,484</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$12,621</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$26,089</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$25,462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Food and beverage</w:t>
            </w:r>
          </w:p>
        </w:tc>
        <w:tc>
          <w:tcPr>
            <w:tcW w:w="580" w:type="dxa"/>
            <w:vAlign w:val="bottom"/>
          </w:tcPr>
          <w:p>
            <w:pPr>
              <w:jc w:val="right"/>
              <w:spacing w:after="0"/>
              <w:rPr>
                <w:sz w:val="20"/>
                <w:szCs w:val="20"/>
                <w:color w:val="auto"/>
              </w:rPr>
            </w:pPr>
            <w:r>
              <w:rPr>
                <w:rFonts w:ascii="Arial" w:cs="Arial" w:eastAsia="Arial" w:hAnsi="Arial"/>
                <w:sz w:val="18"/>
                <w:szCs w:val="18"/>
                <w:color w:val="auto"/>
              </w:rPr>
              <w:t>24,453</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21,765</w:t>
            </w:r>
          </w:p>
        </w:tc>
        <w:tc>
          <w:tcPr>
            <w:tcW w:w="580" w:type="dxa"/>
            <w:vAlign w:val="bottom"/>
          </w:tcPr>
          <w:p>
            <w:pPr>
              <w:jc w:val="right"/>
              <w:spacing w:after="0"/>
              <w:rPr>
                <w:sz w:val="20"/>
                <w:szCs w:val="20"/>
                <w:color w:val="auto"/>
              </w:rPr>
            </w:pPr>
            <w:r>
              <w:rPr>
                <w:rFonts w:ascii="Arial" w:cs="Arial" w:eastAsia="Arial" w:hAnsi="Arial"/>
                <w:sz w:val="18"/>
                <w:szCs w:val="18"/>
                <w:color w:val="auto"/>
              </w:rPr>
              <w:t>51,195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45,113</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5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5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10,439</w:t>
            </w:r>
          </w:p>
        </w:tc>
        <w:tc>
          <w:tcPr>
            <w:tcW w:w="100" w:type="dxa"/>
            <w:vAlign w:val="bottom"/>
            <w:shd w:val="clear" w:color="auto" w:fill="CCEEFF"/>
          </w:tcPr>
          <w:p>
            <w:pPr>
              <w:spacing w:after="0"/>
              <w:rPr>
                <w:sz w:val="18"/>
                <w:szCs w:val="18"/>
                <w:color w:val="auto"/>
              </w:rPr>
            </w:pPr>
          </w:p>
        </w:tc>
      </w:tr>
      <w:tr>
        <w:trPr>
          <w:trHeight w:val="222"/>
        </w:trPr>
        <w:tc>
          <w:tcPr>
            <w:tcW w:w="6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40,779</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39,742</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85,605</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81,014</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Condensed Consolidated Statements of Income. For the three months ended June 30, 2011 and 2010, gaming taxes totaled approximately $485.5 million and $350.6 million, respectively. For the six months ended June 30, 2011 and 2010, gaming taxes totaled approximately $910.8 million and $638.4 million,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For the three months ended June 30, 2011 and 2010, advertising costs totaled approximately $3.8 million and $4.7 million, respectively. For the six months ended June 30, 2011 and 2010, advertising costs totaled approximately $7.4 million and $9 million,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May 2011, the Financial Accounting Standards Board (the “FASB”) issued an accounting standards update that is intended to align the principles for fair value measurements and the related disclosure requirements under GAAP and IFRS. From a GAAP perspective, the updates are largely clarifications and certain additional disclosures. The effective date for this update is for years, and the interim periods within those years, beginning after December 15, 2011. This update is not expected to have a material impact on the Company’s financial statements.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June 2011, the FASB issued an accounting standards update that will require items of net income, items of other comprehensive income (“OCI”) and total comprehensive income to be presented in one continuous statement or two separate but consecutive statements. This will make the presentation of items within OCI more prominent. Companies will no longer be allowed to present OCI in the statement of stockholders’ equity. The effective date for this update is for years, and the interim periods within those years, beginning after December 15,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Basic earnings per share (“EPS”) is computed by dividing net income attributable to Wynn Resorts by the weighted average number of shares outstanding during the period. Diluted EPS reflects the addition of potentially dilutive securities, which for the Company include stock options and nonvested stock.</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60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60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060" w:type="dxa"/>
            <w:vAlign w:val="bottom"/>
            <w:tcBorders>
              <w:bottom w:val="single" w:sz="8" w:color="auto"/>
            </w:tcBorders>
            <w:gridSpan w:val="3"/>
          </w:tcPr>
          <w:p>
            <w:pPr>
              <w:jc w:val="center"/>
              <w:ind w:left="507"/>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700" w:type="dxa"/>
            <w:vAlign w:val="bottom"/>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90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700" w:type="dxa"/>
            <w:vAlign w:val="bottom"/>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 (used in calculation of basic earnings per share)</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123,970</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122,521</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123,864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122,467</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Potential dilution from the assumed exercise of stock options and nonvested stock</w:t>
            </w:r>
          </w:p>
        </w:tc>
        <w:tc>
          <w:tcPr>
            <w:tcW w:w="700" w:type="dxa"/>
            <w:vAlign w:val="bottom"/>
          </w:tcPr>
          <w:p>
            <w:pPr>
              <w:jc w:val="right"/>
              <w:spacing w:after="0"/>
              <w:rPr>
                <w:sz w:val="20"/>
                <w:szCs w:val="20"/>
                <w:color w:val="auto"/>
              </w:rPr>
            </w:pPr>
            <w:r>
              <w:rPr>
                <w:rFonts w:ascii="Arial" w:cs="Arial" w:eastAsia="Arial" w:hAnsi="Arial"/>
                <w:sz w:val="18"/>
                <w:szCs w:val="18"/>
                <w:color w:val="auto"/>
              </w:rPr>
              <w:t>1,759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1,295</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1,703</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common and common equivalent shares outstanding (used in calculation of diluted</w:t>
            </w: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share)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123,816</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125,567</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123,387</w:t>
            </w:r>
          </w:p>
        </w:tc>
        <w:tc>
          <w:tcPr>
            <w:tcW w:w="12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 total of 575,000 and 595,000 stock options were excluded from the calculation of diluted EPS for the three and six months ended June 30, 2011, respectively, because including them would have been anti-dilutive. Another 25,200 and 35,200 stock options were out-of-the-money for the three and six months ended June 30, 2011, respectively, and were also excluded as anti-dilutive. A total of 392,500 and 382,500 stock options were excluded from the calculation of diluted EPS for the three and six months ended June 30, 2010, respectively, because including them would have been anti-dilutive. Another 905,000 and 915,000 stock options were out-of-the-money for the three and six months ended June 30, 2010, respectively and were also excluded.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comprehensive income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0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9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0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20" w:type="dxa"/>
            <w:vAlign w:val="bottom"/>
            <w:gridSpan w:val="4"/>
          </w:tcPr>
          <w:p>
            <w:pPr>
              <w:jc w:val="right"/>
              <w:ind w:right="3"/>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8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$155,331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$ 88,917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$381,666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146,776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680" w:type="dxa"/>
            <w:vAlign w:val="bottom"/>
          </w:tcPr>
          <w:p>
            <w:pPr>
              <w:jc w:val="right"/>
              <w:spacing w:after="0"/>
              <w:rPr>
                <w:sz w:val="20"/>
                <w:szCs w:val="20"/>
                <w:color w:val="auto"/>
              </w:rPr>
            </w:pPr>
            <w:r>
              <w:rPr>
                <w:rFonts w:ascii="Arial" w:cs="Arial" w:eastAsia="Arial" w:hAnsi="Arial"/>
                <w:sz w:val="18"/>
                <w:szCs w:val="18"/>
                <w:color w:val="auto"/>
              </w:rPr>
              <w:t>1,286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(2,699)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income</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143,255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(33,656)</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(35,764)</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(85,843)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(66,408)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Wynn Resorts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122,961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$ 50,454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295,867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2011 and December 31, 2010, accumulated other comprehensive income consisted solely of currency translation adjustments.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Disclosure of Cash Flow Information</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Interest paid for the six months ended June 30, 2011 and 2010 totaled $113.1 million and $100.3 million, respectively. Interest capitalized for the six months ended June 30, 2011 and 2010, totaled $0 and $7.2 million, respectively.</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the six months ended June 30, 2011 and 2010, capital expenditures include a decrease of $7.3 million and $19.5 million, respectively, in construction payables and retention.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3"/>
          </w:tcPr>
          <w:p>
            <w:pPr>
              <w:ind w:left="240"/>
              <w:spacing w:after="0"/>
              <w:rPr>
                <w:sz w:val="20"/>
                <w:szCs w:val="20"/>
                <w:color w:val="auto"/>
              </w:rPr>
            </w:pPr>
            <w:r>
              <w:rPr>
                <w:rFonts w:ascii="Arial" w:cs="Arial" w:eastAsia="Arial" w:hAnsi="Arial"/>
                <w:sz w:val="14"/>
                <w:szCs w:val="14"/>
                <w:b w:val="1"/>
                <w:bCs w:val="1"/>
                <w:color w:val="auto"/>
                <w:w w:val="83"/>
              </w:rPr>
              <w:t>2011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$ 237,187</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257,951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Hotel</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20,188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17,851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Retail leases and other</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42,997</w:t>
            </w:r>
          </w:p>
        </w:tc>
        <w:tc>
          <w:tcPr>
            <w:tcW w:w="12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25,753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300,372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301,555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8"/>
              </w:rPr>
              <w:t>(119,580)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8"/>
              </w:rPr>
              <w:t>(114,091)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w w:val="89"/>
              </w:rPr>
              <w:t>$ 180,792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187,464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Property and Equipment, net</w:t>
            </w: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7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20" w:type="dxa"/>
            <w:vAlign w:val="bottom"/>
            <w:gridSpan w:val="4"/>
          </w:tcPr>
          <w:p>
            <w:pPr>
              <w:ind w:left="460"/>
              <w:spacing w:after="0"/>
              <w:rPr>
                <w:sz w:val="20"/>
                <w:szCs w:val="20"/>
                <w:color w:val="auto"/>
              </w:rPr>
            </w:pPr>
            <w:r>
              <w:rPr>
                <w:rFonts w:ascii="Arial" w:cs="Arial" w:eastAsia="Arial" w:hAnsi="Arial"/>
                <w:sz w:val="18"/>
                <w:szCs w:val="18"/>
                <w:color w:val="auto"/>
                <w:w w:val="97"/>
              </w:rPr>
              <w:t>Property and equipment, net consisted of the following (amounts in thousands):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5"/>
              </w:rPr>
              <w:t>June 30,</w:t>
            </w:r>
          </w:p>
        </w:tc>
        <w:tc>
          <w:tcPr>
            <w:tcW w:w="220" w:type="dxa"/>
            <w:vAlign w:val="bottom"/>
          </w:tcPr>
          <w:p>
            <w:pPr>
              <w:spacing w:after="0"/>
              <w:rPr>
                <w:sz w:val="24"/>
                <w:szCs w:val="24"/>
                <w:color w:val="auto"/>
              </w:rPr>
            </w:pPr>
          </w:p>
        </w:tc>
        <w:tc>
          <w:tcPr>
            <w:tcW w:w="98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and improvements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732,945</w:t>
            </w:r>
          </w:p>
        </w:tc>
        <w:tc>
          <w:tcPr>
            <w:tcW w:w="12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731,810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5"/>
          </w:tcPr>
          <w:p>
            <w:pPr>
              <w:jc w:val="right"/>
              <w:ind w:right="100"/>
              <w:spacing w:after="0"/>
              <w:rPr>
                <w:sz w:val="20"/>
                <w:szCs w:val="20"/>
                <w:color w:val="auto"/>
              </w:rPr>
            </w:pPr>
            <w:r>
              <w:rPr>
                <w:rFonts w:ascii="Arial" w:cs="Arial" w:eastAsia="Arial" w:hAnsi="Arial"/>
                <w:sz w:val="18"/>
                <w:szCs w:val="18"/>
                <w:color w:val="auto"/>
                <w:w w:val="92"/>
              </w:rPr>
              <w:t>3,762,677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3,735,633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77,436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77,421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5"/>
          </w:tcPr>
          <w:p>
            <w:pPr>
              <w:jc w:val="right"/>
              <w:ind w:right="100"/>
              <w:spacing w:after="0"/>
              <w:rPr>
                <w:sz w:val="20"/>
                <w:szCs w:val="20"/>
                <w:color w:val="auto"/>
              </w:rPr>
            </w:pPr>
            <w:r>
              <w:rPr>
                <w:rFonts w:ascii="Arial" w:cs="Arial" w:eastAsia="Arial" w:hAnsi="Arial"/>
                <w:sz w:val="18"/>
                <w:szCs w:val="18"/>
                <w:color w:val="auto"/>
                <w:w w:val="92"/>
              </w:rPr>
              <w:t>1,655,377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1,647,424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85,549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85,545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5"/>
          </w:tcPr>
          <w:p>
            <w:pPr>
              <w:jc w:val="right"/>
              <w:ind w:right="100"/>
              <w:spacing w:after="0"/>
              <w:rPr>
                <w:sz w:val="20"/>
                <w:szCs w:val="20"/>
                <w:color w:val="auto"/>
              </w:rPr>
            </w:pPr>
            <w:r>
              <w:rPr>
                <w:rFonts w:ascii="Arial" w:cs="Arial" w:eastAsia="Arial" w:hAnsi="Arial"/>
                <w:sz w:val="18"/>
                <w:szCs w:val="18"/>
                <w:color w:val="auto"/>
              </w:rPr>
              <w:t>10,956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22,901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2"/>
              </w:rPr>
              <w:t>6,324,940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6,300,734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w w:val="86"/>
              </w:rPr>
              <w:t>(1,554,490)</w:t>
            </w:r>
          </w:p>
        </w:tc>
        <w:tc>
          <w:tcPr>
            <w:tcW w:w="300" w:type="dxa"/>
            <w:vAlign w:val="bottom"/>
          </w:tcPr>
          <w:p>
            <w:pPr>
              <w:spacing w:after="0"/>
              <w:rPr>
                <w:sz w:val="18"/>
                <w:szCs w:val="18"/>
                <w:color w:val="auto"/>
              </w:rPr>
            </w:pPr>
          </w:p>
        </w:tc>
        <w:tc>
          <w:tcPr>
            <w:tcW w:w="1200" w:type="dxa"/>
            <w:vAlign w:val="bottom"/>
            <w:gridSpan w:val="7"/>
          </w:tcPr>
          <w:p>
            <w:pPr>
              <w:jc w:val="right"/>
              <w:ind w:right="40"/>
              <w:spacing w:after="0"/>
              <w:rPr>
                <w:sz w:val="20"/>
                <w:szCs w:val="20"/>
                <w:color w:val="auto"/>
              </w:rPr>
            </w:pPr>
            <w:r>
              <w:rPr>
                <w:rFonts w:ascii="Arial" w:cs="Arial" w:eastAsia="Arial" w:hAnsi="Arial"/>
                <w:sz w:val="18"/>
                <w:szCs w:val="18"/>
                <w:color w:val="auto"/>
              </w:rPr>
              <w:t>(1,379,475)</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9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w w:val="88"/>
              </w:rPr>
              <w:t>$ 4,770,450</w:t>
            </w:r>
          </w:p>
        </w:tc>
        <w:tc>
          <w:tcPr>
            <w:tcW w:w="30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$ 4,921,259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Investment Securities</w:t>
            </w: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7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40" w:type="dxa"/>
            <w:vAlign w:val="bottom"/>
            <w:gridSpan w:val="2"/>
          </w:tcPr>
          <w:p>
            <w:pPr>
              <w:ind w:left="460"/>
              <w:spacing w:after="0"/>
              <w:rPr>
                <w:sz w:val="20"/>
                <w:szCs w:val="20"/>
                <w:color w:val="auto"/>
              </w:rPr>
            </w:pPr>
            <w:r>
              <w:rPr>
                <w:rFonts w:ascii="Arial" w:cs="Arial" w:eastAsia="Arial" w:hAnsi="Arial"/>
                <w:sz w:val="18"/>
                <w:szCs w:val="18"/>
                <w:color w:val="auto"/>
                <w:w w:val="91"/>
              </w:rPr>
              <w:t>Investment securities consisted of the following (amounts in thousands):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89"/>
              </w:rPr>
              <w:t>Held-to-maturity securities</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Amortized cost</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4"/>
          </w:tcPr>
          <w:p>
            <w:pPr>
              <w:jc w:val="right"/>
              <w:ind w:right="440"/>
              <w:spacing w:after="0" w:line="12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(net carrying</w:t>
            </w:r>
          </w:p>
        </w:tc>
        <w:tc>
          <w:tcPr>
            <w:tcW w:w="820" w:type="dxa"/>
            <w:vAlign w:val="bottom"/>
          </w:tcPr>
          <w:p>
            <w:pPr>
              <w:spacing w:after="0"/>
              <w:rPr>
                <w:sz w:val="12"/>
                <w:szCs w:val="12"/>
                <w:color w:val="auto"/>
              </w:rPr>
            </w:pPr>
          </w:p>
        </w:tc>
        <w:tc>
          <w:tcPr>
            <w:tcW w:w="11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4"/>
                <w:szCs w:val="14"/>
                <w:b w:val="1"/>
                <w:bCs w:val="1"/>
                <w:color w:val="auto"/>
                <w:w w:val="97"/>
              </w:rPr>
              <w:t>amount)</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Fair value</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June 30, 2011</w:t>
            </w: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left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Domestic and foreign corporate bonds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122,862</w:t>
            </w:r>
          </w:p>
        </w:tc>
        <w:tc>
          <w:tcPr>
            <w:tcW w:w="900" w:type="dxa"/>
            <w:vAlign w:val="bottom"/>
            <w:gridSpan w:val="2"/>
          </w:tcPr>
          <w:p>
            <w:pPr>
              <w:ind w:left="82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w w:val="90"/>
              </w:rPr>
              <w:t>(260)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$122,631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49,127</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49,104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171,989</w:t>
            </w:r>
          </w:p>
        </w:tc>
        <w:tc>
          <w:tcPr>
            <w:tcW w:w="900" w:type="dxa"/>
            <w:vAlign w:val="bottom"/>
            <w:gridSpan w:val="2"/>
          </w:tcPr>
          <w:p>
            <w:pPr>
              <w:ind w:left="82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w w:val="90"/>
              </w:rPr>
              <w:t>(286)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171,735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The net carrying value and estimated fair value of these investment securities at June 30, 2011, by contractual maturity are shown below (amounts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Cost</w:t>
            </w:r>
          </w:p>
        </w:tc>
        <w:tc>
          <w:tcPr>
            <w:tcW w:w="62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Held-to-maturity debt securities</w:t>
            </w:r>
          </w:p>
        </w:tc>
        <w:tc>
          <w:tcPr>
            <w:tcW w:w="4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99,289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three years</w:t>
            </w:r>
          </w:p>
        </w:tc>
        <w:tc>
          <w:tcPr>
            <w:tcW w:w="4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40" w:type="dxa"/>
            <w:vAlign w:val="bottom"/>
          </w:tcPr>
          <w:p>
            <w:pPr>
              <w:spacing w:after="0"/>
              <w:rPr>
                <w:sz w:val="19"/>
                <w:szCs w:val="19"/>
                <w:color w:val="auto"/>
              </w:rPr>
            </w:pPr>
          </w:p>
        </w:tc>
        <w:tc>
          <w:tcPr>
            <w:tcW w:w="4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171,989</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171,735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500" w:type="dxa"/>
            <w:vAlign w:val="bottom"/>
            <w:vMerge w:val="restart"/>
          </w:tcPr>
          <w:p>
            <w:pPr>
              <w:jc w:val="right"/>
              <w:ind w:right="3012"/>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r>
      <w:tr>
        <w:trPr>
          <w:trHeight w:val="161"/>
        </w:trPr>
        <w:tc>
          <w:tcPr>
            <w:tcW w:w="9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r>
      <w:tr>
        <w:trPr>
          <w:trHeight w:val="188"/>
        </w:trPr>
        <w:tc>
          <w:tcPr>
            <w:tcW w:w="924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5"/>
              </w:rPr>
              <w:t xml:space="preserve">7 </w:t>
            </w:r>
            <w:r>
              <w:rPr>
                <w:rFonts w:ascii="Arial" w:cs="Arial" w:eastAsia="Arial" w:hAnsi="Arial"/>
                <w:sz w:val="11"/>
                <w:szCs w:val="11"/>
                <w:color w:val="auto"/>
                <w:w w:val="95"/>
              </w:rPr>
              <w:t>7</w:t>
            </w:r>
            <w:r>
              <w:rPr>
                <w:rFonts w:ascii="Arial" w:cs="Arial" w:eastAsia="Arial" w:hAnsi="Arial"/>
                <w:sz w:val="18"/>
                <w:szCs w:val="18"/>
                <w:color w:val="auto"/>
                <w:w w:val="95"/>
              </w:rPr>
              <w:t>/</w:t>
            </w:r>
            <w:r>
              <w:rPr>
                <w:rFonts w:ascii="Arial" w:cs="Arial" w:eastAsia="Arial" w:hAnsi="Arial"/>
                <w:sz w:val="13"/>
                <w:szCs w:val="13"/>
                <w:color w:val="auto"/>
                <w:w w:val="95"/>
              </w:rPr>
              <w:t>8</w:t>
            </w:r>
            <w:r>
              <w:rPr>
                <w:rFonts w:ascii="Arial" w:cs="Arial" w:eastAsia="Arial" w:hAnsi="Arial"/>
                <w:sz w:val="18"/>
                <w:szCs w:val="18"/>
                <w:color w:val="auto"/>
                <w:w w:val="95"/>
              </w:rPr>
              <w:t>% Wynn Las Vegas First Mortgage Notes, due November 1, 2017, net of original issue discount of $9,140 at June 30,</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2011 and $9,679 at December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490,860</w:t>
            </w:r>
          </w:p>
        </w:tc>
        <w:tc>
          <w:tcPr>
            <w:tcW w:w="2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490,321</w:t>
            </w:r>
          </w:p>
        </w:tc>
        <w:tc>
          <w:tcPr>
            <w:tcW w:w="120" w:type="dxa"/>
            <w:vAlign w:val="bottom"/>
            <w:shd w:val="clear" w:color="auto" w:fill="CCEEFF"/>
          </w:tcPr>
          <w:p>
            <w:pPr>
              <w:spacing w:after="0"/>
              <w:rPr>
                <w:sz w:val="19"/>
                <w:szCs w:val="19"/>
                <w:color w:val="auto"/>
              </w:rPr>
            </w:pPr>
          </w:p>
        </w:tc>
      </w:tr>
      <w:tr>
        <w:trPr>
          <w:trHeight w:val="208"/>
        </w:trPr>
        <w:tc>
          <w:tcPr>
            <w:tcW w:w="9240" w:type="dxa"/>
            <w:vAlign w:val="bottom"/>
          </w:tcPr>
          <w:p>
            <w:pPr>
              <w:spacing w:after="0"/>
              <w:rPr>
                <w:sz w:val="20"/>
                <w:szCs w:val="20"/>
                <w:color w:val="auto"/>
              </w:rPr>
            </w:pPr>
            <w:r>
              <w:rPr>
                <w:rFonts w:ascii="Arial" w:cs="Arial" w:eastAsia="Arial" w:hAnsi="Arial"/>
                <w:sz w:val="18"/>
                <w:szCs w:val="18"/>
                <w:color w:val="auto"/>
                <w:w w:val="92"/>
              </w:rPr>
              <w:t xml:space="preserve">7 </w:t>
            </w:r>
            <w:r>
              <w:rPr>
                <w:rFonts w:ascii="Arial" w:cs="Arial" w:eastAsia="Arial" w:hAnsi="Arial"/>
                <w:sz w:val="11"/>
                <w:szCs w:val="11"/>
                <w:color w:val="auto"/>
                <w:w w:val="92"/>
              </w:rPr>
              <w:t>7</w:t>
            </w:r>
            <w:r>
              <w:rPr>
                <w:rFonts w:ascii="Arial" w:cs="Arial" w:eastAsia="Arial" w:hAnsi="Arial"/>
                <w:sz w:val="18"/>
                <w:szCs w:val="18"/>
                <w:color w:val="auto"/>
                <w:w w:val="92"/>
              </w:rPr>
              <w:t>/</w:t>
            </w:r>
            <w:r>
              <w:rPr>
                <w:rFonts w:ascii="Arial" w:cs="Arial" w:eastAsia="Arial" w:hAnsi="Arial"/>
                <w:sz w:val="13"/>
                <w:szCs w:val="13"/>
                <w:color w:val="auto"/>
                <w:w w:val="92"/>
              </w:rPr>
              <w:t>8</w:t>
            </w:r>
            <w:r>
              <w:rPr>
                <w:rFonts w:ascii="Arial" w:cs="Arial" w:eastAsia="Arial" w:hAnsi="Arial"/>
                <w:sz w:val="18"/>
                <w:szCs w:val="18"/>
                <w:color w:val="auto"/>
                <w:w w:val="92"/>
              </w:rPr>
              <w:t>% Wynn Las Vegas First Mortgage Notes, due May 1, 2020, net of original issue discount of $1,863 at June 30, 2011 and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$1,933 at December 31, 2010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350,147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350,077</w:t>
            </w:r>
          </w:p>
        </w:tc>
        <w:tc>
          <w:tcPr>
            <w:tcW w:w="120" w:type="dxa"/>
            <w:vAlign w:val="bottom"/>
          </w:tcPr>
          <w:p>
            <w:pPr>
              <w:spacing w:after="0"/>
              <w:rPr>
                <w:sz w:val="19"/>
                <w:szCs w:val="19"/>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Wynn Las Vegas First Mortgage Notes, due August 15, 2020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1,320,000</w:t>
            </w: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Wynn Las Vegas Revolving Credit Facility, due July 15, 2013; interest at LIBOR plus 3%</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3,868</w:t>
            </w:r>
          </w:p>
        </w:tc>
        <w:tc>
          <w:tcPr>
            <w:tcW w:w="1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Wynn Las Vegas Revolving Credit Facility, due July 17, 2015; interest at LIBOR plus 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16,187</w:t>
            </w: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Wynn Las Vegas Term Loan Facility, due August 15, 2013; interest at LIBOR plus 1.875%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44,281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44,281</w:t>
            </w:r>
          </w:p>
        </w:tc>
        <w:tc>
          <w:tcPr>
            <w:tcW w:w="1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Wynn Las Vegas Term Loan Facility, due August 17, 2015; interest at LIBOR plus 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330,605</w:t>
            </w: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Wynn Macau Senior Term Loan Facilities, due June 27, 2014; interest at LIBOR or HIBOR plus 1.25% - 1.75%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550,920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550,900</w:t>
            </w:r>
          </w:p>
        </w:tc>
        <w:tc>
          <w:tcPr>
            <w:tcW w:w="1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Wynn Macau Senior Revolving Credit Facility, due June 27, 2012; interest at LIBOR or HIBOR plus 1.25%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100,165</w:t>
            </w: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36,050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36,750</w:t>
            </w:r>
          </w:p>
        </w:tc>
        <w:tc>
          <w:tcPr>
            <w:tcW w:w="1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$32.5 million Note Payable, due August 10, 2012; interest at LIBOR plus 1.15%</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120" w:type="dxa"/>
            <w:vAlign w:val="bottom"/>
            <w:shd w:val="clear" w:color="auto" w:fill="CCEEFF"/>
          </w:tcPr>
          <w:p>
            <w:pPr>
              <w:spacing w:after="0"/>
              <w:rPr>
                <w:sz w:val="18"/>
                <w:szCs w:val="18"/>
                <w:color w:val="auto"/>
              </w:rPr>
            </w:pPr>
          </w:p>
        </w:tc>
      </w:tr>
      <w:tr>
        <w:trPr>
          <w:trHeight w:val="221"/>
        </w:trPr>
        <w:tc>
          <w:tcPr>
            <w:tcW w:w="9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3,146,154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3,267,529</w:t>
            </w:r>
          </w:p>
        </w:tc>
        <w:tc>
          <w:tcPr>
            <w:tcW w:w="120" w:type="dxa"/>
            <w:vAlign w:val="bottom"/>
          </w:tcPr>
          <w:p>
            <w:pPr>
              <w:spacing w:after="0"/>
              <w:rPr>
                <w:sz w:val="19"/>
                <w:szCs w:val="19"/>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(150,898)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(2,675)</w:t>
            </w:r>
          </w:p>
        </w:tc>
      </w:tr>
      <w:tr>
        <w:trPr>
          <w:trHeight w:val="222"/>
        </w:trPr>
        <w:tc>
          <w:tcPr>
            <w:tcW w:w="9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2,995,256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3,264,854</w:t>
            </w:r>
          </w:p>
        </w:tc>
        <w:tc>
          <w:tcPr>
            <w:tcW w:w="12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Revolving Credit Facilities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June 30, 2011, no amounts were outstanding under the Wynn Las Vegas Revolving Credit Facilities. The Company had $19.5 million of outstanding letters of credit that reduce its availability under the Wynn Las Vegas Revolving Credit Facilities. Accordingly, the Company has availability of $347.5 million under the Wynn Las Vegas Revolving Credit Facilities as of June 30, 2011.</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Senior Revolving Credit Facility</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June 30, 2011, no amounts were outstanding under the Wynn Macau Senior Revolving Credit Facility. Accordingly, the Company has availability of $1 billion under the Wynn Macau Credit Facilities as of June 30, 2011.</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Beginning in September 2011, quarterly payments are due under the Wynn Macau Senior Term Loan Facilities. Such amounts are included in current maturities of long-term debt.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2011,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net book value of the Company’s outstanding first mortgage notes was approximately $2.2 billion at both June 30, 2011 and December 31, 2010. The estimated fair value of the Company’s outstanding first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mortgage notes, based on quoted market prices, was approximately $2.4 billion at June 30, 2011 and approximately $2.3 billion at December 31, 2010. The net book value of the Company’s other debt instruments was approximately $1 billion and $1.1 billion at June 30, 2011 and December 31, 2010, respectively. The estimated fair value of the Company’s other debt instruments was approximately $1 billion and $1.1 billion at June 30, 2011 and December 31, 2010,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Interest Rate Swaps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an increase/decrease in swap fair value in the accompanying Condensed Consolidated Statements of Income, as the interest rate swaps do not qualify for hedge accounting.</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interest rate swaps as Level 2.</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following table presents the historical fair value of the interest rate swaps recorded in the accompanying Condensed Consolidated Balance Sheets as of June 30, 2011 and December 31, 2010. 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 As of June 30, 2011, $7 million of the interest rate swap liabilities are included in other accrued expenses and $7.1 million are included in other long-term liabilities. As of December 31, 2010, $5.9 million of the interest rate swap liabilities are included in other accrued expenses and $15.6 million are included in other long-term liabilities.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7"/>
              </w:rPr>
              <w:t>Total Interest</w:t>
            </w:r>
          </w:p>
        </w:tc>
      </w:tr>
      <w:tr>
        <w:trPr>
          <w:trHeight w:val="161"/>
        </w:trPr>
        <w:tc>
          <w:tcPr>
            <w:tcW w:w="8120" w:type="dxa"/>
            <w:vAlign w:val="bottom"/>
          </w:tcPr>
          <w:p>
            <w:pPr>
              <w:spacing w:after="0"/>
              <w:rPr>
                <w:sz w:val="20"/>
                <w:szCs w:val="20"/>
                <w:color w:val="auto"/>
              </w:rPr>
            </w:pPr>
            <w:r>
              <w:rPr>
                <w:rFonts w:ascii="Arial" w:cs="Arial" w:eastAsia="Arial" w:hAnsi="Arial"/>
                <w:sz w:val="14"/>
                <w:szCs w:val="14"/>
                <w:b w:val="1"/>
                <w:bCs w:val="1"/>
                <w:color w:val="auto"/>
              </w:rPr>
              <w:t>Liability fair value:</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Las Vegas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7"/>
              </w:rPr>
              <w:t>Macau</w:t>
            </w: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Rate Swaps</w:t>
            </w:r>
          </w:p>
        </w:tc>
      </w:tr>
      <w:tr>
        <w:trPr>
          <w:trHeight w:val="142"/>
        </w:trPr>
        <w:tc>
          <w:tcPr>
            <w:tcW w:w="8120" w:type="dxa"/>
            <w:vAlign w:val="bottom"/>
          </w:tcPr>
          <w:p>
            <w:pPr>
              <w:spacing w:after="0" w:line="142"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June 30, 2011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7,089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6,995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14,084</w:t>
            </w:r>
          </w:p>
        </w:tc>
        <w:tc>
          <w:tcPr>
            <w:tcW w:w="100" w:type="dxa"/>
            <w:vAlign w:val="bottom"/>
            <w:shd w:val="clear" w:color="auto" w:fill="CCEEFF"/>
          </w:tcPr>
          <w:p>
            <w:pPr>
              <w:spacing w:after="0"/>
              <w:rPr>
                <w:sz w:val="18"/>
                <w:szCs w:val="18"/>
                <w:color w:val="auto"/>
              </w:rPr>
            </w:pPr>
          </w:p>
        </w:tc>
      </w:tr>
      <w:tr>
        <w:trPr>
          <w:trHeight w:val="222"/>
        </w:trPr>
        <w:tc>
          <w:tcPr>
            <w:tcW w:w="8120" w:type="dxa"/>
            <w:vAlign w:val="bottom"/>
          </w:tcPr>
          <w:p>
            <w:pPr>
              <w:spacing w:after="0"/>
              <w:rPr>
                <w:sz w:val="20"/>
                <w:szCs w:val="20"/>
                <w:color w:val="auto"/>
              </w:rPr>
            </w:pPr>
            <w:r>
              <w:rPr>
                <w:rFonts w:ascii="Arial" w:cs="Arial" w:eastAsia="Arial" w:hAnsi="Arial"/>
                <w:sz w:val="18"/>
                <w:szCs w:val="18"/>
                <w:color w:val="auto"/>
              </w:rPr>
              <w:t>December 31, 2010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8,457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w w:val="83"/>
              </w:rPr>
              <w:t>12,992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21,449</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Swap</w:t>
      </w:r>
    </w:p>
    <w:p>
      <w:pPr>
        <w:spacing w:after="0" w:line="90"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The Company currently has one interest rate swap agreement to hedge a portion of the underlying interest rate risk on borrowings under the Wynn Las Vegas Credit Facilities. Under this swap agreement,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Swaps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three interest rate swap agreements to hedge a portion of the underlying interest rate risk on borrowings under the Wynn Macau Credit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Facilities. Under the first swap agreement, the Company pays a fixed interest rate of 3.632% on U.S. dollar borrowings of $153.8 million incurred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Wynn Macau Credit Facilities in exchange for receipts on the same amount at a variable interest rate based on the applicable LIBOR at the time of payment.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second swap agreement, the Company pays a fixed interest rate of 3.39% on Hong Kong dollar borrowings of HK $991.6 million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US$127 million) incurred under the Wynn Macau Credit Facilities in exchange for receipts on the same amount at a variable interest rate based on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HIBOR at the time of payment. As of June 30, 2011, these interest rate swaps fix the interest rates on the US dollar and the Hong Kong dollar borrowings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Wynn Macau Credit Facilities at 4.88% - 5.38% and 4.64%, respectively. These interest rate swap agreements mature in August 2011.</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entered into a third interest rate swap agreement to hedge a portion of the underlying interest rate risk on borrowings under the Wynn Macau Credit Facilities. Under this swap agreement, the Company pays a fixed interest rate of 2.15% on borrowings of HK$2.3 billion (approximately US$300 million) incurred under the Wynn Macau Credit Facilities in exchange for receipts on the same amount at a variable interest rate based on the applicable HIBOR at the time of payment. As of June 30, 2011, this interest rate swap fixes the interest rate on such borrowings at 3.4%. This interest rate swap agreement matures in June 2012.</w:t>
      </w:r>
    </w:p>
    <w:p>
      <w:pPr>
        <w:spacing w:after="0" w:line="218" w:lineRule="exact"/>
        <w:rPr>
          <w:sz w:val="20"/>
          <w:szCs w:val="20"/>
          <w:color w:val="auto"/>
        </w:rPr>
      </w:pPr>
    </w:p>
    <w:p>
      <w:pPr>
        <w:ind w:left="240" w:right="9100" w:hanging="232"/>
        <w:spacing w:after="0" w:line="417" w:lineRule="auto"/>
        <w:tabs>
          <w:tab w:leader="none" w:pos="266"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Amounts Due to Officers</w:t>
      </w:r>
    </w:p>
    <w:p>
      <w:pPr>
        <w:spacing w:after="0" w:line="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Company periodically provides services to Stephen A. Wynn, Chairman of the Board of Directors and Chief Executive Officer (“Mr. Wynn”), and certain other officers and directors of the Company, including household employees, construction work and other personal services. Mr. Wynn and the other officers and directors have deposits with the Company to prepay any such items, which are replenished on an ongoing basis as needed. As of June 30, 2011 and December 31, 2010, Mr. Wynn and the other officers and directors had a net deposit balance with the Company of approximately $1.2 million and $0.3 million,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will be treated as imputed income to Mr. Wynn, and will be equal to the fair market value of the accommodations provided. Effective March 1, 2010, and for the first two years of the term of the SW Lease, the rental value will be $503,831 per year. The rental value for the villa will be re-determined every two years during the term of the lease by the Audit Committee, with the assistance of an independent third-party appraisal. Certain services for, and maintenance of, the villa are included in the rental.</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17, 2010, Elaine P. Wynn and Wynn Las Vegas entered into an Agreement of Lease (the “EW Lease”) for the lease of a villa suite as Elaine P. Wynn’s personal residence. The EW Lease was approved by the Audit Committee of the Board of Directors of the Company. Pursuant to the terms of the EW Lease, Elaine P. Wynn paid annual rent equal to $350,000, which amount was determined by the Audit Committee with the assistance of a third-party appraisal. Certain services for, and maintenance of, the villa suite were included in the rental. The EW Lease superseded the terms of a prior agreement. The term of the EW lease commenced as of March 1, 2010 and was scheduled to terminate on December 31, 2010. The lease was extended on a month-to-month basis after December 31, 2010 until terminated effective March 31, 2011.</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Property Charges and Other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charges and other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9"/>
              </w:rPr>
              <w:t>Three Months Ended</w:t>
            </w:r>
          </w:p>
        </w:tc>
        <w:tc>
          <w:tcPr>
            <w:tcW w:w="220" w:type="dxa"/>
            <w:vAlign w:val="bottom"/>
          </w:tcPr>
          <w:p>
            <w:pPr>
              <w:spacing w:after="0"/>
              <w:rPr>
                <w:sz w:val="14"/>
                <w:szCs w:val="14"/>
                <w:color w:val="auto"/>
              </w:rPr>
            </w:pPr>
          </w:p>
        </w:tc>
        <w:tc>
          <w:tcPr>
            <w:tcW w:w="17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bottom w:val="single" w:sz="8" w:color="auto"/>
            </w:tcBorders>
            <w:gridSpan w:val="2"/>
          </w:tcPr>
          <w:p>
            <w:pPr>
              <w:jc w:val="center"/>
              <w:ind w:left="422"/>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bottom w:val="single" w:sz="8" w:color="auto"/>
            </w:tcBorders>
            <w:gridSpan w:val="2"/>
          </w:tcPr>
          <w:p>
            <w:pPr>
              <w:jc w:val="center"/>
              <w:ind w:left="427"/>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Donation to University of Macau</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$107,483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$107,483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Loss on show cancellation</w:t>
            </w:r>
          </w:p>
        </w:tc>
        <w:tc>
          <w:tcPr>
            <w:tcW w:w="20" w:type="dxa"/>
            <w:vAlign w:val="bottom"/>
          </w:tcPr>
          <w:p>
            <w:pPr>
              <w:spacing w:after="0"/>
              <w:rPr>
                <w:sz w:val="18"/>
                <w:szCs w:val="18"/>
                <w:color w:val="auto"/>
              </w:rPr>
            </w:pP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loss on assets abandoned, retired for remodel or sold</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2,966</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5,547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4,847</w:t>
            </w:r>
          </w:p>
        </w:tc>
        <w:tc>
          <w:tcPr>
            <w:tcW w:w="100" w:type="dxa"/>
            <w:vAlign w:val="bottom"/>
            <w:shd w:val="clear" w:color="auto" w:fill="CCEEFF"/>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6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2"/>
              </w:rPr>
              <w:t>$ 111,060</w:t>
            </w:r>
          </w:p>
        </w:tc>
        <w:tc>
          <w:tcPr>
            <w:tcW w:w="4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2,966</w:t>
            </w:r>
          </w:p>
        </w:tc>
        <w:tc>
          <w:tcPr>
            <w:tcW w:w="1320" w:type="dxa"/>
            <w:vAlign w:val="bottom"/>
            <w:gridSpan w:val="3"/>
          </w:tcPr>
          <w:p>
            <w:pPr>
              <w:jc w:val="right"/>
              <w:ind w:right="420"/>
              <w:spacing w:after="0"/>
              <w:rPr>
                <w:sz w:val="20"/>
                <w:szCs w:val="20"/>
                <w:color w:val="auto"/>
              </w:rPr>
            </w:pPr>
            <w:r>
              <w:rPr>
                <w:rFonts w:ascii="Arial" w:cs="Arial" w:eastAsia="Arial" w:hAnsi="Arial"/>
                <w:sz w:val="18"/>
                <w:szCs w:val="18"/>
                <w:color w:val="auto"/>
              </w:rPr>
              <w:t>$ 114,408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ind w:left="20"/>
              <w:spacing w:after="0"/>
              <w:rPr>
                <w:sz w:val="20"/>
                <w:szCs w:val="20"/>
                <w:color w:val="auto"/>
              </w:rPr>
            </w:pPr>
            <w:r>
              <w:rPr>
                <w:rFonts w:ascii="Arial" w:cs="Arial" w:eastAsia="Arial" w:hAnsi="Arial"/>
                <w:sz w:val="18"/>
                <w:szCs w:val="18"/>
                <w:color w:val="auto"/>
                <w:w w:val="79"/>
              </w:rPr>
              <w:t>4,847</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Property charges generally include costs related to the retirement of assets for remodels and asset abandonments. Property charges and other for the three and six months ended June 30, 2011 includes the present value of a charitable contribution made by Wynn Macau to the University of Macau Development Foundation. This contribution consists of a $25 million payment made in May 2011, and a commitment for additional donations of $10 million each year for the calendar years 2012 through 2022 inclusive, for a total of $135 million. The amount reflected in the accompanying Condensed Consolidated Statements of Income has been discounted using the Company’s current estimated borrowing rate over the time period of the remaining committed payments. In accordance with accounting standards for contributions, subsequent accretion of the discount will be recorded as additional donation expense and included in Property charges and other. Property charges and other for the six months ended June 30, 2011 also include the write off of certain costs related to a show that ended its run in Las Vegas and miscellaneous renovations and abandonments at our resorts.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October 2009, Wynn Macau, Limited, a newly formed and indirect wholly-owned subsidiary of the Company and the developer, owner and operator of Wynn Macau, had its ordinary shares of common stock listed on The Stock Exchange of Hong Kong Limited. Through an initial public offering, including the over allotment, Wynn Macau, Limited sold 1,437,500,000 shares (27.7%) of its common stock (the “Wynn Macau Limited IPO”). The shares of Wynn Macau, Limited were not and will not be registered under the Securities Act and may not be offered or sold in the United States absent a registration under the Securities Act as amended, or an applicable exception from such registration requirements. Net income attributable to noncontrolling interest was $33.3 million and $36.5 million for the three months ended June 30, 2011 and 2010, respectively. Net income attributable to noncontrolling interest was $85.8 million and $67.4 million for the six months ended June 30, 2011 and 2010,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On May 17, 2011, the Company paid a dividend of $0.50 per share to holders of record on May 3, 2011. For the six months ended June 30, 2011, $62.4 million was recorded as a distribution against retained earnings. Of this amount approximately $0.4 million was recorded as a liability which will be paid to holders of nonvested stock upon the vesting of that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compensation cost relating both to stock options and nonvested stock is allocated as follows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w w:val="96"/>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2011</w:t>
            </w:r>
          </w:p>
        </w:tc>
        <w:tc>
          <w:tcPr>
            <w:tcW w:w="96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7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$ 2,099</w:t>
            </w: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$ 2,481</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Rooms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4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8,467</w:t>
            </w:r>
          </w:p>
        </w:tc>
        <w:tc>
          <w:tcPr>
            <w:tcW w:w="100" w:type="dxa"/>
            <w:vAlign w:val="bottom"/>
            <w:shd w:val="clear" w:color="auto" w:fill="CCEEFF"/>
          </w:tcPr>
          <w:p>
            <w:pPr>
              <w:spacing w:after="0"/>
              <w:rPr>
                <w:sz w:val="18"/>
                <w:szCs w:val="18"/>
                <w:color w:val="auto"/>
              </w:rPr>
            </w:pPr>
          </w:p>
        </w:tc>
      </w:tr>
      <w:tr>
        <w:trPr>
          <w:trHeight w:val="222"/>
        </w:trPr>
        <w:tc>
          <w:tcPr>
            <w:tcW w:w="7840" w:type="dxa"/>
            <w:vAlign w:val="bottom"/>
          </w:tcPr>
          <w:p>
            <w:pPr>
              <w:ind w:left="440"/>
              <w:spacing w:after="0"/>
              <w:rPr>
                <w:sz w:val="20"/>
                <w:szCs w:val="20"/>
                <w:color w:val="auto"/>
              </w:rPr>
            </w:pPr>
            <w:r>
              <w:rPr>
                <w:rFonts w:ascii="Arial" w:cs="Arial" w:eastAsia="Arial" w:hAnsi="Arial"/>
                <w:sz w:val="18"/>
                <w:szCs w:val="18"/>
                <w:color w:val="auto"/>
              </w:rPr>
              <w:t>Total stock-based compensation expense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5,931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7,039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12,676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13,966</w:t>
            </w:r>
          </w:p>
        </w:tc>
        <w:tc>
          <w:tcPr>
            <w:tcW w:w="100" w:type="dxa"/>
            <w:vAlign w:val="bottom"/>
          </w:tcPr>
          <w:p>
            <w:pPr>
              <w:spacing w:after="0"/>
              <w:rPr>
                <w:sz w:val="19"/>
                <w:szCs w:val="19"/>
                <w:color w:val="auto"/>
              </w:rPr>
            </w:pPr>
          </w:p>
        </w:tc>
      </w:tr>
      <w:tr>
        <w:trPr>
          <w:trHeight w:val="217"/>
        </w:trPr>
        <w:tc>
          <w:tcPr>
            <w:tcW w:w="7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capitalized</w:t>
            </w: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r>
      <w:tr>
        <w:trPr>
          <w:trHeight w:val="222"/>
        </w:trPr>
        <w:tc>
          <w:tcPr>
            <w:tcW w:w="78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$ 6,126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$ 7,185</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13,066</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14,258</w:t>
            </w:r>
          </w:p>
        </w:tc>
        <w:tc>
          <w:tcPr>
            <w:tcW w:w="100" w:type="dxa"/>
            <w:vAlign w:val="bottom"/>
          </w:tcPr>
          <w:p>
            <w:pPr>
              <w:spacing w:after="0"/>
              <w:rPr>
                <w:sz w:val="19"/>
                <w:szCs w:val="19"/>
                <w:color w:val="auto"/>
              </w:rPr>
            </w:pPr>
          </w:p>
        </w:tc>
      </w:tr>
      <w:tr>
        <w:trPr>
          <w:trHeight w:val="20"/>
        </w:trPr>
        <w:tc>
          <w:tcPr>
            <w:tcW w:w="7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660" w:firstLine="8"/>
        <w:spacing w:after="0" w:line="347" w:lineRule="auto"/>
        <w:tabs>
          <w:tab w:leader="none" w:pos="263"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Wynn Macau</w:t>
      </w:r>
    </w:p>
    <w:p>
      <w:pPr>
        <w:spacing w:after="0" w:line="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u w:val="single" w:color="auto"/>
          <w:color w:val="auto"/>
        </w:rPr>
        <w:t>Cotai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applied to the government of Macau for a land concession on approximately 52 acres of land on Cotai and is</w:t>
      </w:r>
      <w:r>
        <w:rPr>
          <w:rFonts w:ascii="Arial" w:cs="Arial" w:eastAsia="Arial" w:hAnsi="Arial"/>
          <w:sz w:val="18"/>
          <w:szCs w:val="18"/>
          <w:i w:val="1"/>
          <w:iCs w:val="1"/>
          <w:color w:val="auto"/>
        </w:rPr>
        <w:t xml:space="preserve"> </w:t>
      </w:r>
      <w:r>
        <w:rPr>
          <w:rFonts w:ascii="Arial" w:cs="Arial" w:eastAsia="Arial" w:hAnsi="Arial"/>
          <w:sz w:val="18"/>
          <w:szCs w:val="18"/>
          <w:color w:val="auto"/>
        </w:rPr>
        <w:t>awaiting final government approval on the concession. Subsequent to government approval, the Company anticipates the construction of a full scale integrated resort containing a casino, approximately 1,500 rooms, convention, retail, entertainment and food and beverage offerings. The Company continues to finalize the project scope and budget.</w:t>
      </w:r>
    </w:p>
    <w:p>
      <w:pPr>
        <w:spacing w:after="0" w:line="143"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i w:val="1"/>
          <w:iCs w:val="1"/>
          <w:u w:val="single" w:color="auto"/>
          <w:color w:val="auto"/>
        </w:rPr>
        <w:t>Cotai Land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On August 1, 2008, subsidiaries of Wynn Resorts, Limited entered into an agreement with an unrelated third party to make a one-time payment in the amount of $50 million in consideration of the unrelated third party’s relinquishment of certain rights in and to any future development on the approximately 52 acres of land in the Cotai area of Macau. The payment will be made within 15 days after the Government of the Special Administrative Region of the People’s Republic of China publishes the Company’s rights to the land in the government’s official gazette.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On May 3, 2010, Atlantic-Pacific Capital, Inc. (“APC”) filed an arbitration demand with Judicial Arbitration and Mediation Services regarding an agreement with the Company. The action concerns a claim for compensation of approximately $32 million pursuant to an agreement entered into between APC and the Company on or about March 30, 2008 whereby APC was engaged to raise equity capital for an investment vehicle sponsored by the Company. APC is seeking compensation unrelated to the investment vehicle. The Company has denied APC’s claims for compensation. The Company filed a Complaint for Damages and Declaratory Relief against APC in the District Court, Clark County, Nevada, on May 10, 2010. APC removed the action to the United States District Court, District of Nevada. In March 2011, the court denied APC’s motion to compel arbitration. APC has appealed. Management believes that APC’s claim against the Company is without merit and intends to defend this matter vigorously.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For the three months ended June 30, 2011 and 2010, the Company recorded tax expense of $5.2 million and $1.9 million, respectively. For the six months ended June 30, 2011 and 2010, the Company recorded tax expense of $7.3 million and $7 million, respectively. The Company’s provision for income taxes is primarily comprised of increases in its domestic valuation allowance for U.S. foreign tax credits not expected to provide a U.S. tax benefit in future years, foreign taxes assessable on the dividends of Wynn Macau, S.A. and foreign tax provisions related to international marketing offices. Since June 30, 2010, the Company no longer considers its portion of the tax earnings and profits of Wynn Macau, Limited to be permanently invested. No additional U.S. tax provision has been made with respect to amounts not considered permanently invested as the Company anticipates that U.S. foreign tax credits should be sufficient to eliminate any U.S. tax provision relating to such repatriation. To the extent that book earnings exceed the tax earnings and profits of Wynn Macau, Limited, such excess is considered permanently invested. For the six months ended June 30, 2011, the Company recognized income tax benefits related to excess tax deductions associated with stock compensation costs of $7.6 million.</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Effective September 6, 2006, Wynn Macau, S.A. received a 5-year exemption from Macau’s 12% Complementary Tax on casino gaming profits. On November 30, 2010 Wynn Macau, S.A. received an additional 5-year exemption through December 31, 2015. Accordingly, the Company was exempted from the payment of approximately $13.3 million and $34.5 million in such taxes during the three and six months ended June 30, 2011, respectively. For the three and six months ended June 30, 2010, the Company was exempted from $14.8 million and $28.1 million, respectively, of such taxes. The Company’s non-gaming profits remain subject to the Macau Complementary Tax and casino winnings remain subject to the Macau Special Gaming tax and other levies together totaling 39% in accordance with its concession agreement.</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June 2009, Wynn Macau, S.A. entered into an agreement with the Macau Special Administrative Region that provided for an annual payment of MOP $7.2 million (approximately $900,000 U.S. dollars) to the Macau Special Administrative Region as a payment in lieu of complementary tax otherwise due by the Wynn Macau S.A. shareholders on dividend distributions from gaming profits. This agreement covered dividend distributions of gaming profits earned in the years 2006 through 2010. On November 3, 2010, Wynn Macau, S.A. applied for a 5-year extension of this agreement for the years ending December 31, 2011 through 2015. On July 19, 2011 Wynn Macau, S.A. received notification that the 5-year extension had been ratified and that an annual payment of MOP $15.5 million (approximately $1.9 million U.S. dollars) would be due the Macau Special Administrative Region for the years 2011 through 2015.</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three months ended June 30, 2011, the Company received the results of an IRS examination of its 2009 U.S. income tax return and filed an appeal of the examination’s findings with the Appellate division of the IRS. During the same period, Wynn Macau, S.A. received the results of the Macau Finance Bureau’s examination of its 2006 and 2007 Macau Complementary Tax returns. During July 2011, Wynn Macau filed an appeal of the examinations findings. The Company does not anticipate that the resolution of these issues will result in significant tax payments and believes that its liability for uncertain tax positions for the periods covered by these examinations is adequate.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monitors its operations and evaluates earnings by reviewing the assets and operations of its Las Vegas Operations and its Macau Operations.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assets by segment are as follows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3960" w:type="dxa"/>
            <w:vAlign w:val="bottom"/>
          </w:tcPr>
          <w:p>
            <w:pPr>
              <w:spacing w:after="0"/>
              <w:rPr>
                <w:sz w:val="14"/>
                <w:szCs w:val="14"/>
                <w:color w:val="auto"/>
              </w:rPr>
            </w:pPr>
          </w:p>
        </w:tc>
        <w:tc>
          <w:tcPr>
            <w:tcW w:w="610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104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5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Las Vegas Operations</w:t>
            </w:r>
          </w:p>
        </w:tc>
        <w:tc>
          <w:tcPr>
            <w:tcW w:w="6320" w:type="dxa"/>
            <w:vAlign w:val="bottom"/>
            <w:gridSpan w:val="3"/>
          </w:tcPr>
          <w:p>
            <w:pPr>
              <w:jc w:val="right"/>
              <w:ind w:right="220"/>
              <w:spacing w:after="0"/>
              <w:rPr>
                <w:sz w:val="20"/>
                <w:szCs w:val="20"/>
                <w:color w:val="auto"/>
              </w:rPr>
            </w:pPr>
            <w:r>
              <w:rPr>
                <w:rFonts w:ascii="Arial" w:cs="Arial" w:eastAsia="Arial" w:hAnsi="Arial"/>
                <w:sz w:val="18"/>
                <w:szCs w:val="18"/>
                <w:color w:val="auto"/>
              </w:rPr>
              <w:t>$ 4,071,147</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$ 4,108,516</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 Operations</w:t>
            </w:r>
          </w:p>
        </w:tc>
        <w:tc>
          <w:tcPr>
            <w:tcW w:w="6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2,222,014</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1,777,119</w:t>
            </w:r>
          </w:p>
        </w:tc>
        <w:tc>
          <w:tcPr>
            <w:tcW w:w="0" w:type="dxa"/>
            <w:vAlign w:val="bottom"/>
          </w:tcPr>
          <w:p>
            <w:pPr>
              <w:spacing w:after="0"/>
              <w:rPr>
                <w:sz w:val="1"/>
                <w:szCs w:val="1"/>
                <w:color w:val="auto"/>
              </w:rPr>
            </w:pPr>
          </w:p>
        </w:tc>
      </w:tr>
      <w:tr>
        <w:trPr>
          <w:trHeight w:val="223"/>
        </w:trPr>
        <w:tc>
          <w:tcPr>
            <w:tcW w:w="3960" w:type="dxa"/>
            <w:vAlign w:val="bottom"/>
          </w:tcPr>
          <w:p>
            <w:pPr>
              <w:ind w:left="440"/>
              <w:spacing w:after="0"/>
              <w:rPr>
                <w:sz w:val="20"/>
                <w:szCs w:val="20"/>
                <w:color w:val="auto"/>
              </w:rPr>
            </w:pPr>
            <w:r>
              <w:rPr>
                <w:rFonts w:ascii="Arial" w:cs="Arial" w:eastAsia="Arial" w:hAnsi="Arial"/>
                <w:sz w:val="18"/>
                <w:szCs w:val="18"/>
                <w:color w:val="auto"/>
              </w:rPr>
              <w:t>Corporate and other assets</w:t>
            </w:r>
          </w:p>
        </w:tc>
        <w:tc>
          <w:tcPr>
            <w:tcW w:w="52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814,551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6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7,107,712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$ 6,674,497</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bottom w:val="single" w:sz="8" w:color="CCEEFF"/>
            </w:tcBorders>
            <w:vMerge w:val="restart"/>
          </w:tcPr>
          <w:p>
            <w:pPr>
              <w:jc w:val="right"/>
              <w:ind w:right="3356"/>
              <w:spacing w:after="0"/>
              <w:rPr>
                <w:sz w:val="20"/>
                <w:szCs w:val="20"/>
                <w:color w:val="auto"/>
              </w:rPr>
            </w:pPr>
            <w:r>
              <w:rPr>
                <w:rFonts w:ascii="Arial" w:cs="Arial" w:eastAsia="Arial" w:hAnsi="Arial"/>
                <w:sz w:val="18"/>
                <w:szCs w:val="18"/>
                <w:color w:val="auto"/>
              </w:rPr>
              <w:t>16</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6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segment information for its results of operations are as follows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410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w:t>
            </w: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420"/>
              <w:spacing w:after="0"/>
              <w:rPr>
                <w:sz w:val="20"/>
                <w:szCs w:val="20"/>
                <w:color w:val="auto"/>
              </w:rPr>
            </w:pPr>
            <w:r>
              <w:rPr>
                <w:rFonts w:ascii="Arial" w:cs="Arial" w:eastAsia="Arial" w:hAnsi="Arial"/>
                <w:sz w:val="18"/>
                <w:szCs w:val="18"/>
                <w:color w:val="auto"/>
              </w:rPr>
              <w:t>Las Vegas Operations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390,848</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318,230</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785,438</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636,501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Macau Operations</w:t>
            </w:r>
          </w:p>
        </w:tc>
        <w:tc>
          <w:tcPr>
            <w:tcW w:w="1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976,505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714,413</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1,842,187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1,305,060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w:t>
            </w:r>
          </w:p>
        </w:tc>
        <w:tc>
          <w:tcPr>
            <w:tcW w:w="1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1,367,353</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1,032,643</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2,627,625</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1,941,561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Property EBITDA (1)</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420"/>
              <w:spacing w:after="0"/>
              <w:rPr>
                <w:sz w:val="20"/>
                <w:szCs w:val="20"/>
                <w:color w:val="auto"/>
              </w:rPr>
            </w:pPr>
            <w:r>
              <w:rPr>
                <w:rFonts w:ascii="Arial" w:cs="Arial" w:eastAsia="Arial" w:hAnsi="Arial"/>
                <w:sz w:val="18"/>
                <w:szCs w:val="18"/>
                <w:color w:val="auto"/>
              </w:rPr>
              <w:t>Las Vegas Operations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132,693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65,126</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264,820</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125,431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Macau Operations</w:t>
            </w:r>
          </w:p>
        </w:tc>
        <w:tc>
          <w:tcPr>
            <w:tcW w:w="1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314,348</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216,248</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587,179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w:t>
            </w:r>
          </w:p>
        </w:tc>
        <w:tc>
          <w:tcPr>
            <w:tcW w:w="1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447,041</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281,374</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851,999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523,269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420"/>
              <w:spacing w:after="0"/>
              <w:rPr>
                <w:sz w:val="20"/>
                <w:szCs w:val="20"/>
                <w:color w:val="auto"/>
              </w:rPr>
            </w:pPr>
            <w:r>
              <w:rPr>
                <w:rFonts w:ascii="Arial" w:cs="Arial" w:eastAsia="Arial" w:hAnsi="Arial"/>
                <w:sz w:val="18"/>
                <w:szCs w:val="18"/>
                <w:color w:val="auto"/>
              </w:rPr>
              <w:t>Pre-opening costs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6,675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203,399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420"/>
              <w:spacing w:after="0"/>
              <w:rPr>
                <w:sz w:val="20"/>
                <w:szCs w:val="20"/>
                <w:color w:val="auto"/>
              </w:rPr>
            </w:pPr>
            <w:r>
              <w:rPr>
                <w:rFonts w:ascii="Arial" w:cs="Arial" w:eastAsia="Arial" w:hAnsi="Arial"/>
                <w:sz w:val="18"/>
                <w:szCs w:val="18"/>
                <w:color w:val="auto"/>
              </w:rPr>
              <w:t>Property charges and other</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111,060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114,408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expenses and other</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1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234,008</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133,228</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1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213,033</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148,146</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493,589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Non-operating costs and expenses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 net of amounts capitalized</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(58,231)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(53,598)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(116,494)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(102,859)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420"/>
              <w:spacing w:after="0"/>
              <w:rPr>
                <w:sz w:val="20"/>
                <w:szCs w:val="20"/>
                <w:color w:val="auto"/>
              </w:rPr>
            </w:pPr>
            <w:r>
              <w:rPr>
                <w:rFonts w:ascii="Arial" w:cs="Arial" w:eastAsia="Arial" w:hAnsi="Arial"/>
                <w:sz w:val="18"/>
                <w:szCs w:val="18"/>
                <w:color w:val="auto"/>
              </w:rPr>
              <w:t>Increase (decrease) in swap fair value</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7,365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debt/exchange offer</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(3,152)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(52,471)</w:t>
            </w:r>
          </w:p>
        </w:tc>
        <w:tc>
          <w:tcPr>
            <w:tcW w:w="10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(57,308)</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(104,586)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(109,228)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160,562</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90,838</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389,003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420"/>
              <w:spacing w:after="0"/>
              <w:rPr>
                <w:sz w:val="20"/>
                <w:szCs w:val="20"/>
                <w:color w:val="auto"/>
              </w:rPr>
            </w:pPr>
            <w:r>
              <w:rPr>
                <w:rFonts w:ascii="Arial" w:cs="Arial" w:eastAsia="Arial" w:hAnsi="Arial"/>
                <w:sz w:val="18"/>
                <w:szCs w:val="18"/>
                <w:color w:val="auto"/>
              </w:rPr>
              <w:t>Provision for income taxes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(5,231)</w:t>
            </w: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(7,337)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(6,990)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155,331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88,917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381,666</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306"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“Adjusted Property EBITDA” is earnings before interest, taxes, depreciation, amortization, pre-opening costs, property charges and other, corporate expenses,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GAAP. In order to view the operations of their casinos on a more stand-alone basis, gaming companies, including Wynn Resorts, Limited, have historically excluded from their EBITDA calculations pre-opening expenses, property charges and other, corporate expenses and stock-based compensation, which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July 14, 2011, the Board of Directors of the Company declared a cash dividend of $0.50 per share, payable on August 11, 2011 to stockholders of record as of July 28, 2011.</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Resorts, Limited, a Nevada corporation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tourism and trends reflecting current domestic and international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volatility and weakness in world-wide credit and financial markets globally and from governmental intervention in the financial markets;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high unemployment;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competition in the casino/hotel and resort industries and actions taken by our competitors in reaction to adverse economic conditions;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doing business in foreign locations such as Macau (including the risks associated with developing gaming regulatory frameworks);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U.S. laws regarding healthcare;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240" w:top="459" w:right="5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of a natural disaster may have on the travel and leisure industry;</w:t>
      </w:r>
    </w:p>
    <w:p>
      <w:pPr>
        <w:spacing w:after="0" w:line="90"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consequences of the wars in Iraq and Afghanistan and other military conflicts in the Middle East and any future security alerts and/or terrorist attacks;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a developer, owner and operator of destination casino resorts. We currently own and operate two casino resort complexes. In Las Vegas, Nevada, we own and operate Wynn Las Vegas, a destination casino resort which opened on April 28, 2005. In December 2008, we expanded Wynn Las Vegas with the opening of Encore at Wynn Las Vegas. We refer to the fully integrated Wynn Las Vegas and Encore at Wynn Las Vegas resort as our “Las Vegas Operations.” In the Macau Special Administrative Region of the People’s Republic of China (“Macau”), we own and operate Wynn Macau, which opened on September 6, 2006, and was subsequently expanded. On April 21, 2010 we opened Encore at Wynn Macau, a further expansion of Wynn Macau. We refer to the fully integrated Wynn Macau and Encore at Wynn Macau resort as our “Macau Operations.”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resorts as of July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8"/>
              </w:rPr>
              <w:t>Approximate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080" w:type="dxa"/>
            <w:vAlign w:val="bottom"/>
          </w:tcPr>
          <w:p>
            <w:pPr>
              <w:spacing w:after="0"/>
              <w:rPr>
                <w:sz w:val="12"/>
                <w:szCs w:val="12"/>
                <w:color w:val="auto"/>
              </w:rPr>
            </w:pPr>
          </w:p>
        </w:tc>
        <w:tc>
          <w:tcPr>
            <w:tcW w:w="17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7"/>
              </w:rPr>
              <w:t>Hotel Rooms</w:t>
            </w: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Number of</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6"/>
              </w:rPr>
              <w:t>Approximate</w:t>
            </w:r>
          </w:p>
        </w:tc>
      </w:tr>
      <w:tr>
        <w:trPr>
          <w:trHeight w:val="149"/>
        </w:trPr>
        <w:tc>
          <w:tcPr>
            <w:tcW w:w="50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&amp;</w:t>
            </w:r>
          </w:p>
        </w:tc>
        <w:tc>
          <w:tcPr>
            <w:tcW w:w="920" w:type="dxa"/>
            <w:vAlign w:val="bottom"/>
          </w:tcPr>
          <w:p>
            <w:pPr>
              <w:spacing w:after="0"/>
              <w:rPr>
                <w:sz w:val="12"/>
                <w:szCs w:val="12"/>
                <w:color w:val="auto"/>
              </w:rPr>
            </w:pPr>
          </w:p>
        </w:tc>
        <w:tc>
          <w:tcPr>
            <w:tcW w:w="210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w w:val="86"/>
              </w:rPr>
              <w:t>Approximate Casino</w:t>
            </w:r>
          </w:p>
        </w:tc>
        <w:tc>
          <w:tcPr>
            <w:tcW w:w="16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7"/>
              </w:rPr>
              <w:t>Table</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Number of</w:t>
            </w:r>
          </w:p>
        </w:tc>
      </w:tr>
      <w:tr>
        <w:trPr>
          <w:trHeight w:val="161"/>
        </w:trPr>
        <w:tc>
          <w:tcPr>
            <w:tcW w:w="5080" w:type="dxa"/>
            <w:vAlign w:val="bottom"/>
          </w:tcPr>
          <w:p>
            <w:pPr>
              <w:spacing w:after="0"/>
              <w:rPr>
                <w:sz w:val="14"/>
                <w:szCs w:val="14"/>
                <w:color w:val="auto"/>
              </w:rPr>
            </w:pPr>
          </w:p>
        </w:tc>
        <w:tc>
          <w:tcPr>
            <w:tcW w:w="17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5"/>
              </w:rPr>
              <w:t>Suites</w:t>
            </w:r>
          </w:p>
        </w:tc>
        <w:tc>
          <w:tcPr>
            <w:tcW w:w="2100" w:type="dxa"/>
            <w:vAlign w:val="bottom"/>
            <w:gridSpan w:val="2"/>
          </w:tcPr>
          <w:p>
            <w:pPr>
              <w:ind w:left="140"/>
              <w:spacing w:after="0"/>
              <w:rPr>
                <w:sz w:val="20"/>
                <w:szCs w:val="20"/>
                <w:color w:val="auto"/>
              </w:rPr>
            </w:pPr>
            <w:r>
              <w:rPr>
                <w:rFonts w:ascii="Arial" w:cs="Arial" w:eastAsia="Arial" w:hAnsi="Arial"/>
                <w:sz w:val="14"/>
                <w:szCs w:val="14"/>
                <w:b w:val="1"/>
                <w:bCs w:val="1"/>
                <w:color w:val="auto"/>
              </w:rPr>
              <w:t>Square Footage</w:t>
            </w:r>
          </w:p>
        </w:tc>
        <w:tc>
          <w:tcPr>
            <w:tcW w:w="16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5"/>
              </w:rPr>
              <w:t>Games</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Slots</w:t>
            </w:r>
          </w:p>
        </w:tc>
      </w:tr>
      <w:tr>
        <w:trPr>
          <w:trHeight w:val="210"/>
        </w:trPr>
        <w:tc>
          <w:tcPr>
            <w:tcW w:w="5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Las Vegas Operations</w:t>
            </w:r>
          </w:p>
        </w:tc>
        <w:tc>
          <w:tcPr>
            <w:tcW w:w="7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4,750</w:t>
            </w:r>
          </w:p>
        </w:tc>
        <w:tc>
          <w:tcPr>
            <w:tcW w:w="9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186,000</w:t>
            </w:r>
          </w:p>
        </w:tc>
        <w:tc>
          <w:tcPr>
            <w:tcW w:w="9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9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Macau Operations</w:t>
            </w:r>
          </w:p>
        </w:tc>
        <w:tc>
          <w:tcPr>
            <w:tcW w:w="1700" w:type="dxa"/>
            <w:vAlign w:val="bottom"/>
            <w:gridSpan w:val="2"/>
          </w:tcPr>
          <w:p>
            <w:pPr>
              <w:ind w:left="400"/>
              <w:spacing w:after="0"/>
              <w:rPr>
                <w:sz w:val="20"/>
                <w:szCs w:val="20"/>
                <w:color w:val="auto"/>
              </w:rPr>
            </w:pPr>
            <w:r>
              <w:rPr>
                <w:rFonts w:ascii="Arial" w:cs="Arial" w:eastAsia="Arial" w:hAnsi="Arial"/>
                <w:sz w:val="18"/>
                <w:szCs w:val="18"/>
                <w:color w:val="auto"/>
              </w:rPr>
              <w:t>1,009</w:t>
            </w:r>
          </w:p>
        </w:tc>
        <w:tc>
          <w:tcPr>
            <w:tcW w:w="2100" w:type="dxa"/>
            <w:vAlign w:val="bottom"/>
            <w:gridSpan w:val="2"/>
          </w:tcPr>
          <w:p>
            <w:pPr>
              <w:jc w:val="right"/>
              <w:ind w:right="900"/>
              <w:spacing w:after="0"/>
              <w:rPr>
                <w:sz w:val="20"/>
                <w:szCs w:val="20"/>
                <w:color w:val="auto"/>
              </w:rPr>
            </w:pPr>
            <w:r>
              <w:rPr>
                <w:rFonts w:ascii="Arial" w:cs="Arial" w:eastAsia="Arial" w:hAnsi="Arial"/>
                <w:sz w:val="18"/>
                <w:szCs w:val="18"/>
                <w:color w:val="auto"/>
              </w:rPr>
              <w:t>265,000</w:t>
            </w:r>
          </w:p>
        </w:tc>
        <w:tc>
          <w:tcPr>
            <w:tcW w:w="1680" w:type="dxa"/>
            <w:vAlign w:val="bottom"/>
            <w:gridSpan w:val="2"/>
          </w:tcPr>
          <w:p>
            <w:pPr>
              <w:jc w:val="right"/>
              <w:ind w:right="900"/>
              <w:spacing w:after="0"/>
              <w:rPr>
                <w:sz w:val="20"/>
                <w:szCs w:val="20"/>
                <w:color w:val="auto"/>
              </w:rPr>
            </w:pPr>
            <w:r>
              <w:rPr>
                <w:rFonts w:ascii="Arial" w:cs="Arial" w:eastAsia="Arial" w:hAnsi="Arial"/>
                <w:sz w:val="18"/>
                <w:szCs w:val="18"/>
                <w:color w:val="auto"/>
              </w:rPr>
              <w:t>495</w:t>
            </w:r>
          </w:p>
        </w:tc>
        <w:tc>
          <w:tcPr>
            <w:tcW w:w="76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Wynn Las Vegas I Encore is located at the intersection of the Las Vegas Strip and Sands Avenue, and occupies approximately 217 acres of land fronting the Las Vegas Strip. In addition, we own approximately 18 acres across Sands Avenue, a portion of which is utilized for employee parking, and approximately 5 acres adjacent to the golf course on which an office building is located.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resort complex features:</w:t>
      </w:r>
    </w:p>
    <w:p>
      <w:pPr>
        <w:spacing w:after="0" w:line="90" w:lineRule="exact"/>
        <w:rPr>
          <w:sz w:val="20"/>
          <w:szCs w:val="20"/>
          <w:color w:val="auto"/>
        </w:rPr>
      </w:pPr>
    </w:p>
    <w:p>
      <w:pPr>
        <w:ind w:left="780" w:right="6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luxury hotel towers with a total of 4,750 spacious hotel rooms, suites and villas;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35 food and beverage outlets featuring signature chefs;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101,000 square feet of high-end, brand-name retail shopping, including stores and boutiques by Alexander McQueen, Brioni, Cartier, Chanel, Dior, Graff, Hermes, Louis Vuitton, Manolo Blahnik, Oscar de la Renta, Vertu and others;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Four nightclubs and a beach club.</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January 2011, we completed a refurbishment and upgrade to the resort rooms at Wynn Las Vegas. A remodel of the suites was completed in early May of 2011. These remodels were completed at a cost of $61 million, substantially less than the project budget of $83 million.</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response to our evaluation of our Las Vegas Operations and the reactions of our guests, we have and expect to continue to make enhancements and refinements to this resort complex.</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Wynn Macau I Encore under a 20-year casino concession agreement granted by the Macau government in June 2002.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Macau resort complex features:</w:t>
      </w:r>
    </w:p>
    <w:p>
      <w:pPr>
        <w:spacing w:after="0" w:line="90" w:lineRule="exact"/>
        <w:rPr>
          <w:sz w:val="20"/>
          <w:szCs w:val="20"/>
          <w:color w:val="auto"/>
        </w:rPr>
      </w:pPr>
    </w:p>
    <w:p>
      <w:pPr>
        <w:ind w:left="780" w:right="8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265,000 square feet of casino space, offering 24-hour gaming and a full range of games, including private gaming salons, a sky casino and a poker area;</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Two luxury hotel towers with a total of 1,009 spacious rooms and suites;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Casual and fine dining in eight restaurants;</w:t>
      </w:r>
    </w:p>
    <w:p>
      <w:pPr>
        <w:spacing w:after="0" w:line="90"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54,200 square feet of high-end, brand-name retail shopping, including stores and boutiques by Bvlgari, Cartier, Chanel, Dior, Dunhill, Ferrari, Giorgio Armani, Gucci, Hermes, Hugo Boss, Louis Vuitton, Miu Miu, Piaget, Prada, Rolex, Tiffany, Van Cleef &amp; Arpels, Versace, Vertu, Zegna and others;</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and spas, a pool;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response to our evaluation of our Macau Operations and the reactions of our guests, we have made and expect to continue to make enhancements and refinements to this resort complex.</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Future Development</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Approximately 142 acres of land comprising Wynn Las Vegas is currently improved with a golf course. While we may develop this property in the future, we have no immediate plans to do so.</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have applied to the government of Macau for a land concession on approximately 52 acres of land on Cotai and are awaiting final government approval on the concession. Subsequent to government approval, we anticipate the construction of a full scale integrated resort containing a casino, approximately 1,500 rooms, convention, retail, entertainment and food and beverage offerings. We continue to finalize the project scope and budget.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results for the periods presented are not comparable as the three and six months ended June 30, 2011 include the operations of Encore at Wynn Macau for the full periods, whereas the three and six months ended June 30, 2010 only include the operations of Encore at Wynn Macau since its opening on April 21, 2010.</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our net revenues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317"/>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4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6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Las Vegas Operations</w:t>
            </w:r>
          </w:p>
        </w:tc>
        <w:tc>
          <w:tcPr>
            <w:tcW w:w="2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390,848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318,230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785,438</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636,501</w:t>
            </w: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 Operations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976,505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1,842,187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1,305,060</w:t>
            </w:r>
          </w:p>
        </w:tc>
        <w:tc>
          <w:tcPr>
            <w:tcW w:w="100" w:type="dxa"/>
            <w:vAlign w:val="bottom"/>
            <w:shd w:val="clear" w:color="auto" w:fill="CCEEFF"/>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4360" w:type="dxa"/>
            <w:vAlign w:val="bottom"/>
          </w:tcPr>
          <w:p>
            <w:pPr>
              <w:spacing w:after="0"/>
              <w:rPr>
                <w:sz w:val="19"/>
                <w:szCs w:val="19"/>
                <w:color w:val="auto"/>
              </w:rPr>
            </w:pPr>
          </w:p>
        </w:tc>
        <w:tc>
          <w:tcPr>
            <w:tcW w:w="2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1,367,353</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1,032,643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2,627,625</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1,941,561</w:t>
            </w:r>
          </w:p>
        </w:tc>
        <w:tc>
          <w:tcPr>
            <w:tcW w:w="10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Reliance on only two resort complexes (in two geographic regions) for our operating cash flow exposes us to certain risks that competitors, whose operations are more geographically diversified, may be better able to control. In addition to the concentration of operations in two resort complexes, many of our customers are premium gaming customers who wager on credit, thus exposing us to increased credit risk. High-end gaming also increases the potential for variability in our results.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Certain key operating statistics specific to the gaming industry are included in our discussion of our operational performance for the periods for which a Condensed Consolidated Statement of Income is presented. There are two methods used to calculate win percentage in the casino industry. In Las Vegas and in the general casino in Macau, customers usually purchase cash chips from gaming tables. The cash and net markers used to purchase the cash chips from gaming tables are deposited in the gaming table’s drop box. This is the base of measurement that we use in the casino at our Las Vegas Operations and in the general casino at our Macau Operations for calculating win percentage.</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our VIP casino in Macau, customers primarily purchase non-negotiable rolling chips from the casino cage and there is no deposit into a gaming table drop box from chips purchased from the cage. Non-negotiable chips can only be used to make wagers. Winning wagers are paid in cash chips. The loss of the non-negotiable rolling chips in the VIP casino is recorded as turnover and provides a base for measuring VIP casino win percentage. Because of this difference in chip purchase activity, the measurement base used in the general casino is not the same that is used in the VIP casino. It is customary in Macau to measure VIP casino play using this Rolling Chip method.</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measurement method in Las Vegas and in the general casino in Macau tracks the initial purchase of chips at the table while the measurement method in our VIP casino in Macau tracks the sum of all losing wagers. Accordingly, the base measurement in the VIP casino is much larger than the general casino. As a result, the expected win percent with the same amount of gaming win is smaller in the VIP casino in Macau when compared to the general casino in Las Vegas and Macau.</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Even though both use the same measurement method, we experience different win percentages in the general casino activity in Las Vegas versus Macau. This difference is primarily due to the difference in the mix of table games and customer playing habits between the two casinos. Each type of table game has its own theoretical win percentage. This quarter we increased our expectations for table games win percentage in the general casino at Wynn Macau from 21% - 23% to 26% - 28% based on our experience since the opening of Encore at Wynn Macau.</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definitions of the statistics discussed:</w:t>
      </w:r>
    </w:p>
    <w:p>
      <w:pPr>
        <w:spacing w:after="0" w:line="90"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Wynn Macau VIP program.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VIP wagering volume (turnover) for purposes of calculating incentives.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us and is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(less service charges, if any) by total rooms occupied.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Revenue per Available Room (“REVPAR”) is calculated by dividing total room revenue (less service charges, if any) by total rooms available.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June 30, 2011 compared to the three months ended June 30, 2010.</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Net revenues for the three months ended June 30, 2011 are comprised of $1,082 million in casino revenues (79.1% of total net revenues) and $285.3 million of net non-casino revenues (20.9% of total net revenues). Net revenues for the three months ended June 30, 2010 are comprised of $789.2 million in casino revenues (76.4% of total net revenues) and $243.4 million of net non-casino revenues (23.6% of total net revenues).</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three months ended June 30, 2011 of $1,082 million represents a $292.8 million (or 37.1%) increase from casino revenues of $789.2 million for the three months ended June 30, 2010.</w:t>
      </w:r>
    </w:p>
    <w:p>
      <w:pPr>
        <w:spacing w:after="0" w:line="85"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Our Las Vegas Operations experienced a $41.1 million increase in casino revenues compared to the prior year quarter due to a 10% increase in drop and an increase in our average table games win percentage. Our average table games win percentage (before discounts) for the three months ended June 30, 2011 was</w:t>
      </w:r>
    </w:p>
    <w:p>
      <w:pPr>
        <w:ind w:right="180"/>
        <w:spacing w:after="0" w:line="323" w:lineRule="auto"/>
        <w:rPr>
          <w:sz w:val="20"/>
          <w:szCs w:val="20"/>
          <w:color w:val="auto"/>
        </w:rPr>
      </w:pPr>
      <w:r>
        <w:rPr>
          <w:rFonts w:ascii="Arial" w:cs="Arial" w:eastAsia="Arial" w:hAnsi="Arial"/>
          <w:sz w:val="16"/>
          <w:szCs w:val="16"/>
          <w:color w:val="auto"/>
        </w:rPr>
        <w:t>27.6%, which was above the expected range of 21% to 24% and compares to 20.0% for the prior year quarter. Slot machine handle at our Las Vegas Operations increased 2.1% compared to the prior year quarter, however slot machine win decreased 1% as our hold was down slightly for the quarter.</w:t>
      </w:r>
    </w:p>
    <w:p>
      <w:pPr>
        <w:spacing w:after="0" w:line="93"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Casino revenues at our Macau Operations, including Encore at Wynn Macau which opened on April 21, 2010, increased $251.7 million for the three months ended June 30, 2011, compared to the prior year quarter. We experienced a 32.2% increase in the VIP revenue segment due to a 50.6% increase in turnover, offset by a lower win percentage compared to the prior year quarter. Our win as a percent of turnover was 2.89%, which compares to our expected range of 2.7% to 3.0%, and to 3.22% in the prior year quarter. Our VIP casino segment win as a percent of turnover includes a nominal beneficial effect attributable to non-rolling chip play. In our general casino, drop increased 25.9% when compared to the prior year quarter and the average table games win percentage was</w:t>
      </w:r>
    </w:p>
    <w:p>
      <w:pPr>
        <w:spacing w:after="0" w:line="2" w:lineRule="exact"/>
        <w:rPr>
          <w:sz w:val="20"/>
          <w:szCs w:val="20"/>
          <w:color w:val="auto"/>
        </w:rPr>
      </w:pPr>
    </w:p>
    <w:p>
      <w:pPr>
        <w:ind w:right="160"/>
        <w:spacing w:after="0" w:line="331" w:lineRule="auto"/>
        <w:rPr>
          <w:sz w:val="20"/>
          <w:szCs w:val="20"/>
          <w:color w:val="auto"/>
        </w:rPr>
      </w:pPr>
      <w:r>
        <w:rPr>
          <w:rFonts w:ascii="Arial" w:cs="Arial" w:eastAsia="Arial" w:hAnsi="Arial"/>
          <w:sz w:val="15"/>
          <w:szCs w:val="15"/>
          <w:color w:val="auto"/>
        </w:rPr>
        <w:t>27.8%, which is within our revised expected range of 26% to 28%. The average table game win percentage at our Macau Operations for the three months ended June 30, 2010 was 22.9%. Slot machine handle increased 40.7% compared to the prior year quarter primarily due to increased visitation at our resort and the opening of Encore at Wynn Macau in April 2010. Slot machine win increased by 52% due to this increase in handle and an increase in our hold percentage.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three months ended June 30, 2011, room revenues were approximately $120 million, an increase of $19.5 million (19.4%) compared to prior year quarter room revenue of $100.5 million. Room revenue at our Las Vegas Operations increased $12.2 million (15.5%) compared to the prior year quarter. In Las Vegas, room rates increased during the three months ended June 30, 2011, compared to the three months ended June 30, 2010, with a slight decrease in occupancy rate. Room revenue at our Macau Operations increased approximately $7.3 million due to the 414 additional suites added with Encore at Wynn Macau in April 2010, and an increase in the average daily room rate compared to the prior year quarter.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96"/>
              </w:rPr>
              <w:t>June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76"/>
              </w:rPr>
              <w:t>2010</w:t>
            </w:r>
          </w:p>
        </w:tc>
        <w:tc>
          <w:tcPr>
            <w:tcW w:w="200" w:type="dxa"/>
            <w:vAlign w:val="bottom"/>
            <w:tcBorders>
              <w:bottom w:val="single" w:sz="8" w:color="CCEEFF"/>
            </w:tcBorders>
          </w:tcPr>
          <w:p>
            <w:pPr>
              <w:spacing w:after="0"/>
              <w:rPr>
                <w:sz w:val="12"/>
                <w:szCs w:val="12"/>
                <w:color w:val="auto"/>
              </w:rPr>
            </w:pPr>
          </w:p>
        </w:tc>
      </w:tr>
      <w:tr>
        <w:trPr>
          <w:trHeight w:val="196"/>
        </w:trPr>
        <w:tc>
          <w:tcPr>
            <w:tcW w:w="8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240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8"/>
                <w:szCs w:val="18"/>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314</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89.2%</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92.6%</w:t>
            </w: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Macau</w:t>
            </w: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90.5%</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81.3%</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214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18"/>
                <w:szCs w:val="18"/>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284</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Other non-casino revenues for the three months ended June 30, 2011 included food and beverage revenues of approximately $147.8 million, retail revenues of approximately $63.3 million, entertainment revenues of approximately $19 million, and other revenues from outlets, including the spa and salon, of approximately $20.1 million. Other non-casino revenues for the three months ended June 30, 2010 included food and beverage revenues of approximately $127.4 million, retail revenues of approximately $52.6 million, entertainment revenues of approximately $15.6 million, and other revenues from outlets such as the spa and salon, of approximately $18.8 million. Food and beverage revenues at our Las Vegas Operations increased $14.5 million (13%), while our Macau Operations increased $5.9 million (36.9%), as compared to the prior year quarter. The increase in Las Vegas is due primarily to business in our nightclubs, catering business and restaurants. The increase in Macau is primarily due to increased visitation to our resort and the opening of Encore at Wynn Macau. Retail revenues at our Macau Operations increased $9.3 million (29.7%), while retail at our Las Vegas Operations increased $1.4 million (6.5%). The increase at Wynn Macau is due primarily to strong same-store sales growth and the addition of three new boutiques at Encore at Wynn Macau. Entertainment revenues increased over the prior year quarter primarily due to increased revenue from Garth Brooks in the Encore Theater in Las Vegas.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the three months ended June 30, 2011, departmental expenses included casino expenses of $684.5 million, room expenses of $31.9 million, food and beverage expenses of $75 million, and entertainment, retail and other expenses of $54.2 million. Also included are general and administrative expenses of approximately $91.9 million and $3.8 million charged as a provision for doubtful accounts receivable. For the three months ended June 30, 2010, departmental expenses included casino expenses of $519 million, room expenses of $31.6 million, food and beverage expenses of $72.7 million, and entertainment, retail and other expenses of $47.6 million. Also included are general and administrative expenses of approximately $95.7 million and approximately $6.9 million charged as a provision for doubtful accounts receivable. Casino expenses have increased for the three months ended June 30, 2011 over the prior year quarter due primarily to an increase in casino revenues at our Las Vegas Operations, and at our Macau Operations where we incur a gaming revenue tax and other levies at a rate totaling 39% in accordance with the concession agreement. Room expenses were flat as the increase in revenue was due to increased average daily rates. Food and beverage and entertainment, retail and other expenses increased commensurate with the increase in revenues. General and administrative expenses decreased slightly primarily due to a decline in property taxes in Las Vegas.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incurred no pre-opening costs during the three months ended June 30, 2011. For the three months ended June 30, 2010, we incurred $6.7 million of pre-opening costs primarily related to Encore at Wynn Macau which opened on April 21,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Depreciation and amortization for the three months ended June 30, 2011 was $102.1 million compared to $101.4 million for the three months ended June 30, 2010. While there was little change between periods, assets with a 5-year life were fully depreciated as of April 2010 at Wynn Las Vegas, which was offset by depreciation of the assets of Encore at Wynn Macau which were placed into service in April 2010 and the assets of the Encore Beach Club and Surrender Nightclub in Las Vegas which were placed into service in May 2010.</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During the construction of our properties,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maximum useful life of assets at Wynn Macau is the remaining life of the gaming concession or land concession, which currently expire in June 2022 and August 2029, respectively. Consequently, depreciation related to Wynn Macau is charged on an accelerated basis when compared to our Las Vegas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Property charges and other for the three months ended June 30, 2011 were $111.1 million compared to $3 million for the three months ended June 30, 2010. For the three months ended June 30, 2011 property charges and other includes a charge of $107.5 million reflecting the present value of a charitable contribution made by Wynn Macau to the University of Macau Development Foundation. This contribution consisted of a $25 million payment made in May 2011, and commitments for additional donations of $10 million each year for the calendar years 2012 through 2022 inclusive, for a total of $135 million. The amount reflected in the accompanying Condensed Consolidated Statements of Income has been discounted using our current estimated borrowing rate over the time period of the remaining committed payments. Property charges and other for the three months ended June 30, 2011 also includes miscellaneous renovations and abandonments at our resorts.</w:t>
      </w:r>
    </w:p>
    <w:p>
      <w:pPr>
        <w:spacing w:after="0" w:line="11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Property charges and other for the three months ended June 30, 2010 related to miscellaneous renovations, abandonments and gain/loss on sale of equipment at our resorts.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response to our evaluation of our resorts and the reactions of our guests, we continue to remodel and make enhancements at our resorts.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Interest income was $1.6 million for the three months ended June 30, 2011 compared to $0.6 million for the three months ended June 30, 2010. During 2011 and 2010, our short-term investment strategy has been to preserve capital while retaining sufficient liquidity. While we have recently invested in certain corporate bond securities and commercial paper which contributed to the increase in interest income, the majority of our investments were in money market funds, U.S. Treasuries and time deposits with a maturity of three months or less.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Interest expense was $58.2 million, net of capitalized interest of $0, for the three months ended June 30, 2011, compared to $53.6 million, net of capitalized interest of $1.8 million, for the three months ended June 30, 2010. Our interest expense increased compared to the prior year quarter primarily due to a decrease in interest capitalized and an increase in interest rates on our first mortgage notes, offset by a decrease in amounts outstanding under our Wynn Las Vegas and Wynn Macau bank credit revolving facilities.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in each period. We recorded a gain of approximately $3.1 million for the three months ended June 30, 2011 resulting from the increase in the fair value of our interest rate swaps from March 31, 2011 to June 30, 2011. For the three months ended June 30, 2010 we recorded an expense of $1.7 million resulting from the decrease in the fair value of interest rate swaps between March 31, 2010 and June 30, 2010. For further information on our interest rate swaps, see Item 3 – “Quantitative and Qualitative Disclosures about Market Risk.”</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described in our 2010 Annual Report on Form 10-K, we completed an exchange offer for a portion of our 6 5/8% first mortgage notes in April 2010. In connection with that exchange offer, the direct costs incurred with third parties of $3.2 million were expensed.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the three months ended June 30, 2011 and 2010, we recorded tax expense of $5.2 million and $1.9 million, respectively. Our provision for income taxes is primarily comprised of increases in our domestic valuation allowance for U.S. foreign tax credits not expected to provide a U.S. tax benefit in future years, foreign taxes assessable on the dividends of Wynn Macau, S.A. and foreign tax provisions related to our international marketing offices. Since June 30, 2010, we have no longer considered our portion of the tax earnings and profits of Wynn Macau, Limited to be permanently invested. No additional U.S. tax provision has been made with respect to amounts not considered permanently invested as we anticipate that U.S. foreign tax credits should be sufficient to eliminate any U.S. tax provision relating to such repatriation. To the extent that book earnings exceed the tax earnings and profits of Wynn Macau, Limited, such excess is considered permanently invested. For the three months ended June 30, 2011, we recognized income tax benefits related to excess tax deductions associated with stock compensation costs of $6.6 million.</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On November 30, 2010 Wynn Macau, S.A. received an additional 5-year exemption through December 31, 2015. Accordingly, the Company was exempted from the payment of approximately $13.3 million in such taxes during the three months ended June 30, 2011. Our non-gaming profits remain subject to the Macau Complementary Tax and casino winnings remain subject to the Macau Special Gaming tax and other levies together totaling 39% in accordance with our concession agreement.</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the three months ended June 30, 2011, we received the results of an IRS examination of our 2009 U.S. income tax return and filed an appeal of the examination’s findings with the Appellate division of the IRS. During the same period, Wynn Macau, S.A. received the results of the Macau Finance Bureau’s examination of its 2006 and 2007 Macau Complementary Tax returns. During July 2011, Wynn Macau filed an appeal of the examinations findings. We do not anticipate that the resolution of these issues will result in significant tax payments and believe that our liability for uncertain tax positions for the periods covered by these examinations is adequate.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October 2009, Wynn Macau, Limited, our newly formed and indirect wholly-owned subsidiary and the developer, owner and operator of Wynn Macau, had its ordinary shares of common stock listed on The Stock Exchange of Hong Kong Limited. Wynn Macau, Limited sold 1,437,500,000 shares (27.7%) of its common stock through an initial public offering. We recorded net income attributable to noncontrolling interests of $33.3 million for the three months ended June 30, 2011, compared to $36.5 million for the three months ended June 30, 2010. This represents the noncontrolling interests’ share of net income from Wynn Macau, Limited during each quarter.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six months ended June 30, 2011 compared to the six months ended June 30, 2010.</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revenues for the six months ended June 30, 2011 are comprised of $2,088.3 million in casino revenues (79.5% of total net revenues) and $539.3 million of net non-casino revenues (20.5% of total net revenues). Net revenues for the six months ended June 30, 2010 are comprised of $1,480.8 million in casino revenues (76.3% of total net revenues) and $460.8 million of net non-casino revenues (23.7% of total net revenues).</w:t>
      </w:r>
    </w:p>
    <w:p>
      <w:pPr>
        <w:spacing w:after="0" w:line="10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six months ended June 30, 2011 of $2,088.3 million represents a $607.5 million (or 41%) increase from casino revenues of $1,480.8 million for the six months ended June 30, 2010.</w:t>
      </w:r>
    </w:p>
    <w:p>
      <w:pPr>
        <w:spacing w:after="0" w:line="85" w:lineRule="exact"/>
        <w:rPr>
          <w:sz w:val="20"/>
          <w:szCs w:val="20"/>
          <w:color w:val="auto"/>
        </w:rPr>
      </w:pPr>
    </w:p>
    <w:p>
      <w:pPr>
        <w:ind w:right="440" w:firstLine="456"/>
        <w:spacing w:after="0" w:line="305" w:lineRule="auto"/>
        <w:rPr>
          <w:sz w:val="20"/>
          <w:szCs w:val="20"/>
          <w:color w:val="auto"/>
        </w:rPr>
      </w:pPr>
      <w:r>
        <w:rPr>
          <w:rFonts w:ascii="Arial" w:cs="Arial" w:eastAsia="Arial" w:hAnsi="Arial"/>
          <w:sz w:val="15"/>
          <w:szCs w:val="15"/>
          <w:color w:val="auto"/>
        </w:rPr>
        <w:t>Our Las Vegas Operations experienced a $95.8 million increase in casino revenues compared to the prior year due to a 12.1% increase in drop and an increase in our average table games win percentage. Our average table games win percentage (before discounts) for the six months ended June 30, 2011 was</w:t>
      </w:r>
    </w:p>
    <w:p>
      <w:pPr>
        <w:spacing w:after="0"/>
        <w:rPr>
          <w:sz w:val="20"/>
          <w:szCs w:val="20"/>
          <w:color w:val="auto"/>
        </w:rPr>
      </w:pPr>
      <w:r>
        <w:rPr>
          <w:rFonts w:ascii="Arial" w:cs="Arial" w:eastAsia="Arial" w:hAnsi="Arial"/>
          <w:sz w:val="15"/>
          <w:szCs w:val="15"/>
          <w:color w:val="auto"/>
        </w:rPr>
        <w:t>29.1%, which was above the expected range of 21% to 24% and compares to 21.7% for the prior year. Slot machine handle at our Las Vegas Operations increased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4.3% compared to the prior year, and slot machine win increased 8.2% as more play shifted to higher hold slot machines.</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Casino revenues at our Macau Operations, including Encore at Wynn Macau which opened on April 21, 2010, increased $511.7 million during the six months ended June 30, 2011, compared to the prior year. We experienced a 36.3% increase in the VIP revenue segment due to a 47.8% increase in turnover, offset by a lower win percentage all compared to the prior year. Our win as a percent of turnover was 2.80%, which is within our expected range of 2.7% to 3.0%, and compares to 2.97% in the prior year. On April 21, 2010 we added 37 VIP tables with the opening of Encore, which helped drive some of the growth in our VIP segment during the six months ended June 30, 2011 compared to the prior year. Our VIP casino segment win as a percent of turnover includes a nominal beneficial effect attributable to non-rolling chip play. In our general casino drop increased 27.5% when compared to the prior year and the average table games win percentage was 27.8%, which is within our revised expected range of 26% to 28%. The average table game win percentage for the six months ended June 30, 2010 was 22.5%. Slot machine handle increased 49.2% compared to the prior year as a result of increased visitation to our resort and the opening of Encore at Wynn Macau and slot machine win increased 52.6%.</w:t>
      </w:r>
    </w:p>
    <w:p>
      <w:pPr>
        <w:spacing w:after="0" w:line="12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For the six months ended June 30, 2011, room revenues were approximately $235.4 million, an increase of $42 million (21.7%) compared to prior year room revenue of $193.4 million. Room revenue at our Las Vegas Operations increased approximately $22.6 million (14.4%) compared to the prior year. In Las Vegas, we experienced an increase in room rates during the six months ended June 30, 2011, compared to the six months ended June 30, 2010, with a slight decrease in occupancy rate. Room revenue at our Macau Operations increased approximately $19.4 million (52.3%) due to the 414 additional suites added with the addition of Encore at Wynn Macau in April 2010 and increases in both occupancy rate and room rates compared to the prior year.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5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040" w:type="dxa"/>
            <w:vAlign w:val="bottom"/>
            <w:tcBorders>
              <w:bottom w:val="single" w:sz="8" w:color="CCEEFF"/>
            </w:tcBorders>
          </w:tcPr>
          <w:p>
            <w:pPr>
              <w:spacing w:after="0"/>
              <w:rPr>
                <w:sz w:val="12"/>
                <w:szCs w:val="12"/>
                <w:color w:val="auto"/>
              </w:rPr>
            </w:pPr>
          </w:p>
        </w:tc>
        <w:tc>
          <w:tcPr>
            <w:tcW w:w="36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2011</w:t>
            </w:r>
          </w:p>
        </w:tc>
        <w:tc>
          <w:tcPr>
            <w:tcW w:w="7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196"/>
        </w:trPr>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Daily Rate</w:t>
            </w:r>
          </w:p>
        </w:tc>
        <w:tc>
          <w:tcPr>
            <w:tcW w:w="3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$ 240</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$ 200</w:t>
            </w: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Occupancy</w:t>
            </w:r>
          </w:p>
        </w:tc>
        <w:tc>
          <w:tcPr>
            <w:tcW w:w="3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4840" w:type="dxa"/>
            <w:vAlign w:val="bottom"/>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88.5%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91.0%</w:t>
            </w: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Macau</w:t>
            </w:r>
          </w:p>
        </w:tc>
        <w:tc>
          <w:tcPr>
            <w:tcW w:w="4840" w:type="dxa"/>
            <w:vAlign w:val="bottom"/>
            <w:gridSpan w:val="3"/>
          </w:tcPr>
          <w:p>
            <w:pPr>
              <w:jc w:val="right"/>
              <w:ind w:right="572"/>
              <w:spacing w:after="0"/>
              <w:rPr>
                <w:sz w:val="20"/>
                <w:szCs w:val="20"/>
                <w:color w:val="auto"/>
              </w:rPr>
            </w:pPr>
            <w:r>
              <w:rPr>
                <w:rFonts w:ascii="Arial" w:cs="Arial" w:eastAsia="Arial" w:hAnsi="Arial"/>
                <w:sz w:val="18"/>
                <w:szCs w:val="18"/>
                <w:color w:val="auto"/>
              </w:rPr>
              <w:t>89.6%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85.0%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$ 212</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$ 182</w:t>
            </w:r>
          </w:p>
        </w:tc>
        <w:tc>
          <w:tcPr>
            <w:tcW w:w="200" w:type="dxa"/>
            <w:vAlign w:val="bottom"/>
          </w:tcPr>
          <w:p>
            <w:pPr>
              <w:spacing w:after="0"/>
              <w:rPr>
                <w:sz w:val="18"/>
                <w:szCs w:val="18"/>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Other non-casino revenues for the six months ended June 30, 2011 included food and beverage revenues of approximately $276.7 million, retail revenues of approximately $124.2 million, entertainment revenues of approximately $39.7 million, and other revenues from outlets such as the spa and salon, of approximately $37.5 million. Other non-gaming revenues for the six months ended June 30, 2010 included food and beverage revenues of approximately $239.2 million, retail revenues of approximately $101.2 million, entertainment revenues of approximately $33.8 million, and other revenues from outlets, including the spa and salon, of approximately $34.9 million. Food and beverage revenues at our Las Vegas Operations increased approximately $24.7 million (11.9%), while our Macau Operations increased $12.8 million (40.2%), as compared to the prior year. The increase in Las Vegas is due primarily to business in our nightclubs including the opening of the Encore Beach Club and Surrender nightclub in May 2010 and increases in our catering and restaurant business. Retail revenues at our Macau Operations increased $20.7 million (33.8%), while retail at our Las Vegas Operations increased by $2.4 million (6%). The increase at Wynn Macau is due primarily to strong same-store sales growth and the addition of three new boutiques at Encore at Wynn Macau. Entertainment revenues increased over the prior year primarily due to increased revenue from Garth Brooks in the Encore Theater and the Sinatra “Dance with Me” show, both in Las Vegas. The Sinatra “Dance with Me” show ended its run on April 23, 2011.</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For the six months ended June 30, 2011, departmental expenses included casino expenses of $1,308.9 million, room expenses of $62.5 million, food and beverage expenses of $141 million, and entertainment, retail and other expenses of $110.4 million. Also included are general and administrative expenses of approximately $179.6 million and $13.9 million charged as a provision for doubtful accounts receivable. For the six months ended June 30, 2010, departmental expenses included casino expenses of $967.2 million, room expenses of $62.8 million, food and beverage expenses of $134.5 million, and entertainment, retail and other expenses of $97.8 million. Also included are general and administrative expenses of approximately $182.7 million and approximately $13.9 million charged as a provision for doubtful accounts receivable. Casino expenses have increased during the six months ended June 30, 2011 due to an increase in casino revenues especially at our Macau Operations where we incur a gaming tax and other levies at a rate totaling 39% in accordance with the concession agreement. Room expenses were flat as the increase in revenue was due to increased average daily rates. Food and beverage and entertainment, retail and other expenses increased commensurate with the increase in revenues. General and administrative expenses decreased slightly primarily due to a decline in property taxes in Las Vegas.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incurred no pre-opening costs during the six months ended June 30, 2011. For the six months ended June 30, 2010, we incurred $9 million of pre-opening costs primarily related to Encore at Wynn Macau which opened on April 21, 2010 and the Encore Beach Club which opened in Las Vegas on May 28, 2010.</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Depreciation and amortization for the six months ended June 30, 2011 was $203.4 million compared to $205.9 million for the six months ended June 30, 2010. While there was little change between periods, assets with a 5-year life were fully depreciated as of April 2010 at Wynn Las Vegas, which was offset by depreciation of the assets of Encore at Wynn Macau which were placed into service in April 2010 and the assets of the Encore Beach Club and Surrender Nightclub in Las Vegas which were placed into service in May 2010.</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During the construction of our properties,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maximum useful life of assets at our Macau Operations is the remaining life of the gaming concession or land concession, which currently expire in June 2022 and August 2029, respectively. Consequently, depreciation related to our Macau Operations is charged on an accelerated basis when compared to our Las Vegas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Property charges and other for the six months ended June 30, 2011, were $114.4 million compared to $4.8 million for the six months ended June 30, 2010. Property charges and other for the six months ended June 30, 2011 includes a charge of $107.5 million reflecting the present value of a charitable contribution made by Wynn Macau to the University of Macau Development Foundation. This contribution consists of a $25 million payment made in May 2011, and a commitment for additional donations of $10 million each year for the calendar years 2012 through 2022 inclusive, for a total of $135 million. The amount reflected in our accompanying Condensed Consolidated Statements of Income has been discounted using our current estimated borrowing rate over the time period of the remaining committed payments. Property charges and other for the six months ended June 30, 2011 also include the write off of certain costs related to a show that ended its run in Las Vegas and miscellaneous renovations and abandonments at our resorts.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Property charges and other for the six months ended June 30, 2010 related to miscellaneous renovations, abandonments and gain/loss on sale of equipment at our resorts.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response to our evaluation of our properties and the reactions of our guests, we continue to remodel and make enhancements at our resorts.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Interest income was $2 million and $0.9 million for the six months ended June 30, 2011 and 2010, respectively. During 2011 and 2010, our short-term investment strategy has been to preserve capital while retaining sufficient liquidity. While we have recently invested in certain corporate bond securities and commercial paper which contributed to the increase in interest income, the majority of our short-term investments were primarily in investments in money market accounts, U.S. Treasury Bills and time deposits with a maturity of three months or less.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Interest expense was $116.5 million, net of capitalized interest of $0, for the six months ended June 30, 2011, compared to $102.9 million, net of capitalized interest of $7.2 million, for the six months ended June 30, 2010. Our interest expense increased compared to the prior year primarily due to a decrease in interest capitalized and an increase in interest rates on our first mortgage notes, offset by a decrease in amounts outstanding under our Wynn Las Vegas and Wynn Macau bank credit revolving facilities.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in each period. We recorded a gain of approximately $7.4 million for the six months ended June 30, 2011 resulting from the increase in the fair value of our interest rate swaps from December 31, 2010 to June 30, 2011. For the six months ended June 30, 2010 we recorded an expense of $5.3 million resulting from the decrease in the fair value of interest rate swaps between December 31, 2009 and June 30, 2010. For further information on our interest rate swaps, see Item 3 – “Quantitative and Qualitative Disclosures about Market Risk.”</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described in our 2010 Annual Report on Form 10-K we completed an exchange offer for a portion of our 6 5/8% first mortgage notes in April 2010. In connection with that exchange offer, the direct costs incurred with third parties of $3.2 million were expensed.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the six months ended June 30, 2011 and 2010, we recorded a tax expense of $7.3 million and $7 million, respectively. Our provision for income taxes is primarily comprised of increases in our domestic valuation allowance for U.S. foreign tax credits not expected to provide a U.S. tax benefit in future years, foreign taxes assessable on the dividends of Wynn Macau, S.A. and foreign tax provisions related to our international marketing offices. Since June 30, 2010, we have no longer considered our portion of the tax earnings and profits of Wynn Macau, Limited to be permanently invested. No additional U.S. tax provision has been made with respect to amounts not considered permanently invested as we anticipate that U.S. foreign tax credits should be sufficient to eliminate any U.S. tax provision relating to such repatriation. To the extent that book earnings exceed the tax earnings and profits of Wynn Macau, Limited, such excess is considered permanently invested. For the six months ended June 30, 2011, we recognized income tax benefits related to excess tax deductions associated with stock compensation costs of $7.6 million.</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Accordingly, we were exempted from the payment of approximately $34.5 million in such taxes for the six months ended June 30, 2011. Our non-gaming profits remain subject to the Macau Complementary Tax and casino winnings remain subject to the Macau Special Gaming tax and other levies at a rate totaling 39% in accordance with its concession agreement.</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the six months ended June 30, 2011, we received the results of an IRS examination of our 2009 U.S. income tax return and filed an appeal of the examination’s findings with the Appellate division of the IRS. During the same period, Wynn Macau, S.A. received the results of the Macau Finance Bureau’s examination of its 2006 and 2007 Macau Complementary Tax returns. During July, 2011, Wynn Macau filed an appeal of the examinations findings. We do not anticipate that the resolution of these issues will result in significant tax payments and believe that our liability for uncertain tax positions for the periods covered by these examinations is adequate.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October 2009, Wynn Macau, Limited, our newly formed and indirect wholly-owned subsidiary and the developer, owner and operator of Wynn Macau, listed its ordinary shares of common stock on The Stock Exchange of Hong Kong Limited. Wynn Macau, Limited sold 1,437,500,000 shares (27.7%) of its common stock through an initial public offering. We recorded net income attributable to noncontrolling interests of $85.8 million for the six months ended June 30, 2011, compared to $67.4 million for the six months ended June 30, 2010. This represents the noncontrolling interests’ share of net income from Wynn Macau, Limited during each period.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9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Adjusted property EBITDA is used by us to manage the operating results of our segments. Adjusted property EBITDA is earnings before interest, taxes, depreciation, amortization, pre-opening costs, property charges and other, corporate expenses, stock-based compensation,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and corporate expenses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2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following table summarizes adjusted property EBITDA for our Las Vegas and Macau Operations as reviewed by management and summarized in “Notes to Condensed Consolidated Financial Statements – Note 18 Segment Information.” That footnote also presents a reconciliation of adjusted property EBITDA to net income.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0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520" w:type="dxa"/>
            <w:vAlign w:val="bottom"/>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Las Vegas Operations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$ 132,693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65,126</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$ 264,820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125,431</w:t>
            </w:r>
          </w:p>
        </w:tc>
        <w:tc>
          <w:tcPr>
            <w:tcW w:w="100" w:type="dxa"/>
            <w:vAlign w:val="bottom"/>
            <w:shd w:val="clear" w:color="auto" w:fill="CCEEFF"/>
          </w:tcPr>
          <w:p>
            <w:pPr>
              <w:spacing w:after="0"/>
              <w:rPr>
                <w:sz w:val="18"/>
                <w:szCs w:val="18"/>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Macau Operations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314,348</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216,248</w:t>
            </w: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587,179</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397,838</w:t>
            </w:r>
          </w:p>
        </w:tc>
        <w:tc>
          <w:tcPr>
            <w:tcW w:w="100" w:type="dxa"/>
            <w:vAlign w:val="bottom"/>
          </w:tcPr>
          <w:p>
            <w:pPr>
              <w:spacing w:after="0"/>
              <w:rPr>
                <w:sz w:val="19"/>
                <w:szCs w:val="19"/>
                <w:color w:val="auto"/>
              </w:rPr>
            </w:pPr>
          </w:p>
        </w:tc>
      </w:tr>
      <w:tr>
        <w:trPr>
          <w:trHeight w:val="216"/>
        </w:trPr>
        <w:tc>
          <w:tcPr>
            <w:tcW w:w="7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$ 447,041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281,374</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$ 851,999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523,269</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Las Vegas Operations benefited from a higher than normal table games win percentage, improved ADR, and an overall increase in all other revenue streams including entertainment and food and beverage. While we experienced a decrease in occupancy compared to the prior year, we were able to achieve an increase in ADR as we adjusted rates to attract a higher quality customer who would take advantage of all aspects of our resort. While we benefited from higher win percentages on our table games and higher non-casino revenues during the quarter and year to date periods, the economic environment in the Las Vegas market is still uncertain.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Macau Operations adjusted property EBITDA has increased as the Macau market continues to grow and as a result of our expansion of that resort.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Refer to the discussions above regarding the specific details of our results of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Operations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operating cash flows primarily consist of our operating income generated by our Las Vegas and Macau operations (excluding depreciation and other non-cash charges), interest paid, and changes in working capital accounts such as receivables, inventories, prepaid expenses, and payables. Our table games play both in Macau and Las Vegas is a mix of cash play and credit play, while our slot machine play is conducted primarily on a cash basis. A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2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Net cash provided by operations for the six months ended June 30, 2011 was $831 million compared to $422.6 million provided by operations for the six months ended June 30, 2010. This increase is primarily due to the increase in operating income as a result of increased operating department profitability at both our Las Vegas Operations and our Macau Operations, especially in the casino, room and food and beverage departments. Also contributing to this increase was the positive impact of ordinary working capital changes primarily driven by customer deposits partially offset by an increase in cash paid for interest for the six months ended June 30,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require a certain amount of cash on hand for operations. At June 30, 2011, we had approximately $1.7 billion of cash and cash equivalents available for operations, debt service and retirement, development activities, general corporate purposes and enhancements to our resorts. Approximately $961.7 million of our cash balance at June 30, 2011 is held by Wynn Macau, Limited and its subsidiaries of which we own 72.3%. Approximately $543.5 million of our cash balance is held by Wynn Resorts, Limited, which is not a guarantor of the debt of its subsidiaries, including Wynn Las Vegas, LLC and Wynn Macau, S.A. As of June 30, 2011, we had $347.5 million available to draw under our Wynn Las Vegas Credit Facilities and $1 billion available to draw under our Wynn Macau Credit Facilities. Debt maturities for the remainder of 2011 are $75 million. We believe that cash flow from operations and our existing cash balances will be adequate to satisfy our anticipated uses of capital during 2011.</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Cash and cash equivalents include investments in money market accounts, U.S. Treasuries, bank time deposits and commercial paper, all with maturities of less than 90 days.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Capital expenditures were $51.3 million for the six months ended June 30, 2011, and related primarily to the room and suite remodel that began last year at Wynn Las Vegas. Capital expenditures for the six months ended June 30, 2010 were $188.6 million and related primarily to the construction of Encore at Wynn Macau and the Beach Club and Surrender Nightclub at Wynn Las Vegas.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six months ended June 30, 2011, we invested $172 million in corporate debt securities and commercial paper.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of June 30, 2011, our Wynn Las Vegas credit facilities, as amended, (collectively the “Wynn Las Vegas Credit Facilities”) consisted of a $108.5 million revolving credit facility, due July 2013 and a $258.4 million revolving credit facility due July 2015 (together the “Wynn Las Vegas Revolver”), and a fully drawn $44.3</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million term loan facility due August 2013 and a fully drawn $330.6 million term loan facility due August 2015 (together the “Wynn Las Vegas Term Loan”). During the six months ended June 30, 2011, we repaid $20.1 million of borrowings under the Wynn Las Vegas Revolver. As of June 30, 2011, the Wynn Las Vegas Term Loan was fully drawn and we had no borrowings outstanding under the Wynn Las Vegas Revolver. We had $19.5 million of outstanding letters of credit that reduce our availability under the Wynn Las Vegas Revolver. Accordingly, we have availability of $347.5 million under the Wynn Las Vegas Revolver as of June 30, 2011.</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June 30, 2011, our Wynn Macau credit facilities, as amended, (collectively the “Wynn Macau Credit Facilities”) consisted of a $550 million equivalent fully-funded senior term loan facility (the “Wynn Macau Term Loan”), and a $1 billion equivalent senior revolving credit facility (the “Wynn Macau Revolver”) in a combination of Hong Kong and U.S. dollars. Wynn Macau, S.A. also has the ability to increase the total facilities by an additional $50 million pursuant to the terms and provisions of the Amended Common Terms Agreement. During the six months ended June 30, 2011, we repaid $100.2 million of borrowings under the Wynn Macau Revolver. As of June 30, 2011, the Wynn Macau Term Loan was fully drawn and we had no borrowings outstanding under the Wynn Macau Revolver. We have $1 billion of availability under the Wynn Macau Revolver as of June 30, 2011.</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May 2011, we paid a cash dividend of $0.50 per share. In May 2010, we paid a cash dividend of $0.25 per share.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have not entered into any transactions with special purpose entities nor do we engage in any derivatives except for floating-for-fixed interest rate swaps described under Item 3. Quantitative and Qualitative Disclosures About Market Risk. We do not have any retained or contingent interest in assets transferred to an unconsolidated entity. At June 30, 2011, we had outstanding letters of credit totaling $19.5 million.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Other than the paydown of $122 million under our bank credit facilities, there have been no material changes during the quarter to our contractual obligations or off balance sheet arrangements as disclosed in our Annual Report on Form 10-K for the year ended December 31, 2010.</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Wynn Las Vegas and Wynn Macau debt instruments significantly restrict our ability to pay dividends. Specifically, Wynn Las Vegas, LLC and certain of its subsidiaries are restricted under the indentures governing the first mortgage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The Wynn Las Vegas Credit Facilities contain similar restrictions. While the Wynn Macau Credit Facility contains similar restrictions, Wynn Macau is currently in compliance with all requirements, namely satisfaction of its leverage ratio, which must be met in order to pay dividends and is presently able to pay dividends in accordance with the Wynn Macau Credit Facilities.</w:t>
      </w:r>
    </w:p>
    <w:p>
      <w:pPr>
        <w:spacing w:after="0" w:line="118"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Wynn Las Vegas, LLC intends to fund its operations and capital requirements from operating cash flow and availability under the Wynn Las Vegas Revolver. We cannot assure you however, that our Las Vegas Operations will generate sufficient cash flow from operations or the availability of additional indebtedness will be sufficient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to enable us to service and repay Wynn Las Vegas, LLC’s indebtedness and to fund its other liquidity needs. Similarly, we expect that Wynn Macau will fund Wynn Macau, S.A.’s debt service obligations with existing cash, operating cash flow and availability under the Wynn Macau Revolver.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1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or through subsidiaries separate from the Las Vegas or Macau-related entities.</w:t>
      </w:r>
    </w:p>
    <w:p>
      <w:pPr>
        <w:spacing w:after="0" w:line="11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our Board of Directors.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would increase our leverage ratio.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2010. There has been no material change to these policies for the six months ended June 30,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May 2011, the Financial Accounting Standards Board (the “FASB”) issued an accounting standards update that is intended to align the principles for fair value measurements and the related disclosure requirements under US GAAP and IFRS. From a US GAAP perspective, the updates are largely clarifications and certain additional disclosures. The effective date for this update is for years, and the interim periods within those years, beginning after December 15, 2011. This update is not expected to have a material impact on our financial statements.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June 2011, the FASB issued an accounting standards update that will require items of net income, items of other comprehensive income (“OCI”) and total comprehensive income to be presented in one continuous statement or two separate but consecutive statements. This will make the presentation of items within OCI more prominent. Companies will no longer be allowed to present OCI in the statement of stockholders’ equity. The effective date for this update is for years, and the interim periods within those years, beginning after December 15,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measure the fair value of our interest rate swaps on a recurring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June 30, 2011, we have one interest rate swap intended to hedge a portion of the underlying interest rate risk on borrowings under the Wynn Las Vegas Credit Facilities. Under this swap agreement, we pay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under the Wynn Las Vegas Credit Facilities at approximately 5.485%. This interest rate swap agreement matures in November 2012. Changes in the fair value of this interest rate swap have and will continue to be recorded as an increase/(decrease) in swap fair value in our Condensed Consolidated Statements of Income as this swap does not qualify for hedge accounting.</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As of June 30, 2011, we have three interest rate swaps intended to hedge a portion of the underlying interest rate risk on borrowings under the Wynn Macau Credit Facilities. Under the first swap agreement, we pay a fixed interest rate of 3.632% on U.S. dollar borrowings of $153.8 million incurred under the Wynn Macau Credit Facilities in exchange for receipts on the same amounts at a variable interest rate based on the applicable LIBOR at the time of payment. As of June 30, 2011, this interest rate swap fixes the interest rate on $153.8 million of the current U.S. dollar borrowings under the Wynn Macau Credit Facilities at approximately 4.88% - 5.38%. Under the second swap agreement, we pay a fixed interest rate of 3.39% on Hong Kong dollar borrowings of approximately HK $991.6 million (approximately US$127 million) incurred under the Wynn Macau Credit Facilities in exchange for receipts on the same amounts at a variable interest rate based on the applicable HIBOR at the time of payment. As of June 30, 2011, this interest rate swap fixes the interest rate on approximately</w:t>
      </w:r>
    </w:p>
    <w:p>
      <w:pPr>
        <w:ind w:right="100"/>
        <w:spacing w:after="0" w:line="290" w:lineRule="auto"/>
        <w:rPr>
          <w:sz w:val="20"/>
          <w:szCs w:val="20"/>
          <w:color w:val="auto"/>
        </w:rPr>
      </w:pPr>
      <w:r>
        <w:rPr>
          <w:rFonts w:ascii="Arial" w:cs="Arial" w:eastAsia="Arial" w:hAnsi="Arial"/>
          <w:sz w:val="16"/>
          <w:szCs w:val="16"/>
          <w:color w:val="auto"/>
        </w:rPr>
        <w:t>$127 million of the current Hong Kong dollar borrowings under the Wynn Macau Credit Facilities at approximately 4.64%. Both of these interest rate swap agreements mature in August 2011. We entered into a third interest rate swap agreement at Wynn Macau to hedge a portion of the underlying interest rate risk on borrowings under the Wynn Macau Credit Facilities. Under this swap agreement we pay a fixed interest rate of 2.15% on borrowings of approximately HK$2.3 billion (approximately US$300 million) incurred under the Wynn Macau Credit Facilities in exchange for receipts on the same amount at a variable interest rate based on the applicable HIBOR at the time of payment. This interest rate swap fixes the interest rate on HK$2.3 billion (approximately US$300 million) of borrowings under the Wynn Macau Credit Facilities at approximately 3.4%. This interest rate swap agreement matures in June 2012.</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Changes in the fair values of these interest rate swaps for each reporting period recorded are, and will continue to be, recognized as an increase/(decrease) in swap fair value in our Condensed Consolidated Statements of Income as the swaps do not qualify for hedge accounting.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presents the historical liability fair values of our interest rate swap arrangements as of June 30, 2011 and December 31, 2010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7"/>
              </w:rPr>
              <w:t>Total Interest</w:t>
            </w:r>
          </w:p>
        </w:tc>
      </w:tr>
      <w:tr>
        <w:trPr>
          <w:trHeight w:val="161"/>
        </w:trPr>
        <w:tc>
          <w:tcPr>
            <w:tcW w:w="8120" w:type="dxa"/>
            <w:vAlign w:val="bottom"/>
          </w:tcPr>
          <w:p>
            <w:pPr>
              <w:spacing w:after="0"/>
              <w:rPr>
                <w:sz w:val="20"/>
                <w:szCs w:val="20"/>
                <w:color w:val="auto"/>
              </w:rPr>
            </w:pPr>
            <w:r>
              <w:rPr>
                <w:rFonts w:ascii="Arial" w:cs="Arial" w:eastAsia="Arial" w:hAnsi="Arial"/>
                <w:sz w:val="14"/>
                <w:szCs w:val="14"/>
                <w:b w:val="1"/>
                <w:bCs w:val="1"/>
                <w:color w:val="auto"/>
              </w:rPr>
              <w:t>Liability fair value:</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Las Vegas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Macau</w:t>
            </w: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Rate Swaps</w:t>
            </w:r>
          </w:p>
        </w:tc>
      </w:tr>
      <w:tr>
        <w:trPr>
          <w:trHeight w:val="210"/>
        </w:trPr>
        <w:tc>
          <w:tcPr>
            <w:tcW w:w="8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June 30, 2011</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7,089</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120" w:type="dxa"/>
            <w:vAlign w:val="bottom"/>
          </w:tcPr>
          <w:p>
            <w:pPr>
              <w:spacing w:after="0"/>
              <w:rPr>
                <w:sz w:val="20"/>
                <w:szCs w:val="20"/>
                <w:color w:val="auto"/>
              </w:rPr>
            </w:pPr>
            <w:r>
              <w:rPr>
                <w:rFonts w:ascii="Arial" w:cs="Arial" w:eastAsia="Arial" w:hAnsi="Arial"/>
                <w:sz w:val="18"/>
                <w:szCs w:val="18"/>
                <w:color w:val="auto"/>
              </w:rPr>
              <w:t>December 31, 2010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8,457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spacing w:after="0"/>
              <w:rPr>
                <w:sz w:val="20"/>
                <w:szCs w:val="20"/>
                <w:color w:val="auto"/>
              </w:rPr>
            </w:pPr>
            <w:r>
              <w:rPr>
                <w:rFonts w:ascii="Arial" w:cs="Arial" w:eastAsia="Arial" w:hAnsi="Arial"/>
                <w:sz w:val="18"/>
                <w:szCs w:val="18"/>
                <w:color w:val="auto"/>
              </w:rPr>
              <w:t>12,992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21,449</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We adjust this amount by applying a non-performance valuation, considering our creditworthiness or the creditworthiness of our counterparties at each settlement date as applicable.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2011, approximately 95% of our long-term debt was based on fixed rates, including the notional amounts related to interest rate swaps.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Based on our borrowings as of June 30, 2011, an assumed 1% change in variable rates would cause our annual interest cost to change by $1.5 million.</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16"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If the Hong Kong dollar and the Macau pataca are not linked to the U.S. dollar in the future, severe fluctuations in the exchange rate for these currencies may result. We cannot assure you that the current rate of exchange fixed by the applicable monetary authorities for these currencies will remain at the same level.</w:t>
      </w:r>
    </w:p>
    <w:p>
      <w:pPr>
        <w:spacing w:after="0" w:line="6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because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100" w:firstLine="464"/>
        <w:spacing w:after="0" w:line="306" w:lineRule="auto"/>
        <w:tabs>
          <w:tab w:leader="none" w:pos="695"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18" w:lineRule="exact"/>
        <w:rPr>
          <w:sz w:val="20"/>
          <w:szCs w:val="20"/>
          <w:color w:val="auto"/>
        </w:rPr>
      </w:pPr>
    </w:p>
    <w:p>
      <w:pPr>
        <w:ind w:firstLine="464"/>
        <w:spacing w:after="0" w:line="259"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matters see Note 16 to our Condensed Consolidated Financial Statements in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 description of our risk factors can be found in Item 1A of our Annual Report on Form 10-K for the year ended December 31, 2010. There were no material changes to those risk factors during the six months ended June 30,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Restrictions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November 2009, our Board of Directors approved the commencement of a regular quarterly cash dividend program beginning in 2010. On July 14, 2011, our Board of Directors declared a dividend of $0.50 per share, payable on August 11, 2011 to stockholders of record as of July 28, 2011. On April 19, 2011, our Board of Directors declared a dividend of $0.50 per share which was paid on May 17, 2011 to stockholders of record as of May 3, 2011. Wynn Resorts is a holding company and, as a result, our ability to pay dividends is highly dependent on our ability to obtain funds and our subsidiaries’ ability to provide funds to us. Restrictions imposed by our subsidiaries’ debt instruments significantly restrict our ability to pay dividends. Specifically, Wynn Las Vegas, LLC and certain of its subsidiaries are restricted under the indentures governing the first mortgage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The Wynn Las Vegas, LLC Credit Facilities contain similar restrictions. While the Wynn Macau Credit Facility contains similar restrictions, Wynn Macau is currently in compliance with all requirements, namely satisfaction of its leverage ratio, which must be met in order to pay dividends and is presently able to pay dividends in accordance with the Wynn Macau Credit Facilities.</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May 2011, the Company repurchased a total of 7,223 shares at an average price of $145 per share in satisfaction of tax withholding obligations on vested restricted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At the Company’s 2011 Annual Meeting of Stockholders held on May 17, 2011, stockholders voted on an advisory (non-binding) proposal regarding the frequency of future advisory votes on executive compensation. As we reported on a Form 8-K filed on May 20, 2011, approximately 71% of the votes cast on the frequency proposal voted in favor of holding an advisory vote on executive compensation every three years. Following consideration of the stockholder vote on the frequency proposal, the Company’s Board of Directors has determined to hold an advisory vote on executive compensation every three years.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0" w:type="dxa"/>
            <w:vAlign w:val="bottom"/>
            <w:gridSpan w:val="3"/>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4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480" w:type="dxa"/>
            <w:vAlign w:val="bottom"/>
          </w:tcPr>
          <w:p>
            <w:pPr>
              <w:spacing w:after="0"/>
              <w:rPr>
                <w:sz w:val="24"/>
                <w:szCs w:val="24"/>
                <w:color w:val="auto"/>
              </w:rPr>
            </w:pPr>
          </w:p>
        </w:tc>
      </w:tr>
      <w:tr>
        <w:trPr>
          <w:trHeight w:val="316"/>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3.1</w:t>
            </w:r>
          </w:p>
        </w:tc>
        <w:tc>
          <w:tcPr>
            <w:tcW w:w="10200" w:type="dxa"/>
            <w:vAlign w:val="bottom"/>
            <w:gridSpan w:val="3"/>
          </w:tcPr>
          <w:p>
            <w:pPr>
              <w:ind w:left="480"/>
              <w:spacing w:after="0"/>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3.2</w:t>
            </w:r>
          </w:p>
        </w:tc>
        <w:tc>
          <w:tcPr>
            <w:tcW w:w="10200" w:type="dxa"/>
            <w:vAlign w:val="bottom"/>
            <w:gridSpan w:val="3"/>
          </w:tcPr>
          <w:p>
            <w:pPr>
              <w:ind w:left="480"/>
              <w:spacing w:after="0"/>
              <w:rPr>
                <w:sz w:val="20"/>
                <w:szCs w:val="20"/>
                <w:color w:val="auto"/>
              </w:rPr>
            </w:pPr>
            <w:r>
              <w:rPr>
                <w:rFonts w:ascii="Arial" w:cs="Arial" w:eastAsia="Arial" w:hAnsi="Arial"/>
                <w:sz w:val="18"/>
                <w:szCs w:val="18"/>
                <w:color w:val="auto"/>
              </w:rPr>
              <w:t>Fourth Amended and Restated Bylaws of the Registrant, as amended. (2)</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*31.1</w:t>
            </w:r>
          </w:p>
        </w:tc>
        <w:tc>
          <w:tcPr>
            <w:tcW w:w="10200" w:type="dxa"/>
            <w:vAlign w:val="bottom"/>
            <w:gridSpan w:val="3"/>
          </w:tcPr>
          <w:p>
            <w:pPr>
              <w:ind w:left="480"/>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*31.2</w:t>
            </w:r>
          </w:p>
        </w:tc>
        <w:tc>
          <w:tcPr>
            <w:tcW w:w="10200" w:type="dxa"/>
            <w:vAlign w:val="bottom"/>
            <w:gridSpan w:val="3"/>
          </w:tcPr>
          <w:p>
            <w:pPr>
              <w:ind w:left="480"/>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324"/>
        </w:trPr>
        <w:tc>
          <w:tcPr>
            <w:tcW w:w="720" w:type="dxa"/>
            <w:vAlign w:val="bottom"/>
          </w:tcPr>
          <w:p>
            <w:pPr>
              <w:jc w:val="right"/>
              <w:ind w:right="35"/>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4"/>
                <w:szCs w:val="24"/>
                <w:color w:val="auto"/>
              </w:rPr>
            </w:pPr>
          </w:p>
        </w:tc>
        <w:tc>
          <w:tcPr>
            <w:tcW w:w="10200" w:type="dxa"/>
            <w:vAlign w:val="bottom"/>
            <w:gridSpan w:val="3"/>
          </w:tcPr>
          <w:p>
            <w:pPr>
              <w:ind w:left="480"/>
              <w:spacing w:after="0"/>
              <w:rPr>
                <w:sz w:val="20"/>
                <w:szCs w:val="20"/>
                <w:color w:val="auto"/>
              </w:rPr>
            </w:pPr>
            <w:r>
              <w:rPr>
                <w:rFonts w:ascii="Arial" w:cs="Arial" w:eastAsia="Arial" w:hAnsi="Arial"/>
                <w:sz w:val="18"/>
                <w:szCs w:val="18"/>
                <w:color w:val="auto"/>
              </w:rPr>
              <w:t>Certification of CEO and CFO Pursuant to 18 U.S.C. Section 1350.</w:t>
            </w:r>
          </w:p>
        </w:tc>
      </w:tr>
      <w:tr>
        <w:trPr>
          <w:trHeight w:val="318"/>
        </w:trPr>
        <w:tc>
          <w:tcPr>
            <w:tcW w:w="720" w:type="dxa"/>
            <w:vAlign w:val="bottom"/>
          </w:tcPr>
          <w:p>
            <w:pPr>
              <w:jc w:val="right"/>
              <w:ind w:right="35"/>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10200" w:type="dxa"/>
            <w:vAlign w:val="bottom"/>
            <w:gridSpan w:val="3"/>
          </w:tcPr>
          <w:p>
            <w:pPr>
              <w:ind w:left="480"/>
              <w:spacing w:after="0"/>
              <w:rPr>
                <w:sz w:val="20"/>
                <w:szCs w:val="20"/>
                <w:color w:val="auto"/>
              </w:rPr>
            </w:pPr>
            <w:r>
              <w:rPr>
                <w:rFonts w:ascii="Arial" w:cs="Arial" w:eastAsia="Arial" w:hAnsi="Arial"/>
                <w:sz w:val="18"/>
                <w:szCs w:val="18"/>
                <w:color w:val="auto"/>
                <w:w w:val="91"/>
              </w:rPr>
              <w:t>The following financial information from the Company’s Quarterly Report on Form 10-Q for the quarter ended June 30, 2011, filed with</w:t>
            </w:r>
          </w:p>
        </w:tc>
      </w:tr>
      <w:tr>
        <w:trPr>
          <w:trHeight w:val="216"/>
        </w:trPr>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0" w:type="dxa"/>
            <w:vAlign w:val="bottom"/>
            <w:gridSpan w:val="3"/>
          </w:tcPr>
          <w:p>
            <w:pPr>
              <w:ind w:left="480"/>
              <w:spacing w:after="0"/>
              <w:rPr>
                <w:sz w:val="20"/>
                <w:szCs w:val="20"/>
                <w:color w:val="auto"/>
              </w:rPr>
            </w:pPr>
            <w:r>
              <w:rPr>
                <w:rFonts w:ascii="Arial" w:cs="Arial" w:eastAsia="Arial" w:hAnsi="Arial"/>
                <w:sz w:val="18"/>
                <w:szCs w:val="18"/>
                <w:color w:val="auto"/>
                <w:w w:val="88"/>
              </w:rPr>
              <w:t>the SEC on August 9, 2011 formatted in Extensible Business Reporting Language (XBRL): (i) the Condensed Consolidated Statements of</w:t>
            </w:r>
          </w:p>
        </w:tc>
      </w:tr>
      <w:tr>
        <w:trPr>
          <w:trHeight w:val="222"/>
        </w:trPr>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0" w:type="dxa"/>
            <w:vAlign w:val="bottom"/>
            <w:gridSpan w:val="3"/>
          </w:tcPr>
          <w:p>
            <w:pPr>
              <w:ind w:left="480"/>
              <w:spacing w:after="0"/>
              <w:rPr>
                <w:sz w:val="20"/>
                <w:szCs w:val="20"/>
                <w:color w:val="auto"/>
              </w:rPr>
            </w:pPr>
            <w:r>
              <w:rPr>
                <w:rFonts w:ascii="Arial" w:cs="Arial" w:eastAsia="Arial" w:hAnsi="Arial"/>
                <w:sz w:val="18"/>
                <w:szCs w:val="18"/>
                <w:color w:val="auto"/>
                <w:w w:val="87"/>
              </w:rPr>
              <w:t>Income for the three and six months ended June 30, 2011 and 2010, (ii) the Condensed Consolidated Balance Sheets at June 30, 2011 and</w:t>
            </w:r>
          </w:p>
        </w:tc>
      </w:tr>
    </w:tbl>
    <w:p>
      <w:pPr>
        <w:ind w:left="1660"/>
        <w:spacing w:after="0" w:line="261" w:lineRule="auto"/>
        <w:rPr>
          <w:sz w:val="20"/>
          <w:szCs w:val="20"/>
          <w:color w:val="auto"/>
        </w:rPr>
      </w:pPr>
      <w:r>
        <w:rPr>
          <w:rFonts w:ascii="Arial" w:cs="Arial" w:eastAsia="Arial" w:hAnsi="Arial"/>
          <w:sz w:val="18"/>
          <w:szCs w:val="18"/>
          <w:color w:val="auto"/>
        </w:rPr>
        <w:t>December 31 2010, (iii) the Condensed Consolidated Statements of Cash Flows for the six months ended June 30, 2011 and 2010,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60" w:right="200" w:hanging="452"/>
        <w:spacing w:after="0" w:line="256"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Pursuant to Rule 406T of Regulation S-T, the XBRL related information in Exhibit 101 to this quarterly Report on Form 10-Q shall be deemed to be not filed for purposes of Section 18 of the Exchange Act, or otherwise subject to the liability of that section, and shall not be deemed part of a registration statement, prospectus or other document filed under the Securities Act or the Exchange Act, except as shall be expressly set forth by specific reference in such filings.</w:t>
      </w:r>
    </w:p>
    <w:p>
      <w:pPr>
        <w:spacing w:after="0" w:line="62" w:lineRule="exact"/>
        <w:rPr>
          <w:sz w:val="20"/>
          <w:szCs w:val="20"/>
          <w:color w:val="auto"/>
        </w:rPr>
      </w:pPr>
    </w:p>
    <w:p>
      <w:pPr>
        <w:ind w:left="460" w:right="52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August 9, 2007 and incorporated herein by reference.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WYNN RESORTS, LIMITED</w:t>
      </w:r>
    </w:p>
    <w:p>
      <w:pPr>
        <w:spacing w:after="0" w:line="177" w:lineRule="exact"/>
        <w:rPr>
          <w:sz w:val="20"/>
          <w:szCs w:val="20"/>
          <w:color w:val="auto"/>
        </w:rPr>
      </w:pPr>
    </w:p>
    <w:p>
      <w:pPr>
        <w:spacing w:after="0"/>
        <w:tabs>
          <w:tab w:leader="none" w:pos="5560" w:val="left"/>
          <w:tab w:leader="none" w:pos="7780" w:val="left"/>
          <w:tab w:leader="none" w:pos="8120" w:val="left"/>
        </w:tabs>
        <w:rPr>
          <w:sz w:val="20"/>
          <w:szCs w:val="20"/>
          <w:color w:val="auto"/>
        </w:rPr>
      </w:pPr>
      <w:r>
        <w:rPr>
          <w:rFonts w:ascii="Arial" w:cs="Arial" w:eastAsia="Arial" w:hAnsi="Arial"/>
          <w:sz w:val="18"/>
          <w:szCs w:val="18"/>
          <w:color w:val="auto"/>
        </w:rPr>
        <w:t>Dated: August 9,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Matt Maddox</w:t>
      </w:r>
    </w:p>
    <w:p>
      <w:pPr>
        <w:jc w:val="center"/>
        <w:ind w:left="5940"/>
        <w:spacing w:after="0" w:line="221"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594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540"/>
          </w:cols>
          <w:pgMar w:left="240" w:top="459" w:right="11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Stephen A. Wynn, certify that:</w:t>
      </w:r>
    </w:p>
    <w:p>
      <w:pPr>
        <w:spacing w:after="0" w:line="21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9, 2011</w:t>
      </w:r>
    </w:p>
    <w:p>
      <w:pPr>
        <w:spacing w:after="0" w:line="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263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and</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Matt Maddox, certify that:</w:t>
      </w:r>
    </w:p>
    <w:p>
      <w:pPr>
        <w:spacing w:after="0" w:line="21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9, 2011</w:t>
      </w:r>
    </w:p>
    <w:p>
      <w:pPr>
        <w:spacing w:after="0" w:line="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 Maddox</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and Treasurer</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June 30, 2011 as filed with the Securities and Exchange Commission on the date hereof (the “Report”), Stephen A. Wynn, as Chief Executive Officer of the Company and Matt Maddox,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Stephen A. Wynn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Name:</w:t>
            </w:r>
          </w:p>
        </w:tc>
        <w:tc>
          <w:tcPr>
            <w:tcW w:w="4280" w:type="dxa"/>
            <w:vAlign w:val="bottom"/>
            <w:tcBorders>
              <w:top w:val="single" w:sz="8" w:color="auto"/>
            </w:tcBorders>
          </w:tcPr>
          <w:p>
            <w:pPr>
              <w:ind w:left="160"/>
              <w:spacing w:after="0" w:line="203" w:lineRule="exact"/>
              <w:rPr>
                <w:sz w:val="20"/>
                <w:szCs w:val="20"/>
                <w:color w:val="auto"/>
              </w:rPr>
            </w:pPr>
            <w:r>
              <w:rPr>
                <w:rFonts w:ascii="Arial" w:cs="Arial" w:eastAsia="Arial" w:hAnsi="Arial"/>
                <w:sz w:val="18"/>
                <w:szCs w:val="18"/>
                <w:color w:val="auto"/>
              </w:rPr>
              <w:t>Stephen A. Wynn</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160"/>
              <w:spacing w:after="0"/>
              <w:rPr>
                <w:sz w:val="20"/>
                <w:szCs w:val="20"/>
                <w:color w:val="auto"/>
              </w:rPr>
            </w:pPr>
            <w:r>
              <w:rPr>
                <w:rFonts w:ascii="Arial" w:cs="Arial" w:eastAsia="Arial" w:hAnsi="Arial"/>
                <w:sz w:val="18"/>
                <w:szCs w:val="18"/>
                <w:color w:val="auto"/>
              </w:rPr>
              <w:t>Chairman and Chief Executive Officer</w:t>
            </w:r>
          </w:p>
        </w:tc>
      </w:tr>
      <w:tr>
        <w:trPr>
          <w:trHeight w:val="216"/>
        </w:trPr>
        <w:tc>
          <w:tcPr>
            <w:tcW w:w="64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280" w:type="dxa"/>
            <w:vAlign w:val="bottom"/>
          </w:tcPr>
          <w:p>
            <w:pPr>
              <w:ind w:left="160"/>
              <w:spacing w:after="0"/>
              <w:rPr>
                <w:sz w:val="20"/>
                <w:szCs w:val="20"/>
                <w:color w:val="auto"/>
              </w:rPr>
            </w:pPr>
            <w:r>
              <w:rPr>
                <w:rFonts w:ascii="Arial" w:cs="Arial" w:eastAsia="Arial" w:hAnsi="Arial"/>
                <w:sz w:val="18"/>
                <w:szCs w:val="18"/>
                <w:color w:val="auto"/>
              </w:rPr>
              <w:t>August 9, 2011</w:t>
            </w:r>
          </w:p>
        </w:tc>
      </w:tr>
      <w:tr>
        <w:trPr>
          <w:trHeight w:val="433"/>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 Maddox</w:t>
            </w:r>
          </w:p>
        </w:tc>
      </w:tr>
      <w:tr>
        <w:trPr>
          <w:trHeight w:val="202"/>
        </w:trPr>
        <w:tc>
          <w:tcPr>
            <w:tcW w:w="64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4280" w:type="dxa"/>
            <w:vAlign w:val="bottom"/>
          </w:tcPr>
          <w:p>
            <w:pPr>
              <w:ind w:left="160"/>
              <w:spacing w:after="0" w:line="202" w:lineRule="exact"/>
              <w:rPr>
                <w:sz w:val="20"/>
                <w:szCs w:val="20"/>
                <w:color w:val="auto"/>
              </w:rPr>
            </w:pPr>
            <w:r>
              <w:rPr>
                <w:rFonts w:ascii="Arial" w:cs="Arial" w:eastAsia="Arial" w:hAnsi="Arial"/>
                <w:sz w:val="18"/>
                <w:szCs w:val="18"/>
                <w:color w:val="auto"/>
              </w:rPr>
              <w:t>Matt Maddox</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16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64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(Principal Financial Officer)</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280" w:type="dxa"/>
            <w:vAlign w:val="bottom"/>
          </w:tcPr>
          <w:p>
            <w:pPr>
              <w:ind w:left="160"/>
              <w:spacing w:after="0"/>
              <w:rPr>
                <w:sz w:val="20"/>
                <w:szCs w:val="20"/>
                <w:color w:val="auto"/>
              </w:rPr>
            </w:pPr>
            <w:r>
              <w:rPr>
                <w:rFonts w:ascii="Arial" w:cs="Arial" w:eastAsia="Arial" w:hAnsi="Arial"/>
                <w:sz w:val="18"/>
                <w:szCs w:val="18"/>
                <w:color w:val="auto"/>
              </w:rPr>
              <w:t>August 9, 2011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decimal"/>
      <w:start w:val="11"/>
    </w:lvl>
  </w:abstractNum>
  <w:abstractNum w:abstractNumId="4">
    <w:nsid w:val="3352255A"/>
    <w:multiLevelType w:val="hybridMultilevel"/>
    <w:lvl w:ilvl="0">
      <w:lvlJc w:val="left"/>
      <w:lvlText w:val="%1."/>
      <w:numFmt w:val="decimal"/>
      <w:start w:val="16"/>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2"/>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2019-12-10T22:01:27Z</dcterms:created>
  <dcterms:modified xsi:type="dcterms:W3CDTF">2019-12-10T22:01:27Z</dcterms:modified>
</cp:coreProperties>
</file>