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329565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-224155</wp:posOffset>
            </wp:positionV>
            <wp:extent cx="2169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6" w:lineRule="exact"/>
        <w:rPr>
          <w:sz w:val="24"/>
          <w:szCs w:val="24"/>
          <w:color w:val="auto"/>
        </w:rPr>
      </w:pPr>
    </w:p>
    <w:p>
      <w:pPr>
        <w:ind w:left="720" w:right="200" w:hanging="685"/>
        <w:spacing w:after="0" w:line="248"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7" w:lineRule="exact"/>
        <w:rPr>
          <w:sz w:val="24"/>
          <w:szCs w:val="24"/>
          <w:color w:val="auto"/>
        </w:rPr>
      </w:pPr>
    </w:p>
    <w:p>
      <w:pPr>
        <w:ind w:left="3640"/>
        <w:spacing w:after="0"/>
        <w:tabs>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3819525</wp:posOffset>
            </wp:positionH>
            <wp:positionV relativeFrom="paragraph">
              <wp:posOffset>-7620</wp:posOffset>
            </wp:positionV>
            <wp:extent cx="11239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23950" cy="889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000-50028</w:t>
      </w:r>
    </w:p>
    <w:p>
      <w:pPr>
        <w:spacing w:after="0" w:line="200" w:lineRule="exact"/>
        <w:rPr>
          <w:sz w:val="24"/>
          <w:szCs w:val="24"/>
          <w:color w:val="auto"/>
        </w:rPr>
      </w:pP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-302895</wp:posOffset>
            </wp:positionV>
            <wp:extent cx="2169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5" w:lineRule="exact"/>
        <w:rPr>
          <w:sz w:val="24"/>
          <w:szCs w:val="24"/>
          <w:color w:val="auto"/>
        </w:rPr>
      </w:pPr>
    </w:p>
    <w:tbl>
      <w:tblPr>
        <w:tblLayout w:type="fixed"/>
        <w:tblInd w:w="1880" w:type="dxa"/>
        <w:tblCellMar>
          <w:top w:w="0" w:type="dxa"/>
          <w:left w:w="0" w:type="dxa"/>
          <w:bottom w:w="0" w:type="dxa"/>
          <w:right w:w="0" w:type="dxa"/>
        </w:tblCellMar>
      </w:tblPr>
      <w:tr>
        <w:trPr>
          <w:trHeight w:val="234"/>
        </w:trPr>
        <w:tc>
          <w:tcPr>
            <w:tcW w:w="4000" w:type="dxa"/>
            <w:vAlign w:val="bottom"/>
          </w:tcPr>
          <w:p>
            <w:pPr>
              <w:jc w:val="center"/>
              <w:ind w:right="2062"/>
              <w:spacing w:after="0"/>
              <w:rPr>
                <w:sz w:val="20"/>
                <w:szCs w:val="20"/>
                <w:color w:val="auto"/>
              </w:rPr>
            </w:pPr>
            <w:r>
              <w:rPr>
                <w:rFonts w:ascii="Arial" w:cs="Arial" w:eastAsia="Arial" w:hAnsi="Arial"/>
                <w:sz w:val="18"/>
                <w:szCs w:val="18"/>
                <w:b w:val="1"/>
                <w:bCs w:val="1"/>
                <w:color w:val="auto"/>
                <w:w w:val="99"/>
              </w:rPr>
              <w:t>N</w:t>
            </w:r>
            <w:r>
              <w:rPr>
                <w:rFonts w:ascii="Arial" w:cs="Arial" w:eastAsia="Arial" w:hAnsi="Arial"/>
                <w:sz w:val="14"/>
                <w:szCs w:val="14"/>
                <w:b w:val="1"/>
                <w:bCs w:val="1"/>
                <w:color w:val="auto"/>
                <w:w w:val="99"/>
              </w:rPr>
              <w:t>EVADA</w:t>
            </w:r>
          </w:p>
        </w:tc>
        <w:tc>
          <w:tcPr>
            <w:tcW w:w="3260" w:type="dxa"/>
            <w:vAlign w:val="bottom"/>
          </w:tcPr>
          <w:p>
            <w:pPr>
              <w:jc w:val="center"/>
              <w:ind w:left="2042"/>
              <w:spacing w:after="0"/>
              <w:rPr>
                <w:sz w:val="20"/>
                <w:szCs w:val="20"/>
                <w:color w:val="auto"/>
              </w:rPr>
            </w:pPr>
            <w:r>
              <w:rPr>
                <w:rFonts w:ascii="Arial" w:cs="Arial" w:eastAsia="Arial" w:hAnsi="Arial"/>
                <w:sz w:val="18"/>
                <w:szCs w:val="18"/>
                <w:b w:val="1"/>
                <w:bCs w:val="1"/>
                <w:color w:val="auto"/>
                <w:w w:val="89"/>
              </w:rPr>
              <w:t>46-0484987</w:t>
            </w:r>
          </w:p>
        </w:tc>
      </w:tr>
      <w:tr>
        <w:trPr>
          <w:trHeight w:val="180"/>
        </w:trPr>
        <w:tc>
          <w:tcPr>
            <w:tcW w:w="4000" w:type="dxa"/>
            <w:vAlign w:val="bottom"/>
          </w:tcPr>
          <w:p>
            <w:pPr>
              <w:jc w:val="center"/>
              <w:ind w:right="2062"/>
              <w:spacing w:after="0"/>
              <w:rPr>
                <w:sz w:val="20"/>
                <w:szCs w:val="20"/>
                <w:color w:val="auto"/>
              </w:rPr>
            </w:pPr>
            <w:r>
              <w:rPr>
                <w:rFonts w:ascii="Arial" w:cs="Arial" w:eastAsia="Arial" w:hAnsi="Arial"/>
                <w:sz w:val="14"/>
                <w:szCs w:val="14"/>
                <w:b w:val="1"/>
                <w:bCs w:val="1"/>
                <w:color w:val="auto"/>
                <w:w w:val="92"/>
              </w:rPr>
              <w:t>(State or other jurisdiction of</w:t>
            </w:r>
          </w:p>
        </w:tc>
        <w:tc>
          <w:tcPr>
            <w:tcW w:w="3260" w:type="dxa"/>
            <w:vAlign w:val="bottom"/>
          </w:tcPr>
          <w:p>
            <w:pPr>
              <w:jc w:val="center"/>
              <w:ind w:left="20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000" w:type="dxa"/>
            <w:vAlign w:val="bottom"/>
          </w:tcPr>
          <w:p>
            <w:pPr>
              <w:jc w:val="center"/>
              <w:ind w:right="2062"/>
              <w:spacing w:after="0"/>
              <w:rPr>
                <w:sz w:val="20"/>
                <w:szCs w:val="20"/>
                <w:color w:val="auto"/>
              </w:rPr>
            </w:pPr>
            <w:r>
              <w:rPr>
                <w:rFonts w:ascii="Arial" w:cs="Arial" w:eastAsia="Arial" w:hAnsi="Arial"/>
                <w:sz w:val="14"/>
                <w:szCs w:val="14"/>
                <w:b w:val="1"/>
                <w:bCs w:val="1"/>
                <w:color w:val="auto"/>
                <w:w w:val="93"/>
              </w:rPr>
              <w:t>incorporation or organization)</w:t>
            </w:r>
          </w:p>
        </w:tc>
        <w:tc>
          <w:tcPr>
            <w:tcW w:w="3260" w:type="dxa"/>
            <w:vAlign w:val="bottom"/>
          </w:tcPr>
          <w:p>
            <w:pPr>
              <w:jc w:val="center"/>
              <w:ind w:left="20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3131 Las Vegas Boulevard South - Las Vegas, Nevada 89109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167640</wp:posOffset>
            </wp:positionV>
            <wp:extent cx="2169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64" w:lineRule="exact"/>
        <w:rPr>
          <w:sz w:val="24"/>
          <w:szCs w:val="24"/>
          <w:color w:val="auto"/>
        </w:rPr>
      </w:pPr>
    </w:p>
    <w:p>
      <w:pPr>
        <w:ind w:right="40" w:firstLine="432"/>
        <w:spacing w:after="0" w:line="22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-419735</wp:posOffset>
            </wp:positionV>
            <wp:extent cx="2169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ind w:right="260" w:firstLine="432"/>
        <w:spacing w:after="0" w:line="198"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right="20" w:firstLine="432"/>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 accelerated filer, a smaller reporting company, or an emerging growth company. See the definitions of "large accelerated filer," "accelerated filer," "smaller reporting company," and "emerging growth company" in Rule 12b-2 of the Exchange Act.</w:t>
      </w:r>
    </w:p>
    <w:p>
      <w:pPr>
        <w:spacing w:after="0" w:line="104"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80" w:type="dxa"/>
            <w:vAlign w:val="bottom"/>
          </w:tcPr>
          <w:p>
            <w:pPr>
              <w:ind w:left="340"/>
              <w:spacing w:after="0"/>
              <w:rPr>
                <w:sz w:val="20"/>
                <w:szCs w:val="20"/>
                <w:color w:val="auto"/>
              </w:rPr>
            </w:pPr>
            <w:r>
              <w:rPr>
                <w:rFonts w:ascii="Arial" w:cs="Arial" w:eastAsia="Arial" w:hAnsi="Arial"/>
                <w:sz w:val="18"/>
                <w:szCs w:val="18"/>
                <w:color w:val="auto"/>
              </w:rPr>
              <w:t>x</w:t>
            </w:r>
          </w:p>
        </w:tc>
        <w:tc>
          <w:tcPr>
            <w:tcW w:w="5240" w:type="dxa"/>
            <w:vAlign w:val="bottom"/>
          </w:tcPr>
          <w:p>
            <w:pPr>
              <w:ind w:left="290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33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90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240" w:type="dxa"/>
            <w:vAlign w:val="bottom"/>
          </w:tcPr>
          <w:p>
            <w:pPr>
              <w:ind w:left="290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jc w:val="both"/>
        <w:ind w:right="260" w:firstLine="432"/>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left="440" w:right="1540"/>
        <w:spacing w:after="0" w:line="26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 Indicate the number of shares outstanding of each of the issuer's classes of common stock, as of the latest practicable date.</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Class</w:t>
            </w:r>
          </w:p>
        </w:tc>
        <w:tc>
          <w:tcPr>
            <w:tcW w:w="7560" w:type="dxa"/>
            <w:vAlign w:val="bottom"/>
          </w:tcPr>
          <w:p>
            <w:pPr>
              <w:spacing w:after="0"/>
              <w:rPr>
                <w:sz w:val="14"/>
                <w:szCs w:val="14"/>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Outstanding at July 31, 2017</w:t>
            </w:r>
          </w:p>
        </w:tc>
        <w:tc>
          <w:tcPr>
            <w:tcW w:w="420" w:type="dxa"/>
            <w:vAlign w:val="bottom"/>
          </w:tcPr>
          <w:p>
            <w:pPr>
              <w:spacing w:after="0"/>
              <w:rPr>
                <w:sz w:val="14"/>
                <w:szCs w:val="14"/>
                <w:color w:val="auto"/>
              </w:rPr>
            </w:pPr>
          </w:p>
        </w:tc>
      </w:tr>
      <w:tr>
        <w:trPr>
          <w:trHeight w:val="264"/>
        </w:trPr>
        <w:tc>
          <w:tcPr>
            <w:tcW w:w="9220" w:type="dxa"/>
            <w:vAlign w:val="bottom"/>
            <w:gridSpan w:val="3"/>
          </w:tcPr>
          <w:p>
            <w:pPr>
              <w:jc w:val="center"/>
              <w:ind w:right="6240"/>
              <w:spacing w:after="0"/>
              <w:rPr>
                <w:sz w:val="20"/>
                <w:szCs w:val="20"/>
                <w:color w:val="auto"/>
              </w:rPr>
            </w:pPr>
            <w:r>
              <w:rPr>
                <w:rFonts w:ascii="Arial" w:cs="Arial" w:eastAsia="Arial" w:hAnsi="Arial"/>
                <w:sz w:val="18"/>
                <w:szCs w:val="18"/>
                <w:color w:val="auto"/>
                <w:w w:val="90"/>
              </w:rPr>
              <w:t>Common stock, $0.01 par value</w:t>
            </w:r>
          </w:p>
        </w:tc>
        <w:tc>
          <w:tcPr>
            <w:tcW w:w="1780" w:type="dxa"/>
            <w:vAlign w:val="bottom"/>
          </w:tcPr>
          <w:p>
            <w:pPr>
              <w:jc w:val="right"/>
              <w:ind w:right="359"/>
              <w:spacing w:after="0"/>
              <w:rPr>
                <w:sz w:val="20"/>
                <w:szCs w:val="20"/>
                <w:color w:val="auto"/>
              </w:rPr>
            </w:pPr>
            <w:r>
              <w:rPr>
                <w:rFonts w:ascii="Arial" w:cs="Arial" w:eastAsia="Arial" w:hAnsi="Arial"/>
                <w:sz w:val="18"/>
                <w:szCs w:val="18"/>
                <w:color w:val="auto"/>
              </w:rPr>
              <w:t>102,566,043</w:t>
            </w:r>
          </w:p>
        </w:tc>
        <w:tc>
          <w:tcPr>
            <w:tcW w:w="420" w:type="dxa"/>
            <w:vAlign w:val="bottom"/>
          </w:tcPr>
          <w:p>
            <w:pPr>
              <w:spacing w:after="0"/>
              <w:rPr>
                <w:sz w:val="22"/>
                <w:szCs w:val="22"/>
                <w:color w:val="auto"/>
              </w:rPr>
            </w:pPr>
          </w:p>
        </w:tc>
      </w:tr>
      <w:tr>
        <w:trPr>
          <w:trHeight w:val="284"/>
        </w:trPr>
        <w:tc>
          <w:tcPr>
            <w:tcW w:w="1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5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gridSpan w:val="6"/>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48"/>
        </w:trPr>
        <w:tc>
          <w:tcPr>
            <w:tcW w:w="3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80" w:type="dxa"/>
            <w:vAlign w:val="bottom"/>
            <w:gridSpan w:val="10"/>
          </w:tcPr>
          <w:p>
            <w:pPr>
              <w:jc w:val="center"/>
              <w:ind w:right="3340"/>
              <w:spacing w:after="0"/>
              <w:rPr>
                <w:sz w:val="20"/>
                <w:szCs w:val="20"/>
                <w:color w:val="auto"/>
              </w:rPr>
            </w:pPr>
            <w:r>
              <w:rPr>
                <w:rFonts w:ascii="Arial" w:cs="Arial" w:eastAsia="Arial" w:hAnsi="Arial"/>
                <w:sz w:val="18"/>
                <w:szCs w:val="18"/>
                <w:b w:val="1"/>
                <w:bCs w:val="1"/>
                <w:color w:val="auto"/>
              </w:rPr>
              <w:t>WYNN RESORTS, LIMITED AND SUBSIDIARIES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80" w:type="dxa"/>
            <w:vAlign w:val="bottom"/>
            <w:gridSpan w:val="10"/>
          </w:tcPr>
          <w:p>
            <w:pPr>
              <w:jc w:val="center"/>
              <w:ind w:right="3340"/>
              <w:spacing w:after="0"/>
              <w:rPr>
                <w:sz w:val="20"/>
                <w:szCs w:val="20"/>
                <w:color w:val="auto"/>
              </w:rPr>
            </w:pPr>
            <w:r>
              <w:rPr>
                <w:rFonts w:ascii="Arial" w:cs="Arial" w:eastAsia="Arial" w:hAnsi="Arial"/>
                <w:sz w:val="18"/>
                <w:szCs w:val="18"/>
                <w:b w:val="1"/>
                <w:bCs w:val="1"/>
                <w:color w:val="auto"/>
                <w:w w:val="99"/>
              </w:rPr>
              <w:t>FORM 10-Q</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80" w:type="dxa"/>
            <w:vAlign w:val="bottom"/>
            <w:gridSpan w:val="10"/>
          </w:tcPr>
          <w:p>
            <w:pPr>
              <w:jc w:val="center"/>
              <w:ind w:right="3340"/>
              <w:spacing w:after="0"/>
              <w:rPr>
                <w:sz w:val="20"/>
                <w:szCs w:val="20"/>
                <w:color w:val="auto"/>
              </w:rPr>
            </w:pPr>
            <w:r>
              <w:rPr>
                <w:rFonts w:ascii="Arial" w:cs="Arial" w:eastAsia="Arial" w:hAnsi="Arial"/>
                <w:sz w:val="18"/>
                <w:szCs w:val="18"/>
                <w:b w:val="1"/>
                <w:bCs w:val="1"/>
                <w:color w:val="auto"/>
              </w:rPr>
              <w:t>INDEX</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67"/>
        </w:trPr>
        <w:tc>
          <w:tcPr>
            <w:tcW w:w="1760" w:type="dxa"/>
            <w:vAlign w:val="bottom"/>
            <w:gridSpan w:val="6"/>
          </w:tcPr>
          <w:p>
            <w:pPr>
              <w:ind w:left="40"/>
              <w:spacing w:after="0"/>
              <w:rPr>
                <w:sz w:val="20"/>
                <w:szCs w:val="20"/>
                <w:color w:val="auto"/>
              </w:rPr>
            </w:pPr>
            <w:r>
              <w:rPr>
                <w:rFonts w:ascii="Arial" w:cs="Arial" w:eastAsia="Arial" w:hAnsi="Arial"/>
                <w:sz w:val="18"/>
                <w:szCs w:val="18"/>
                <w:b w:val="1"/>
                <w:bCs w:val="1"/>
                <w:color w:val="auto"/>
              </w:rPr>
              <w:t>Part I.</w:t>
            </w:r>
          </w:p>
        </w:tc>
        <w:tc>
          <w:tcPr>
            <w:tcW w:w="9460" w:type="dxa"/>
            <w:vAlign w:val="bottom"/>
            <w:gridSpan w:val="18"/>
          </w:tcPr>
          <w:p>
            <w:pPr>
              <w:spacing w:after="0"/>
              <w:rPr>
                <w:sz w:val="20"/>
                <w:szCs w:val="20"/>
                <w:color w:val="auto"/>
              </w:rPr>
            </w:pPr>
            <w:r>
              <w:rPr>
                <w:rFonts w:ascii="Arial" w:cs="Arial" w:eastAsia="Arial" w:hAnsi="Arial"/>
                <w:sz w:val="18"/>
                <w:szCs w:val="18"/>
                <w:b w:val="1"/>
                <w:bCs w:val="1"/>
                <w:color w:val="auto"/>
              </w:rPr>
              <w:t>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80" w:type="dxa"/>
            <w:vAlign w:val="bottom"/>
          </w:tcPr>
          <w:p>
            <w:pPr>
              <w:spacing w:after="0"/>
              <w:rPr>
                <w:sz w:val="19"/>
                <w:szCs w:val="19"/>
                <w:color w:val="auto"/>
              </w:rPr>
            </w:pPr>
          </w:p>
        </w:tc>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860" w:type="dxa"/>
            <w:vAlign w:val="bottom"/>
            <w:gridSpan w:val="4"/>
          </w:tcPr>
          <w:p>
            <w:pPr>
              <w:spacing w:after="0"/>
              <w:rPr>
                <w:sz w:val="19"/>
                <w:szCs w:val="19"/>
                <w:color w:val="auto"/>
              </w:rPr>
            </w:pPr>
          </w:p>
        </w:tc>
        <w:tc>
          <w:tcPr>
            <w:tcW w:w="946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June 30, 2017 (unaudited) and December 31, 2016</w:t>
              </w:r>
            </w:hyperlink>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7"/>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Condensed Consolidated Statements of Income (unaudited) – Three and Six Months Ended June 30, 2017 and 2016</w:t>
              </w:r>
            </w:hyperlink>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7"/>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Condensed Consolidated Statements of Comprehensive Income (unaudited) – Three and Six Months Ended June 30,</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2017 and 2016</w:t>
              </w:r>
            </w:hyperlink>
          </w:p>
        </w:tc>
        <w:tc>
          <w:tcPr>
            <w:tcW w:w="7320" w:type="dxa"/>
            <w:vAlign w:val="bottom"/>
            <w:tcBorders>
              <w:top w:val="single" w:sz="8" w:color="0000EE"/>
            </w:tcBorders>
            <w:gridSpan w:val="11"/>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 of Stockholders' Equity (unaudited) – Six Months Ended June 30, 2017</w:t>
              </w:r>
            </w:hyperlink>
          </w:p>
        </w:tc>
        <w:tc>
          <w:tcPr>
            <w:tcW w:w="180" w:type="dxa"/>
            <w:vAlign w:val="bottom"/>
            <w:gridSpan w:val="2"/>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8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(unaudited) – Six Months Ended June 30, 2017 and 2016</w:t>
              </w:r>
            </w:hyperlink>
          </w:p>
        </w:tc>
        <w:tc>
          <w:tcPr>
            <w:tcW w:w="126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7"/>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 (unaudited)</w:t>
              </w:r>
            </w:hyperlink>
          </w:p>
        </w:tc>
        <w:tc>
          <w:tcPr>
            <w:tcW w:w="180" w:type="dxa"/>
            <w:vAlign w:val="bottom"/>
            <w:gridSpan w:val="2"/>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8</w:t>
              </w:r>
            </w:hyperlink>
          </w:p>
        </w:tc>
      </w:tr>
      <w:tr>
        <w:trPr>
          <w:trHeight w:val="20"/>
        </w:trPr>
        <w:tc>
          <w:tcPr>
            <w:tcW w:w="3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2.</w:t>
              </w:r>
            </w:hyperlink>
          </w:p>
        </w:tc>
        <w:tc>
          <w:tcPr>
            <w:tcW w:w="860" w:type="dxa"/>
            <w:vAlign w:val="bottom"/>
            <w:gridSpan w:val="4"/>
          </w:tcPr>
          <w:p>
            <w:pPr>
              <w:spacing w:after="0"/>
              <w:rPr>
                <w:sz w:val="21"/>
                <w:szCs w:val="21"/>
                <w:color w:val="auto"/>
              </w:rPr>
            </w:pPr>
          </w:p>
        </w:tc>
        <w:tc>
          <w:tcPr>
            <w:tcW w:w="9460" w:type="dxa"/>
            <w:vAlign w:val="bottom"/>
            <w:gridSpan w:val="1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30</w:t>
              </w:r>
            </w:hyperlink>
          </w:p>
        </w:tc>
      </w:tr>
      <w:tr>
        <w:trPr>
          <w:trHeight w:val="250"/>
        </w:trPr>
        <w:tc>
          <w:tcPr>
            <w:tcW w:w="380" w:type="dxa"/>
            <w:vAlign w:val="bottom"/>
          </w:tcPr>
          <w:p>
            <w:pPr>
              <w:spacing w:after="0"/>
              <w:rPr>
                <w:sz w:val="21"/>
                <w:szCs w:val="21"/>
                <w:color w:val="auto"/>
              </w:rPr>
            </w:pPr>
          </w:p>
        </w:tc>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Item 3.</w:t>
              </w:r>
            </w:hyperlink>
          </w:p>
        </w:tc>
        <w:tc>
          <w:tcPr>
            <w:tcW w:w="860" w:type="dxa"/>
            <w:vAlign w:val="bottom"/>
            <w:gridSpan w:val="4"/>
          </w:tcPr>
          <w:p>
            <w:pPr>
              <w:spacing w:after="0"/>
              <w:rPr>
                <w:sz w:val="21"/>
                <w:szCs w:val="21"/>
                <w:color w:val="auto"/>
              </w:rPr>
            </w:pPr>
          </w:p>
        </w:tc>
        <w:tc>
          <w:tcPr>
            <w:tcW w:w="43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2"/>
              </w:rPr>
            </w:pPr>
            <w:hyperlink w:anchor="page49">
              <w:r>
                <w:rPr>
                  <w:rFonts w:ascii="Arial" w:cs="Arial" w:eastAsia="Arial" w:hAnsi="Arial"/>
                  <w:sz w:val="18"/>
                  <w:szCs w:val="18"/>
                  <w:color w:val="0000EE"/>
                  <w:w w:val="92"/>
                </w:rPr>
                <w:t>Quantitative and Qualitative Disclosures About Market Risk</w:t>
              </w:r>
            </w:hyperlink>
          </w:p>
        </w:tc>
        <w:tc>
          <w:tcPr>
            <w:tcW w:w="2060" w:type="dxa"/>
            <w:vAlign w:val="bottom"/>
            <w:tcBorders>
              <w:top w:val="single" w:sz="8" w:color="0000EE"/>
            </w:tcBorders>
            <w:gridSpan w:val="2"/>
          </w:tcPr>
          <w:p>
            <w:pPr>
              <w:spacing w:after="0"/>
              <w:rPr>
                <w:sz w:val="21"/>
                <w:szCs w:val="21"/>
                <w:color w:val="auto"/>
              </w:rPr>
            </w:pPr>
          </w:p>
        </w:tc>
        <w:tc>
          <w:tcPr>
            <w:tcW w:w="3020" w:type="dxa"/>
            <w:vAlign w:val="bottom"/>
            <w:gridSpan w:val="6"/>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48</w:t>
              </w:r>
            </w:hyperlink>
          </w:p>
        </w:tc>
      </w:tr>
      <w:tr>
        <w:trPr>
          <w:trHeight w:val="250"/>
        </w:trPr>
        <w:tc>
          <w:tcPr>
            <w:tcW w:w="38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Item 4.</w:t>
              </w:r>
            </w:hyperlink>
          </w:p>
        </w:tc>
        <w:tc>
          <w:tcPr>
            <w:tcW w:w="860" w:type="dxa"/>
            <w:vAlign w:val="bottom"/>
            <w:gridSpan w:val="4"/>
          </w:tcPr>
          <w:p>
            <w:pPr>
              <w:spacing w:after="0"/>
              <w:rPr>
                <w:sz w:val="21"/>
                <w:szCs w:val="21"/>
                <w:color w:val="auto"/>
              </w:rPr>
            </w:pP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50">
              <w:r>
                <w:rPr>
                  <w:rFonts w:ascii="Arial" w:cs="Arial" w:eastAsia="Arial" w:hAnsi="Arial"/>
                  <w:sz w:val="18"/>
                  <w:szCs w:val="18"/>
                  <w:color w:val="0000EE"/>
                  <w:w w:val="88"/>
                </w:rPr>
                <w:t>Controls and Procedures</w:t>
              </w:r>
            </w:hyperlink>
          </w:p>
        </w:tc>
        <w:tc>
          <w:tcPr>
            <w:tcW w:w="7680" w:type="dxa"/>
            <w:vAlign w:val="bottom"/>
            <w:gridSpan w:val="10"/>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0">
              <w:r>
                <w:rPr>
                  <w:rFonts w:ascii="Arial" w:cs="Arial" w:eastAsia="Arial" w:hAnsi="Arial"/>
                  <w:sz w:val="18"/>
                  <w:szCs w:val="18"/>
                  <w:color w:val="0000EE"/>
                  <w:w w:val="79"/>
                </w:rPr>
                <w:t>49</w:t>
              </w:r>
            </w:hyperlink>
          </w:p>
        </w:tc>
      </w:tr>
      <w:tr>
        <w:trPr>
          <w:trHeight w:val="588"/>
        </w:trPr>
        <w:tc>
          <w:tcPr>
            <w:tcW w:w="1760" w:type="dxa"/>
            <w:vAlign w:val="bottom"/>
            <w:gridSpan w:val="6"/>
          </w:tcPr>
          <w:p>
            <w:pPr>
              <w:ind w:left="40"/>
              <w:spacing w:after="0"/>
              <w:rPr>
                <w:sz w:val="20"/>
                <w:szCs w:val="20"/>
                <w:color w:val="auto"/>
              </w:rPr>
            </w:pPr>
            <w:r>
              <w:rPr>
                <w:rFonts w:ascii="Arial" w:cs="Arial" w:eastAsia="Arial" w:hAnsi="Arial"/>
                <w:sz w:val="18"/>
                <w:szCs w:val="18"/>
                <w:b w:val="1"/>
                <w:bCs w:val="1"/>
                <w:color w:val="auto"/>
              </w:rPr>
              <w:t>Part II.</w:t>
            </w:r>
          </w:p>
        </w:tc>
        <w:tc>
          <w:tcPr>
            <w:tcW w:w="9460" w:type="dxa"/>
            <w:vAlign w:val="bottom"/>
            <w:gridSpan w:val="18"/>
          </w:tcPr>
          <w:p>
            <w:pPr>
              <w:spacing w:after="0"/>
              <w:rPr>
                <w:sz w:val="20"/>
                <w:szCs w:val="20"/>
                <w:color w:val="auto"/>
              </w:rPr>
            </w:pPr>
            <w:r>
              <w:rPr>
                <w:rFonts w:ascii="Arial" w:cs="Arial" w:eastAsia="Arial" w:hAnsi="Arial"/>
                <w:sz w:val="18"/>
                <w:szCs w:val="18"/>
                <w:b w:val="1"/>
                <w:bCs w:val="1"/>
                <w:color w:val="auto"/>
              </w:rPr>
              <w:t>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80" w:type="dxa"/>
            <w:vAlign w:val="bottom"/>
          </w:tcPr>
          <w:p>
            <w:pPr>
              <w:spacing w:after="0"/>
              <w:rPr>
                <w:sz w:val="19"/>
                <w:szCs w:val="19"/>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Item 1.</w:t>
              </w:r>
            </w:hyperlink>
          </w:p>
        </w:tc>
        <w:tc>
          <w:tcPr>
            <w:tcW w:w="860" w:type="dxa"/>
            <w:vAlign w:val="bottom"/>
            <w:gridSpan w:val="4"/>
          </w:tcPr>
          <w:p>
            <w:pPr>
              <w:spacing w:after="0"/>
              <w:rPr>
                <w:sz w:val="19"/>
                <w:szCs w:val="19"/>
                <w:color w:val="auto"/>
              </w:rPr>
            </w:pP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51">
              <w:r>
                <w:rPr>
                  <w:rFonts w:ascii="Arial" w:cs="Arial" w:eastAsia="Arial" w:hAnsi="Arial"/>
                  <w:sz w:val="18"/>
                  <w:szCs w:val="18"/>
                  <w:color w:val="0000EE"/>
                  <w:w w:val="88"/>
                </w:rPr>
                <w:t>Legal Proceedings</w:t>
              </w:r>
            </w:hyperlink>
          </w:p>
        </w:tc>
        <w:tc>
          <w:tcPr>
            <w:tcW w:w="8120" w:type="dxa"/>
            <w:vAlign w:val="bottom"/>
            <w:gridSpan w:val="13"/>
          </w:tcPr>
          <w:p>
            <w:pPr>
              <w:spacing w:after="0"/>
              <w:rPr>
                <w:sz w:val="19"/>
                <w:szCs w:val="19"/>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1">
              <w:r>
                <w:rPr>
                  <w:rFonts w:ascii="Arial" w:cs="Arial" w:eastAsia="Arial" w:hAnsi="Arial"/>
                  <w:sz w:val="18"/>
                  <w:szCs w:val="18"/>
                  <w:color w:val="0000EE"/>
                  <w:w w:val="79"/>
                </w:rPr>
                <w:t>50</w:t>
              </w:r>
            </w:hyperlink>
          </w:p>
        </w:tc>
      </w:tr>
      <w:tr>
        <w:trPr>
          <w:trHeight w:val="250"/>
        </w:trPr>
        <w:tc>
          <w:tcPr>
            <w:tcW w:w="380" w:type="dxa"/>
            <w:vAlign w:val="bottom"/>
          </w:tcPr>
          <w:p>
            <w:pPr>
              <w:spacing w:after="0"/>
              <w:rPr>
                <w:sz w:val="21"/>
                <w:szCs w:val="21"/>
                <w:color w:val="auto"/>
              </w:rPr>
            </w:pPr>
          </w:p>
        </w:tc>
        <w:tc>
          <w:tcPr>
            <w:tcW w:w="1380" w:type="dxa"/>
            <w:vAlign w:val="bottom"/>
            <w:gridSpan w:val="5"/>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Item 1A.</w:t>
              </w:r>
            </w:hyperlink>
          </w:p>
        </w:tc>
        <w:tc>
          <w:tcPr>
            <w:tcW w:w="9460" w:type="dxa"/>
            <w:vAlign w:val="bottom"/>
            <w:gridSpan w:val="18"/>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Risk Factors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51">
              <w:r>
                <w:rPr>
                  <w:rFonts w:ascii="Arial" w:cs="Arial" w:eastAsia="Arial" w:hAnsi="Arial"/>
                  <w:sz w:val="18"/>
                  <w:szCs w:val="18"/>
                  <w:color w:val="0000EE"/>
                  <w:w w:val="79"/>
                </w:rPr>
                <w:t>50</w:t>
              </w:r>
            </w:hyperlink>
          </w:p>
        </w:tc>
      </w:tr>
      <w:tr>
        <w:trPr>
          <w:trHeight w:val="20"/>
        </w:trPr>
        <w:tc>
          <w:tcPr>
            <w:tcW w:w="3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5100" w:type="dxa"/>
            <w:vAlign w:val="bottom"/>
            <w:gridSpan w:val="9"/>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Item 2.</w:t>
              </w:r>
            </w:hyperlink>
          </w:p>
        </w:tc>
        <w:tc>
          <w:tcPr>
            <w:tcW w:w="120" w:type="dxa"/>
            <w:vAlign w:val="bottom"/>
          </w:tcPr>
          <w:p>
            <w:pPr>
              <w:spacing w:after="0"/>
              <w:rPr>
                <w:sz w:val="21"/>
                <w:szCs w:val="21"/>
                <w:color w:val="auto"/>
              </w:rPr>
            </w:pPr>
          </w:p>
        </w:tc>
        <w:tc>
          <w:tcPr>
            <w:tcW w:w="740" w:type="dxa"/>
            <w:vAlign w:val="bottom"/>
            <w:gridSpan w:val="3"/>
          </w:tcPr>
          <w:p>
            <w:pPr>
              <w:spacing w:after="0"/>
              <w:rPr>
                <w:sz w:val="21"/>
                <w:szCs w:val="21"/>
                <w:color w:val="auto"/>
              </w:rPr>
            </w:pPr>
          </w:p>
        </w:tc>
        <w:tc>
          <w:tcPr>
            <w:tcW w:w="43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Unregistered Sales of Equity Securities and Use of Proceeds</w:t>
              </w:r>
            </w:hyperlink>
          </w:p>
        </w:tc>
        <w:tc>
          <w:tcPr>
            <w:tcW w:w="5100" w:type="dxa"/>
            <w:vAlign w:val="bottom"/>
            <w:gridSpan w:val="9"/>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1">
              <w:r>
                <w:rPr>
                  <w:rFonts w:ascii="Arial" w:cs="Arial" w:eastAsia="Arial" w:hAnsi="Arial"/>
                  <w:sz w:val="18"/>
                  <w:szCs w:val="18"/>
                  <w:color w:val="0000EE"/>
                  <w:w w:val="79"/>
                </w:rPr>
                <w:t>50</w:t>
              </w:r>
            </w:hyperlink>
          </w:p>
        </w:tc>
      </w:tr>
      <w:tr>
        <w:trPr>
          <w:trHeight w:val="250"/>
        </w:trPr>
        <w:tc>
          <w:tcPr>
            <w:tcW w:w="38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Item 5.</w:t>
              </w:r>
            </w:hyperlink>
          </w:p>
        </w:tc>
        <w:tc>
          <w:tcPr>
            <w:tcW w:w="860" w:type="dxa"/>
            <w:vAlign w:val="bottom"/>
            <w:gridSpan w:val="4"/>
          </w:tcPr>
          <w:p>
            <w:pPr>
              <w:spacing w:after="0"/>
              <w:rPr>
                <w:sz w:val="21"/>
                <w:szCs w:val="21"/>
                <w:color w:val="auto"/>
              </w:rPr>
            </w:pPr>
          </w:p>
        </w:tc>
        <w:tc>
          <w:tcPr>
            <w:tcW w:w="13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52">
              <w:r>
                <w:rPr>
                  <w:rFonts w:ascii="Arial" w:cs="Arial" w:eastAsia="Arial" w:hAnsi="Arial"/>
                  <w:sz w:val="18"/>
                  <w:szCs w:val="18"/>
                  <w:color w:val="0000EE"/>
                  <w:w w:val="92"/>
                </w:rPr>
                <w:t>Other Information</w:t>
              </w:r>
            </w:hyperlink>
          </w:p>
        </w:tc>
        <w:tc>
          <w:tcPr>
            <w:tcW w:w="8140" w:type="dxa"/>
            <w:vAlign w:val="bottom"/>
            <w:gridSpan w:val="14"/>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2">
              <w:r>
                <w:rPr>
                  <w:rFonts w:ascii="Arial" w:cs="Arial" w:eastAsia="Arial" w:hAnsi="Arial"/>
                  <w:sz w:val="18"/>
                  <w:szCs w:val="18"/>
                  <w:color w:val="0000EE"/>
                  <w:w w:val="79"/>
                </w:rPr>
                <w:t>51</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Item 6.</w:t>
              </w:r>
            </w:hyperlink>
          </w:p>
        </w:tc>
        <w:tc>
          <w:tcPr>
            <w:tcW w:w="860" w:type="dxa"/>
            <w:vAlign w:val="bottom"/>
            <w:gridSpan w:val="4"/>
          </w:tcPr>
          <w:p>
            <w:pPr>
              <w:spacing w:after="0"/>
              <w:rPr>
                <w:sz w:val="21"/>
                <w:szCs w:val="21"/>
                <w:color w:val="auto"/>
              </w:rPr>
            </w:pPr>
          </w:p>
        </w:tc>
        <w:tc>
          <w:tcPr>
            <w:tcW w:w="9460" w:type="dxa"/>
            <w:vAlign w:val="bottom"/>
            <w:gridSpan w:val="18"/>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Exhibits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52">
              <w:r>
                <w:rPr>
                  <w:rFonts w:ascii="Arial" w:cs="Arial" w:eastAsia="Arial" w:hAnsi="Arial"/>
                  <w:sz w:val="18"/>
                  <w:szCs w:val="18"/>
                  <w:color w:val="0000EE"/>
                  <w:w w:val="79"/>
                </w:rPr>
                <w:t>51</w:t>
              </w:r>
            </w:hyperlink>
          </w:p>
        </w:tc>
      </w:tr>
      <w:tr>
        <w:trPr>
          <w:trHeight w:val="20"/>
        </w:trPr>
        <w:tc>
          <w:tcPr>
            <w:tcW w:w="3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380" w:type="dxa"/>
            <w:vAlign w:val="bottom"/>
            <w:gridSpan w:val="5"/>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Signature</w:t>
              </w:r>
            </w:hyperlink>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gridSpan w:val="2"/>
          </w:tcPr>
          <w:p>
            <w:pPr>
              <w:jc w:val="right"/>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52</w:t>
              </w:r>
            </w:hyperlink>
          </w:p>
        </w:tc>
      </w:tr>
      <w:tr>
        <w:trPr>
          <w:trHeight w:val="669"/>
        </w:trPr>
        <w:tc>
          <w:tcPr>
            <w:tcW w:w="38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4360" w:type="dxa"/>
            <w:vAlign w:val="bottom"/>
            <w:gridSpan w:val="9"/>
          </w:tcPr>
          <w:p>
            <w:pPr>
              <w:ind w:left="398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14" w:right="2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14"/>
                <w:szCs w:val="14"/>
                <w:color w:val="auto"/>
              </w:rPr>
            </w:pPr>
          </w:p>
        </w:tc>
        <w:tc>
          <w:tcPr>
            <w:tcW w:w="1260" w:type="dxa"/>
            <w:vAlign w:val="bottom"/>
          </w:tcPr>
          <w:p>
            <w:pPr>
              <w:jc w:val="right"/>
              <w:ind w:right="24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08"/>
        </w:trPr>
        <w:tc>
          <w:tcPr>
            <w:tcW w:w="8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360"/>
              <w:spacing w:after="0"/>
              <w:rPr>
                <w:sz w:val="20"/>
                <w:szCs w:val="20"/>
                <w:color w:val="auto"/>
              </w:rPr>
            </w:pPr>
            <w:r>
              <w:rPr>
                <w:rFonts w:ascii="Arial" w:cs="Arial" w:eastAsia="Arial" w:hAnsi="Arial"/>
                <w:sz w:val="16"/>
                <w:szCs w:val="16"/>
                <w:b w:val="1"/>
                <w:bCs w:val="1"/>
                <w:color w:val="auto"/>
                <w:w w:val="89"/>
              </w:rPr>
              <w:t>(unaudited)</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542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2,486,423</w:t>
            </w:r>
          </w:p>
        </w:tc>
        <w:tc>
          <w:tcPr>
            <w:tcW w:w="120" w:type="dxa"/>
            <w:vAlign w:val="bottom"/>
          </w:tcPr>
          <w:p>
            <w:pPr>
              <w:spacing w:after="0"/>
              <w:rPr>
                <w:sz w:val="21"/>
                <w:szCs w:val="21"/>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2,453,122</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Investment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136,202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173,437</w:t>
            </w: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Receivables, net</w:t>
            </w:r>
          </w:p>
        </w:tc>
        <w:tc>
          <w:tcPr>
            <w:tcW w:w="240" w:type="dxa"/>
            <w:vAlign w:val="bottom"/>
          </w:tcPr>
          <w:p>
            <w:pPr>
              <w:spacing w:after="0"/>
              <w:rPr>
                <w:sz w:val="21"/>
                <w:szCs w:val="21"/>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196,179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218,968</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84,508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91,541</w:t>
            </w: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Prepaid expenses and other</w:t>
            </w:r>
          </w:p>
        </w:tc>
        <w:tc>
          <w:tcPr>
            <w:tcW w:w="240" w:type="dxa"/>
            <w:vAlign w:val="bottom"/>
          </w:tcPr>
          <w:p>
            <w:pPr>
              <w:spacing w:after="0"/>
              <w:rPr>
                <w:sz w:val="21"/>
                <w:szCs w:val="21"/>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136,877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53,299</w:t>
            </w:r>
          </w:p>
        </w:tc>
        <w:tc>
          <w:tcPr>
            <w:tcW w:w="0" w:type="dxa"/>
            <w:vAlign w:val="bottom"/>
          </w:tcPr>
          <w:p>
            <w:pPr>
              <w:spacing w:after="0"/>
              <w:rPr>
                <w:sz w:val="1"/>
                <w:szCs w:val="1"/>
                <w:color w:val="auto"/>
              </w:rPr>
            </w:pPr>
          </w:p>
        </w:tc>
      </w:tr>
      <w:tr>
        <w:trPr>
          <w:trHeight w:val="22"/>
        </w:trPr>
        <w:tc>
          <w:tcPr>
            <w:tcW w:w="8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3,040,189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2,990,367</w:t>
            </w:r>
          </w:p>
        </w:tc>
        <w:tc>
          <w:tcPr>
            <w:tcW w:w="0" w:type="dxa"/>
            <w:vAlign w:val="bottom"/>
          </w:tcPr>
          <w:p>
            <w:pPr>
              <w:spacing w:after="0"/>
              <w:rPr>
                <w:sz w:val="1"/>
                <w:szCs w:val="1"/>
                <w:color w:val="auto"/>
              </w:rPr>
            </w:pP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Property and equipment, net</w:t>
            </w:r>
          </w:p>
        </w:tc>
        <w:tc>
          <w:tcPr>
            <w:tcW w:w="240" w:type="dxa"/>
            <w:vAlign w:val="bottom"/>
          </w:tcPr>
          <w:p>
            <w:pPr>
              <w:spacing w:after="0"/>
              <w:rPr>
                <w:sz w:val="21"/>
                <w:szCs w:val="21"/>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8,321,777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8,259,631</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2,412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192,823</w:t>
            </w:r>
          </w:p>
        </w:tc>
        <w:tc>
          <w:tcPr>
            <w:tcW w:w="0" w:type="dxa"/>
            <w:vAlign w:val="bottom"/>
          </w:tcPr>
          <w:p>
            <w:pPr>
              <w:spacing w:after="0"/>
              <w:rPr>
                <w:sz w:val="1"/>
                <w:szCs w:val="1"/>
                <w:color w:val="auto"/>
              </w:rPr>
            </w:pP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Investment securities</w:t>
            </w:r>
          </w:p>
        </w:tc>
        <w:tc>
          <w:tcPr>
            <w:tcW w:w="240" w:type="dxa"/>
            <w:vAlign w:val="bottom"/>
          </w:tcPr>
          <w:p>
            <w:pPr>
              <w:spacing w:after="0"/>
              <w:rPr>
                <w:sz w:val="21"/>
                <w:szCs w:val="21"/>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176,430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128,023</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124,897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113,588</w:t>
            </w:r>
          </w:p>
        </w:tc>
        <w:tc>
          <w:tcPr>
            <w:tcW w:w="0" w:type="dxa"/>
            <w:vAlign w:val="bottom"/>
          </w:tcPr>
          <w:p>
            <w:pPr>
              <w:spacing w:after="0"/>
              <w:rPr>
                <w:sz w:val="1"/>
                <w:szCs w:val="1"/>
                <w:color w:val="auto"/>
              </w:rPr>
            </w:pP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21"/>
                <w:szCs w:val="21"/>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191,194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269,125</w:t>
            </w:r>
          </w:p>
        </w:tc>
        <w:tc>
          <w:tcPr>
            <w:tcW w:w="0" w:type="dxa"/>
            <w:vAlign w:val="bottom"/>
          </w:tcPr>
          <w:p>
            <w:pPr>
              <w:spacing w:after="0"/>
              <w:rPr>
                <w:sz w:val="1"/>
                <w:szCs w:val="1"/>
                <w:color w:val="auto"/>
              </w:rPr>
            </w:pPr>
          </w:p>
        </w:tc>
      </w:tr>
      <w:tr>
        <w:trPr>
          <w:trHeight w:val="22"/>
        </w:trPr>
        <w:tc>
          <w:tcPr>
            <w:tcW w:w="8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11,856,899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11,953,557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0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3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Accounts and construction payables</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299,348</w:t>
            </w:r>
          </w:p>
        </w:tc>
        <w:tc>
          <w:tcPr>
            <w:tcW w:w="120" w:type="dxa"/>
            <w:vAlign w:val="bottom"/>
          </w:tcPr>
          <w:p>
            <w:pPr>
              <w:spacing w:after="0"/>
              <w:rPr>
                <w:sz w:val="21"/>
                <w:szCs w:val="21"/>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298,505</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portion of 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1,740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Customer deposits</w:t>
            </w:r>
          </w:p>
        </w:tc>
        <w:tc>
          <w:tcPr>
            <w:tcW w:w="240" w:type="dxa"/>
            <w:vAlign w:val="bottom"/>
          </w:tcPr>
          <w:p>
            <w:pPr>
              <w:spacing w:after="0"/>
              <w:rPr>
                <w:sz w:val="21"/>
                <w:szCs w:val="21"/>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775,379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599,566</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Gaming taxes payable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175,819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162,706</w:t>
            </w: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Accrued compensation and benefits</w:t>
            </w:r>
          </w:p>
        </w:tc>
        <w:tc>
          <w:tcPr>
            <w:tcW w:w="240" w:type="dxa"/>
            <w:vAlign w:val="bottom"/>
          </w:tcPr>
          <w:p>
            <w:pPr>
              <w:spacing w:after="0"/>
              <w:rPr>
                <w:sz w:val="21"/>
                <w:szCs w:val="21"/>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138,503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165,501</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interest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70,424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98,118</w:t>
            </w: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Other accrued liabilities</w:t>
            </w:r>
          </w:p>
        </w:tc>
        <w:tc>
          <w:tcPr>
            <w:tcW w:w="240" w:type="dxa"/>
            <w:vAlign w:val="bottom"/>
          </w:tcPr>
          <w:p>
            <w:pPr>
              <w:spacing w:after="0"/>
              <w:rPr>
                <w:sz w:val="21"/>
                <w:szCs w:val="21"/>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78,696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91,905</w:t>
            </w:r>
          </w:p>
        </w:tc>
        <w:tc>
          <w:tcPr>
            <w:tcW w:w="0" w:type="dxa"/>
            <w:vAlign w:val="bottom"/>
          </w:tcPr>
          <w:p>
            <w:pPr>
              <w:spacing w:after="0"/>
              <w:rPr>
                <w:sz w:val="1"/>
                <w:szCs w:val="1"/>
                <w:color w:val="auto"/>
              </w:rPr>
            </w:pPr>
          </w:p>
        </w:tc>
      </w:tr>
      <w:tr>
        <w:trPr>
          <w:trHeight w:val="22"/>
        </w:trPr>
        <w:tc>
          <w:tcPr>
            <w:tcW w:w="8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1,539,909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1,416,301</w:t>
            </w:r>
          </w:p>
        </w:tc>
        <w:tc>
          <w:tcPr>
            <w:tcW w:w="0" w:type="dxa"/>
            <w:vAlign w:val="bottom"/>
          </w:tcPr>
          <w:p>
            <w:pPr>
              <w:spacing w:after="0"/>
              <w:rPr>
                <w:sz w:val="1"/>
                <w:szCs w:val="1"/>
                <w:color w:val="auto"/>
              </w:rPr>
            </w:pP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21"/>
                <w:szCs w:val="21"/>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9,806,296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10,125,352</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81,957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87,462</w:t>
            </w:r>
          </w:p>
        </w:tc>
        <w:tc>
          <w:tcPr>
            <w:tcW w:w="0" w:type="dxa"/>
            <w:vAlign w:val="bottom"/>
          </w:tcPr>
          <w:p>
            <w:pPr>
              <w:spacing w:after="0"/>
              <w:rPr>
                <w:sz w:val="1"/>
                <w:szCs w:val="1"/>
                <w:color w:val="auto"/>
              </w:rPr>
            </w:pP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Deferred income taxes, net</w:t>
            </w:r>
          </w:p>
        </w:tc>
        <w:tc>
          <w:tcPr>
            <w:tcW w:w="240" w:type="dxa"/>
            <w:vAlign w:val="bottom"/>
          </w:tcPr>
          <w:p>
            <w:pPr>
              <w:spacing w:after="0"/>
              <w:rPr>
                <w:sz w:val="21"/>
                <w:szCs w:val="21"/>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71,031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66,561</w:t>
            </w:r>
          </w:p>
        </w:tc>
        <w:tc>
          <w:tcPr>
            <w:tcW w:w="0" w:type="dxa"/>
            <w:vAlign w:val="bottom"/>
          </w:tcPr>
          <w:p>
            <w:pPr>
              <w:spacing w:after="0"/>
              <w:rPr>
                <w:sz w:val="1"/>
                <w:szCs w:val="1"/>
                <w:color w:val="auto"/>
              </w:rPr>
            </w:pPr>
          </w:p>
        </w:tc>
      </w:tr>
      <w:tr>
        <w:trPr>
          <w:trHeight w:val="22"/>
        </w:trPr>
        <w:tc>
          <w:tcPr>
            <w:tcW w:w="8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11,499,193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11,695,676</w:t>
            </w:r>
          </w:p>
        </w:tc>
        <w:tc>
          <w:tcPr>
            <w:tcW w:w="0" w:type="dxa"/>
            <w:vAlign w:val="bottom"/>
          </w:tcPr>
          <w:p>
            <w:pPr>
              <w:spacing w:after="0"/>
              <w:rPr>
                <w:sz w:val="1"/>
                <w:szCs w:val="1"/>
                <w:color w:val="auto"/>
              </w:rPr>
            </w:pPr>
          </w:p>
        </w:tc>
      </w:tr>
      <w:tr>
        <w:trPr>
          <w:trHeight w:val="188"/>
        </w:trPr>
        <w:tc>
          <w:tcPr>
            <w:tcW w:w="8340" w:type="dxa"/>
            <w:vAlign w:val="bottom"/>
          </w:tcPr>
          <w:p>
            <w:pPr>
              <w:ind w:left="40"/>
              <w:spacing w:after="0"/>
              <w:rPr>
                <w:sz w:val="20"/>
                <w:szCs w:val="20"/>
                <w:color w:val="auto"/>
              </w:rPr>
            </w:pPr>
            <w:r>
              <w:rPr>
                <w:rFonts w:ascii="Arial" w:cs="Arial" w:eastAsia="Arial" w:hAnsi="Arial"/>
                <w:sz w:val="16"/>
                <w:szCs w:val="16"/>
                <w:color w:val="auto"/>
              </w:rPr>
              <w:t>Commitments and contingencies (Note 14)</w:t>
            </w:r>
          </w:p>
        </w:tc>
        <w:tc>
          <w:tcPr>
            <w:tcW w:w="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8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Preferred stock, par value $0.01; 40,000,000 shares authorized; zero shares issued and outstanding</w:t>
            </w:r>
          </w:p>
        </w:tc>
        <w:tc>
          <w:tcPr>
            <w:tcW w:w="2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0"/>
              </w:rPr>
              <w:t>Common stock, par value $0.01; 400,000,000 shares authorized; 115,893,532 and 115,036,945 shares issued; 102,563,043</w:t>
            </w: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and 101,799,471 shares outstanding, respectively</w:t>
            </w: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1,159</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1,150</w:t>
            </w: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Treasury stock, at cost; 13,330,489 and 13,237,474 shares, respectively</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(1,175,186)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(1,166,697)</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1,282,262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1,226,915</w:t>
            </w:r>
          </w:p>
        </w:tc>
        <w:tc>
          <w:tcPr>
            <w:tcW w:w="0" w:type="dxa"/>
            <w:vAlign w:val="bottom"/>
          </w:tcPr>
          <w:p>
            <w:pPr>
              <w:spacing w:after="0"/>
              <w:rPr>
                <w:sz w:val="1"/>
                <w:szCs w:val="1"/>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Accumulated other comprehensive income (loss)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1,484</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Retained earnings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166,256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95,097</w:t>
            </w:r>
          </w:p>
        </w:tc>
        <w:tc>
          <w:tcPr>
            <w:tcW w:w="0" w:type="dxa"/>
            <w:vAlign w:val="bottom"/>
          </w:tcPr>
          <w:p>
            <w:pPr>
              <w:spacing w:after="0"/>
              <w:rPr>
                <w:sz w:val="1"/>
                <w:szCs w:val="1"/>
                <w:color w:val="auto"/>
              </w:rPr>
            </w:pPr>
          </w:p>
        </w:tc>
      </w:tr>
      <w:tr>
        <w:trPr>
          <w:trHeight w:val="229"/>
        </w:trPr>
        <w:tc>
          <w:tcPr>
            <w:tcW w:w="8340" w:type="dxa"/>
            <w:vAlign w:val="bottom"/>
          </w:tcPr>
          <w:p>
            <w:pPr>
              <w:ind w:left="720"/>
              <w:spacing w:after="0"/>
              <w:rPr>
                <w:sz w:val="20"/>
                <w:szCs w:val="20"/>
                <w:color w:val="auto"/>
              </w:rPr>
            </w:pPr>
            <w:r>
              <w:rPr>
                <w:rFonts w:ascii="Arial" w:cs="Arial" w:eastAsia="Arial" w:hAnsi="Arial"/>
                <w:sz w:val="16"/>
                <w:szCs w:val="16"/>
                <w:color w:val="auto"/>
              </w:rPr>
              <w:t>Total Wynn Resorts, Limited stockholders' equity</w:t>
            </w: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273,423</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157,949</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84,283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99,932</w:t>
            </w:r>
          </w:p>
        </w:tc>
        <w:tc>
          <w:tcPr>
            <w:tcW w:w="0" w:type="dxa"/>
            <w:vAlign w:val="bottom"/>
          </w:tcPr>
          <w:p>
            <w:pPr>
              <w:spacing w:after="0"/>
              <w:rPr>
                <w:sz w:val="1"/>
                <w:szCs w:val="1"/>
                <w:color w:val="auto"/>
              </w:rPr>
            </w:pPr>
          </w:p>
        </w:tc>
      </w:tr>
      <w:tr>
        <w:trPr>
          <w:trHeight w:val="229"/>
        </w:trPr>
        <w:tc>
          <w:tcPr>
            <w:tcW w:w="8340" w:type="dxa"/>
            <w:vAlign w:val="bottom"/>
          </w:tcPr>
          <w:p>
            <w:pPr>
              <w:ind w:left="72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357,706</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257,881</w:t>
            </w:r>
          </w:p>
        </w:tc>
        <w:tc>
          <w:tcPr>
            <w:tcW w:w="0" w:type="dxa"/>
            <w:vAlign w:val="bottom"/>
          </w:tcPr>
          <w:p>
            <w:pPr>
              <w:spacing w:after="0"/>
              <w:rPr>
                <w:sz w:val="1"/>
                <w:szCs w:val="1"/>
                <w:color w:val="auto"/>
              </w:rPr>
            </w:pPr>
          </w:p>
        </w:tc>
      </w:tr>
      <w:tr>
        <w:trPr>
          <w:trHeight w:val="22"/>
        </w:trPr>
        <w:tc>
          <w:tcPr>
            <w:tcW w:w="8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11,856,899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11,953,557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5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2016</w:t>
            </w: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Casino</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1,166,233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742,659</w:t>
            </w:r>
          </w:p>
        </w:tc>
        <w:tc>
          <w:tcPr>
            <w:tcW w:w="2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2,317,457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1,475,389</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176,183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142,847</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356,450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278,439</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3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194,113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170,631</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346,953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301,075</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102,231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82,031</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205,136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164,026</w:t>
            </w:r>
          </w:p>
        </w:tc>
      </w:tr>
      <w:tr>
        <w:trPr>
          <w:trHeight w:val="237"/>
        </w:trPr>
        <w:tc>
          <w:tcPr>
            <w:tcW w:w="5500" w:type="dxa"/>
            <w:vAlign w:val="bottom"/>
          </w:tcPr>
          <w:p>
            <w:pPr>
              <w:ind w:left="720"/>
              <w:spacing w:after="0"/>
              <w:rPr>
                <w:sz w:val="20"/>
                <w:szCs w:val="20"/>
                <w:color w:val="auto"/>
              </w:rPr>
            </w:pPr>
            <w:r>
              <w:rPr>
                <w:rFonts w:ascii="Arial" w:cs="Arial" w:eastAsia="Arial" w:hAnsi="Arial"/>
                <w:sz w:val="18"/>
                <w:szCs w:val="18"/>
                <w:color w:val="auto"/>
              </w:rPr>
              <w:t>Gross revenues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1,638,760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1,138,168</w:t>
            </w:r>
          </w:p>
        </w:tc>
        <w:tc>
          <w:tcPr>
            <w:tcW w:w="2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3,225,996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2,218,929</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promotional allowances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(109,499)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(79,804)</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(221,055)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(162,887)</w:t>
            </w:r>
          </w:p>
        </w:tc>
      </w:tr>
      <w:tr>
        <w:trPr>
          <w:trHeight w:val="237"/>
        </w:trPr>
        <w:tc>
          <w:tcPr>
            <w:tcW w:w="5500" w:type="dxa"/>
            <w:vAlign w:val="bottom"/>
          </w:tcPr>
          <w:p>
            <w:pPr>
              <w:ind w:left="720"/>
              <w:spacing w:after="0"/>
              <w:rPr>
                <w:sz w:val="20"/>
                <w:szCs w:val="20"/>
                <w:color w:val="auto"/>
              </w:rPr>
            </w:pPr>
            <w:r>
              <w:rPr>
                <w:rFonts w:ascii="Arial" w:cs="Arial" w:eastAsia="Arial" w:hAnsi="Arial"/>
                <w:sz w:val="18"/>
                <w:szCs w:val="18"/>
                <w:color w:val="auto"/>
              </w:rPr>
              <w:t>Net revenues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1,529,261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1,058,364</w:t>
            </w:r>
          </w:p>
        </w:tc>
        <w:tc>
          <w:tcPr>
            <w:tcW w:w="2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3,004,941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2,056,042</w:t>
            </w: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Casino</w:t>
            </w:r>
          </w:p>
        </w:tc>
        <w:tc>
          <w:tcPr>
            <w:tcW w:w="3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763,241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470,372</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1,503,457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922,912</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45,818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38,040</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90,324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75,749</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3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117,010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105,727</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210,388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185,147</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42,608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37,674</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85,827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75,973</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164,169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119,505</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324,131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236,950</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provision for doubtful accounts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2,478</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3,184</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Pre-opening</w:t>
            </w:r>
          </w:p>
        </w:tc>
        <w:tc>
          <w:tcPr>
            <w:tcW w:w="3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6,758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45,949</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12,537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79,718</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137,686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79,749</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277,506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157,720</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3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7,165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11,331</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10,201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12,852</w:t>
            </w: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1,282,372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910,825</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2,508,122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1,750,205</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246,889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147,539</w:t>
            </w:r>
          </w:p>
        </w:tc>
        <w:tc>
          <w:tcPr>
            <w:tcW w:w="2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496,819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305,837</w:t>
            </w: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7,080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2,783</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13,551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6,262</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(69,257)</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(196,001)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(114,029)</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Change in interest rate swap fair value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(1,036)</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(2,861)</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Redemption Note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7,982</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2,979</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(22,287)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(1,462)</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(1,945)</w:t>
            </w: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(137,486)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(60,990)</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(252,002)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(109,578)</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109,403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86,549</w:t>
            </w:r>
          </w:p>
        </w:tc>
        <w:tc>
          <w:tcPr>
            <w:tcW w:w="2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244,817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196,259</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2,893</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106,796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89,442</w:t>
            </w:r>
          </w:p>
        </w:tc>
        <w:tc>
          <w:tcPr>
            <w:tcW w:w="2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239,320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195,234</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(31,880)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(19,051)</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(63,589)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(49,622)</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74,916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70,391</w:t>
            </w:r>
          </w:p>
        </w:tc>
        <w:tc>
          <w:tcPr>
            <w:tcW w:w="2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175,731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145,612</w:t>
            </w:r>
          </w:p>
        </w:tc>
      </w:tr>
      <w:tr>
        <w:trPr>
          <w:trHeight w:val="67"/>
        </w:trPr>
        <w:tc>
          <w:tcPr>
            <w:tcW w:w="55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1"/>
        </w:trPr>
        <w:tc>
          <w:tcPr>
            <w:tcW w:w="55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and diluted net income per common share:</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Net income attributable to Wynn Resorts, Limited:</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0.69</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r>
      <w:tr>
        <w:trPr>
          <w:trHeight w:val="243"/>
        </w:trPr>
        <w:tc>
          <w:tcPr>
            <w:tcW w:w="5500" w:type="dxa"/>
            <w:vAlign w:val="bottom"/>
          </w:tcPr>
          <w:p>
            <w:pPr>
              <w:ind w:left="72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0.69</w:t>
            </w:r>
          </w:p>
        </w:tc>
        <w:tc>
          <w:tcPr>
            <w:tcW w:w="2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1.43</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72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101,944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101,438</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101,851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101,415</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102,494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101,881</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102,274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101,792</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Dividends declared per common share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0.50</w:t>
            </w:r>
          </w:p>
        </w:tc>
        <w:tc>
          <w:tcPr>
            <w:tcW w:w="2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97"/>
        </w:trPr>
        <w:tc>
          <w:tcPr>
            <w:tcW w:w="10060" w:type="dxa"/>
            <w:vAlign w:val="bottom"/>
            <w:gridSpan w:val="10"/>
          </w:tcPr>
          <w:p>
            <w:pPr>
              <w:ind w:left="2160"/>
              <w:spacing w:after="0"/>
              <w:rPr>
                <w:sz w:val="20"/>
                <w:szCs w:val="20"/>
                <w:color w:val="auto"/>
              </w:rPr>
            </w:pPr>
            <w:r>
              <w:rPr>
                <w:rFonts w:ascii="Arial" w:cs="Arial" w:eastAsia="Arial" w:hAnsi="Arial"/>
                <w:sz w:val="18"/>
                <w:szCs w:val="18"/>
                <w:color w:val="auto"/>
                <w:w w:val="99"/>
              </w:rPr>
              <w:t>The accompanying notes are an integral part of these condensed consolidated financial statements.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191"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122" w:right="239" w:bottom="1440"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5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106,796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89,442</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239,320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195,234</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 before and after tax</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Unrealized gain on investment securities, before and after tax</w:t>
            </w:r>
          </w:p>
        </w:tc>
        <w:tc>
          <w:tcPr>
            <w:tcW w:w="32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323</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1,246</w:t>
            </w: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104,300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89,553</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235,724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196,146</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w w:val="94"/>
              </w:rPr>
              <w:t>Less: comprehensive income attributable to noncontrolling interests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(31,161)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(18,992)</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(62,545)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(49,529)</w:t>
            </w: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Wynn Resorts, Limited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73,139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70,561</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173,179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146,617</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60" w:type="dxa"/>
            <w:vAlign w:val="bottom"/>
          </w:tcPr>
          <w:p>
            <w:pPr>
              <w:spacing w:after="0"/>
              <w:rPr>
                <w:sz w:val="15"/>
                <w:szCs w:val="15"/>
                <w:color w:val="auto"/>
              </w:rPr>
            </w:pPr>
          </w:p>
        </w:tc>
        <w:tc>
          <w:tcPr>
            <w:tcW w:w="1880" w:type="dxa"/>
            <w:vAlign w:val="bottom"/>
            <w:gridSpan w:val="5"/>
          </w:tcPr>
          <w:p>
            <w:pPr>
              <w:ind w:left="48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96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8"/>
              </w:rPr>
              <w:t>Accumulated</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1" w:lineRule="exact"/>
              <w:rPr>
                <w:sz w:val="20"/>
                <w:szCs w:val="20"/>
                <w:color w:val="auto"/>
              </w:rPr>
            </w:pPr>
            <w:r>
              <w:rPr>
                <w:rFonts w:ascii="Arial" w:cs="Arial" w:eastAsia="Arial" w:hAnsi="Arial"/>
                <w:sz w:val="13"/>
                <w:szCs w:val="13"/>
                <w:b w:val="1"/>
                <w:bCs w:val="1"/>
                <w:color w:val="auto"/>
                <w:w w:val="88"/>
              </w:rPr>
              <w:t>Total Wynn</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other</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Resorts, Ltd.</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16"/>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10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Shares</w:t>
            </w:r>
          </w:p>
        </w:tc>
        <w:tc>
          <w:tcPr>
            <w:tcW w:w="160" w:type="dxa"/>
            <w:vAlign w:val="bottom"/>
          </w:tcPr>
          <w:p>
            <w:pPr>
              <w:spacing w:after="0"/>
              <w:rPr>
                <w:sz w:val="11"/>
                <w:szCs w:val="11"/>
                <w:color w:val="auto"/>
              </w:rPr>
            </w:pPr>
          </w:p>
        </w:tc>
        <w:tc>
          <w:tcPr>
            <w:tcW w:w="6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5"/>
              </w:rPr>
              <w:t>Par</w:t>
            </w:r>
          </w:p>
        </w:tc>
        <w:tc>
          <w:tcPr>
            <w:tcW w:w="12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Treasury</w:t>
            </w: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paid-in</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180" w:type="dxa"/>
            <w:vAlign w:val="bottom"/>
          </w:tcPr>
          <w:p>
            <w:pPr>
              <w:spacing w:after="0"/>
              <w:rPr>
                <w:sz w:val="11"/>
                <w:szCs w:val="11"/>
                <w:color w:val="auto"/>
              </w:rPr>
            </w:pPr>
          </w:p>
        </w:tc>
        <w:tc>
          <w:tcPr>
            <w:tcW w:w="96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3"/>
              </w:rPr>
              <w:t>stockholders'</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100" w:type="dxa"/>
            <w:vAlign w:val="bottom"/>
          </w:tcPr>
          <w:p>
            <w:pPr>
              <w:spacing w:after="0"/>
              <w:rPr>
                <w:sz w:val="11"/>
                <w:szCs w:val="11"/>
                <w:color w:val="auto"/>
              </w:rPr>
            </w:pPr>
          </w:p>
        </w:tc>
        <w:tc>
          <w:tcPr>
            <w:tcW w:w="800" w:type="dxa"/>
            <w:vAlign w:val="bottom"/>
          </w:tcPr>
          <w:p>
            <w:pPr>
              <w:jc w:val="center"/>
              <w:ind w:right="16"/>
              <w:spacing w:after="0" w:line="135" w:lineRule="exact"/>
              <w:rPr>
                <w:sz w:val="20"/>
                <w:szCs w:val="20"/>
                <w:color w:val="auto"/>
              </w:rPr>
            </w:pPr>
            <w:r>
              <w:rPr>
                <w:rFonts w:ascii="Arial" w:cs="Arial" w:eastAsia="Arial" w:hAnsi="Arial"/>
                <w:sz w:val="13"/>
                <w:szCs w:val="13"/>
                <w:b w:val="1"/>
                <w:bCs w:val="1"/>
                <w:color w:val="auto"/>
                <w:w w:val="85"/>
              </w:rPr>
              <w:t>stockholders'</w:t>
            </w:r>
          </w:p>
        </w:tc>
        <w:tc>
          <w:tcPr>
            <w:tcW w:w="0" w:type="dxa"/>
            <w:vAlign w:val="bottom"/>
          </w:tcPr>
          <w:p>
            <w:pPr>
              <w:spacing w:after="0"/>
              <w:rPr>
                <w:sz w:val="1"/>
                <w:szCs w:val="1"/>
                <w:color w:val="auto"/>
              </w:rPr>
            </w:pPr>
          </w:p>
        </w:tc>
      </w:tr>
      <w:tr>
        <w:trPr>
          <w:trHeight w:val="174"/>
        </w:trPr>
        <w:tc>
          <w:tcPr>
            <w:tcW w:w="1960" w:type="dxa"/>
            <w:vAlign w:val="bottom"/>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outstanding</w:t>
            </w:r>
          </w:p>
        </w:tc>
        <w:tc>
          <w:tcPr>
            <w:tcW w:w="160" w:type="dxa"/>
            <w:vAlign w:val="bottom"/>
          </w:tcPr>
          <w:p>
            <w:pPr>
              <w:spacing w:after="0"/>
              <w:rPr>
                <w:sz w:val="15"/>
                <w:szCs w:val="15"/>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4"/>
              </w:rPr>
              <w:t>value</w:t>
            </w:r>
          </w:p>
        </w:tc>
        <w:tc>
          <w:tcPr>
            <w:tcW w:w="12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2"/>
              </w:rPr>
              <w:t>stock</w:t>
            </w:r>
          </w:p>
        </w:tc>
        <w:tc>
          <w:tcPr>
            <w:tcW w:w="10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capital</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1"/>
              </w:rPr>
              <w:t>income (loss)</w:t>
            </w:r>
          </w:p>
        </w:tc>
        <w:tc>
          <w:tcPr>
            <w:tcW w:w="18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equity</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1"/>
              </w:rPr>
              <w:t>interests</w:t>
            </w:r>
          </w:p>
        </w:tc>
        <w:tc>
          <w:tcPr>
            <w:tcW w:w="100" w:type="dxa"/>
            <w:vAlign w:val="bottom"/>
          </w:tcPr>
          <w:p>
            <w:pPr>
              <w:spacing w:after="0"/>
              <w:rPr>
                <w:sz w:val="15"/>
                <w:szCs w:val="15"/>
                <w:color w:val="auto"/>
              </w:rPr>
            </w:pPr>
          </w:p>
        </w:tc>
        <w:tc>
          <w:tcPr>
            <w:tcW w:w="800" w:type="dxa"/>
            <w:vAlign w:val="bottom"/>
          </w:tcPr>
          <w:p>
            <w:pPr>
              <w:jc w:val="center"/>
              <w:ind w:right="36"/>
              <w:spacing w:after="0"/>
              <w:rPr>
                <w:sz w:val="20"/>
                <w:szCs w:val="20"/>
                <w:color w:val="auto"/>
              </w:rPr>
            </w:pPr>
            <w:r>
              <w:rPr>
                <w:rFonts w:ascii="Arial" w:cs="Arial" w:eastAsia="Arial" w:hAnsi="Arial"/>
                <w:sz w:val="13"/>
                <w:szCs w:val="13"/>
                <w:b w:val="1"/>
                <w:bCs w:val="1"/>
                <w:color w:val="auto"/>
                <w:w w:val="88"/>
              </w:rPr>
              <w:t>equity</w:t>
            </w:r>
          </w:p>
        </w:tc>
        <w:tc>
          <w:tcPr>
            <w:tcW w:w="0" w:type="dxa"/>
            <w:vAlign w:val="bottom"/>
          </w:tcPr>
          <w:p>
            <w:pPr>
              <w:spacing w:after="0"/>
              <w:rPr>
                <w:sz w:val="1"/>
                <w:szCs w:val="1"/>
                <w:color w:val="auto"/>
              </w:rPr>
            </w:pPr>
          </w:p>
        </w:tc>
      </w:tr>
      <w:tr>
        <w:trPr>
          <w:trHeight w:val="249"/>
        </w:trPr>
        <w:tc>
          <w:tcPr>
            <w:tcW w:w="1960" w:type="dxa"/>
            <w:vAlign w:val="bottom"/>
          </w:tcPr>
          <w:p>
            <w:pPr>
              <w:ind w:left="40"/>
              <w:spacing w:after="0"/>
              <w:rPr>
                <w:sz w:val="20"/>
                <w:szCs w:val="20"/>
                <w:color w:val="auto"/>
              </w:rPr>
            </w:pPr>
            <w:r>
              <w:rPr>
                <w:rFonts w:ascii="Arial" w:cs="Arial" w:eastAsia="Arial" w:hAnsi="Arial"/>
                <w:sz w:val="13"/>
                <w:szCs w:val="13"/>
                <w:b w:val="1"/>
                <w:bCs w:val="1"/>
                <w:color w:val="auto"/>
              </w:rPr>
              <w:t>Balances, December 31, 2016</w:t>
            </w:r>
          </w:p>
        </w:tc>
        <w:tc>
          <w:tcPr>
            <w:tcW w:w="9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101,799,471</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1,150</w:t>
            </w:r>
          </w:p>
        </w:tc>
        <w:tc>
          <w:tcPr>
            <w:tcW w:w="14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90"/>
              </w:rPr>
              <w:t>(1,166,697)</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1,226,915</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1,484</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95,097</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157,949</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99,932</w:t>
            </w:r>
          </w:p>
        </w:tc>
        <w:tc>
          <w:tcPr>
            <w:tcW w:w="10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257,881</w:t>
            </w:r>
          </w:p>
        </w:tc>
        <w:tc>
          <w:tcPr>
            <w:tcW w:w="0" w:type="dxa"/>
            <w:vAlign w:val="bottom"/>
          </w:tcPr>
          <w:p>
            <w:pPr>
              <w:spacing w:after="0"/>
              <w:rPr>
                <w:sz w:val="1"/>
                <w:szCs w:val="1"/>
                <w:color w:val="auto"/>
              </w:rPr>
            </w:pPr>
          </w:p>
        </w:tc>
      </w:tr>
      <w:tr>
        <w:trPr>
          <w:trHeight w:val="156"/>
        </w:trPr>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8"/>
              </w:rPr>
              <w:t>Effect of change in accounting for</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stock-based compensation</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2,807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124"/>
        </w:trPr>
        <w:tc>
          <w:tcPr>
            <w:tcW w:w="1960" w:type="dxa"/>
            <w:vAlign w:val="bottom"/>
          </w:tcPr>
          <w:p>
            <w:pPr>
              <w:ind w:left="40"/>
              <w:spacing w:after="0" w:line="124" w:lineRule="exact"/>
              <w:rPr>
                <w:sz w:val="20"/>
                <w:szCs w:val="20"/>
                <w:color w:val="auto"/>
              </w:rPr>
            </w:pPr>
            <w:r>
              <w:rPr>
                <w:rFonts w:ascii="Arial" w:cs="Arial" w:eastAsia="Arial" w:hAnsi="Arial"/>
                <w:sz w:val="13"/>
                <w:szCs w:val="13"/>
                <w:b w:val="1"/>
                <w:bCs w:val="1"/>
                <w:color w:val="auto"/>
                <w:w w:val="93"/>
              </w:rPr>
              <w:t>Balances, December 31, 2016, as</w:t>
            </w:r>
          </w:p>
        </w:tc>
        <w:tc>
          <w:tcPr>
            <w:tcW w:w="9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960" w:type="dxa"/>
            <w:vAlign w:val="bottom"/>
          </w:tcPr>
          <w:p>
            <w:pPr>
              <w:ind w:left="40"/>
              <w:spacing w:after="0"/>
              <w:rPr>
                <w:sz w:val="20"/>
                <w:szCs w:val="20"/>
                <w:color w:val="auto"/>
              </w:rPr>
            </w:pPr>
            <w:r>
              <w:rPr>
                <w:rFonts w:ascii="Arial" w:cs="Arial" w:eastAsia="Arial" w:hAnsi="Arial"/>
                <w:sz w:val="13"/>
                <w:szCs w:val="13"/>
                <w:b w:val="1"/>
                <w:bCs w:val="1"/>
                <w:color w:val="auto"/>
              </w:rPr>
              <w:t>adjusted</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101,799,471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1,150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w w:val="90"/>
              </w:rPr>
              <w:t>(1,166,697)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1,229,722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1,484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92,401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158,060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99,932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257,992</w:t>
            </w:r>
          </w:p>
        </w:tc>
        <w:tc>
          <w:tcPr>
            <w:tcW w:w="0" w:type="dxa"/>
            <w:vAlign w:val="bottom"/>
          </w:tcPr>
          <w:p>
            <w:pPr>
              <w:spacing w:after="0"/>
              <w:rPr>
                <w:sz w:val="1"/>
                <w:szCs w:val="1"/>
                <w:color w:val="auto"/>
              </w:rPr>
            </w:pPr>
          </w:p>
        </w:tc>
      </w:tr>
      <w:tr>
        <w:trPr>
          <w:trHeight w:val="278"/>
        </w:trPr>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175,731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175,731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63,589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239,320</w:t>
            </w:r>
          </w:p>
        </w:tc>
        <w:tc>
          <w:tcPr>
            <w:tcW w:w="0" w:type="dxa"/>
            <w:vAlign w:val="bottom"/>
          </w:tcPr>
          <w:p>
            <w:pPr>
              <w:spacing w:after="0"/>
              <w:rPr>
                <w:sz w:val="1"/>
                <w:szCs w:val="1"/>
                <w:color w:val="auto"/>
              </w:rPr>
            </w:pPr>
          </w:p>
        </w:tc>
      </w:tr>
      <w:tr>
        <w:trPr>
          <w:trHeight w:val="262"/>
        </w:trPr>
        <w:tc>
          <w:tcPr>
            <w:tcW w:w="1960" w:type="dxa"/>
            <w:vAlign w:val="bottom"/>
          </w:tcPr>
          <w:p>
            <w:pPr>
              <w:ind w:left="40"/>
              <w:spacing w:after="0"/>
              <w:rPr>
                <w:sz w:val="20"/>
                <w:szCs w:val="20"/>
                <w:color w:val="auto"/>
              </w:rPr>
            </w:pPr>
            <w:r>
              <w:rPr>
                <w:rFonts w:ascii="Arial" w:cs="Arial" w:eastAsia="Arial" w:hAnsi="Arial"/>
                <w:sz w:val="13"/>
                <w:szCs w:val="13"/>
                <w:color w:val="auto"/>
              </w:rPr>
              <w:t>Currency translation adjustment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(2,710)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(2,710)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(1,044)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(3,754)</w:t>
            </w:r>
          </w:p>
        </w:tc>
        <w:tc>
          <w:tcPr>
            <w:tcW w:w="0" w:type="dxa"/>
            <w:vAlign w:val="bottom"/>
          </w:tcPr>
          <w:p>
            <w:pPr>
              <w:spacing w:after="0"/>
              <w:rPr>
                <w:sz w:val="1"/>
                <w:szCs w:val="1"/>
                <w:color w:val="auto"/>
              </w:rPr>
            </w:pPr>
          </w:p>
        </w:tc>
      </w:tr>
      <w:tr>
        <w:trPr>
          <w:trHeight w:val="156"/>
        </w:trPr>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Net unrealized gain on investment</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securities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158</w:t>
            </w:r>
          </w:p>
        </w:tc>
        <w:tc>
          <w:tcPr>
            <w:tcW w:w="0" w:type="dxa"/>
            <w:vAlign w:val="bottom"/>
          </w:tcPr>
          <w:p>
            <w:pPr>
              <w:spacing w:after="0"/>
              <w:rPr>
                <w:sz w:val="1"/>
                <w:szCs w:val="1"/>
                <w:color w:val="auto"/>
              </w:rPr>
            </w:pPr>
          </w:p>
        </w:tc>
      </w:tr>
      <w:tr>
        <w:trPr>
          <w:trHeight w:val="262"/>
        </w:trPr>
        <w:tc>
          <w:tcPr>
            <w:tcW w:w="1960" w:type="dxa"/>
            <w:vAlign w:val="bottom"/>
          </w:tcPr>
          <w:p>
            <w:pPr>
              <w:ind w:left="40"/>
              <w:spacing w:after="0"/>
              <w:rPr>
                <w:sz w:val="20"/>
                <w:szCs w:val="20"/>
                <w:color w:val="auto"/>
              </w:rPr>
            </w:pPr>
            <w:r>
              <w:rPr>
                <w:rFonts w:ascii="Arial" w:cs="Arial" w:eastAsia="Arial" w:hAnsi="Arial"/>
                <w:sz w:val="13"/>
                <w:szCs w:val="13"/>
                <w:color w:val="auto"/>
              </w:rPr>
              <w:t>Issuance of restricted stock</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560,792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6</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18,566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18,572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653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19,225</w:t>
            </w:r>
          </w:p>
        </w:tc>
        <w:tc>
          <w:tcPr>
            <w:tcW w:w="0" w:type="dxa"/>
            <w:vAlign w:val="bottom"/>
          </w:tcPr>
          <w:p>
            <w:pPr>
              <w:spacing w:after="0"/>
              <w:rPr>
                <w:sz w:val="1"/>
                <w:szCs w:val="1"/>
                <w:color w:val="auto"/>
              </w:rPr>
            </w:pPr>
          </w:p>
        </w:tc>
      </w:tr>
      <w:tr>
        <w:trPr>
          <w:trHeight w:val="278"/>
        </w:trPr>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Cancellation of restricted stock</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(13,333)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1960" w:type="dxa"/>
            <w:vAlign w:val="bottom"/>
          </w:tcPr>
          <w:p>
            <w:pPr>
              <w:ind w:left="40"/>
              <w:spacing w:after="0"/>
              <w:rPr>
                <w:sz w:val="20"/>
                <w:szCs w:val="20"/>
                <w:color w:val="auto"/>
              </w:rPr>
            </w:pPr>
            <w:r>
              <w:rPr>
                <w:rFonts w:ascii="Arial" w:cs="Arial" w:eastAsia="Arial" w:hAnsi="Arial"/>
                <w:sz w:val="13"/>
                <w:szCs w:val="13"/>
                <w:color w:val="auto"/>
              </w:rPr>
              <w:t>Exercise of stock options</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309,128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26,544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26,547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26,547</w:t>
            </w:r>
          </w:p>
        </w:tc>
        <w:tc>
          <w:tcPr>
            <w:tcW w:w="0" w:type="dxa"/>
            <w:vAlign w:val="bottom"/>
          </w:tcPr>
          <w:p>
            <w:pPr>
              <w:spacing w:after="0"/>
              <w:rPr>
                <w:sz w:val="1"/>
                <w:szCs w:val="1"/>
                <w:color w:val="auto"/>
              </w:rPr>
            </w:pPr>
          </w:p>
        </w:tc>
      </w:tr>
      <w:tr>
        <w:trPr>
          <w:trHeight w:val="156"/>
        </w:trPr>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w w:val="88"/>
              </w:rPr>
              <w:t>Shares repurchased by the Company</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and held as treasury shares</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(93,015)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(8,489)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(8,489)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(8,489)</w:t>
            </w:r>
          </w:p>
        </w:tc>
        <w:tc>
          <w:tcPr>
            <w:tcW w:w="0" w:type="dxa"/>
            <w:vAlign w:val="bottom"/>
          </w:tcPr>
          <w:p>
            <w:pPr>
              <w:spacing w:after="0"/>
              <w:rPr>
                <w:sz w:val="1"/>
                <w:szCs w:val="1"/>
                <w:color w:val="auto"/>
              </w:rPr>
            </w:pPr>
          </w:p>
        </w:tc>
      </w:tr>
      <w:tr>
        <w:trPr>
          <w:trHeight w:val="262"/>
        </w:trPr>
        <w:tc>
          <w:tcPr>
            <w:tcW w:w="1960" w:type="dxa"/>
            <w:vAlign w:val="bottom"/>
          </w:tcPr>
          <w:p>
            <w:pPr>
              <w:ind w:left="40"/>
              <w:spacing w:after="0"/>
              <w:rPr>
                <w:sz w:val="20"/>
                <w:szCs w:val="20"/>
                <w:color w:val="auto"/>
              </w:rPr>
            </w:pPr>
            <w:r>
              <w:rPr>
                <w:rFonts w:ascii="Arial" w:cs="Arial" w:eastAsia="Arial" w:hAnsi="Arial"/>
                <w:sz w:val="13"/>
                <w:szCs w:val="13"/>
                <w:color w:val="auto"/>
              </w:rPr>
              <w:t>Cash dividends declared</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(101,876)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(101,876)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(77,827)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(179,703)</w:t>
            </w:r>
          </w:p>
        </w:tc>
        <w:tc>
          <w:tcPr>
            <w:tcW w:w="0" w:type="dxa"/>
            <w:vAlign w:val="bottom"/>
          </w:tcPr>
          <w:p>
            <w:pPr>
              <w:spacing w:after="0"/>
              <w:rPr>
                <w:sz w:val="1"/>
                <w:szCs w:val="1"/>
                <w:color w:val="auto"/>
              </w:rPr>
            </w:pPr>
          </w:p>
        </w:tc>
      </w:tr>
      <w:tr>
        <w:trPr>
          <w:trHeight w:val="156"/>
        </w:trPr>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Distribution to noncontrolling</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(2,534)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(2,534)</w:t>
            </w:r>
          </w:p>
        </w:tc>
        <w:tc>
          <w:tcPr>
            <w:tcW w:w="0" w:type="dxa"/>
            <w:vAlign w:val="bottom"/>
          </w:tcPr>
          <w:p>
            <w:pPr>
              <w:spacing w:after="0"/>
              <w:rPr>
                <w:sz w:val="1"/>
                <w:szCs w:val="1"/>
                <w:color w:val="auto"/>
              </w:rPr>
            </w:pPr>
          </w:p>
        </w:tc>
      </w:tr>
      <w:tr>
        <w:trPr>
          <w:trHeight w:val="176"/>
        </w:trPr>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interest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960" w:type="dxa"/>
            <w:vAlign w:val="bottom"/>
          </w:tcPr>
          <w:p>
            <w:pPr>
              <w:ind w:left="40"/>
              <w:spacing w:after="0"/>
              <w:rPr>
                <w:sz w:val="20"/>
                <w:szCs w:val="20"/>
                <w:color w:val="auto"/>
              </w:rPr>
            </w:pPr>
            <w:r>
              <w:rPr>
                <w:rFonts w:ascii="Arial" w:cs="Arial" w:eastAsia="Arial" w:hAnsi="Arial"/>
                <w:sz w:val="13"/>
                <w:szCs w:val="13"/>
                <w:color w:val="auto"/>
              </w:rPr>
              <w:t>Stock-based compensation</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7,430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7,430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1,514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36"/>
              <w:spacing w:after="0"/>
              <w:rPr>
                <w:sz w:val="20"/>
                <w:szCs w:val="20"/>
                <w:color w:val="auto"/>
              </w:rPr>
            </w:pPr>
            <w:r>
              <w:rPr>
                <w:rFonts w:ascii="Arial" w:cs="Arial" w:eastAsia="Arial" w:hAnsi="Arial"/>
                <w:sz w:val="13"/>
                <w:szCs w:val="13"/>
                <w:color w:val="auto"/>
              </w:rPr>
              <w:t>8,944</w:t>
            </w:r>
          </w:p>
        </w:tc>
        <w:tc>
          <w:tcPr>
            <w:tcW w:w="0" w:type="dxa"/>
            <w:vAlign w:val="bottom"/>
          </w:tcPr>
          <w:p>
            <w:pPr>
              <w:spacing w:after="0"/>
              <w:rPr>
                <w:sz w:val="1"/>
                <w:szCs w:val="1"/>
                <w:color w:val="auto"/>
              </w:rPr>
            </w:pPr>
          </w:p>
        </w:tc>
      </w:tr>
      <w:tr>
        <w:trPr>
          <w:trHeight w:val="242"/>
        </w:trPr>
        <w:tc>
          <w:tcPr>
            <w:tcW w:w="1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Balances, June 30, 2017</w:t>
            </w:r>
          </w:p>
        </w:tc>
        <w:tc>
          <w:tcPr>
            <w:tcW w:w="9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102,563,043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1,159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90"/>
              </w:rPr>
              <w:t>(1,175,186)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1,282,262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166,256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273,423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84,283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357,706</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2016</w:t>
            </w:r>
          </w:p>
        </w:tc>
      </w:tr>
      <w:tr>
        <w:trPr>
          <w:trHeight w:val="21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60"/>
        </w:trPr>
        <w:tc>
          <w:tcPr>
            <w:tcW w:w="83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239,320</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195,234</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277,506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157,720</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18,787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21,082</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Excess tax benefits from 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Amortization of deferred financing costs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12,345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11,883</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extinguishment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22,287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(Benefit) provision for doubtful accounts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(6,249)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3,184</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 in interest rate swap fair value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2,861</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Change in Redemption Note fair value</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28,264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(2,979)</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Property charges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16,290</w:t>
            </w:r>
          </w:p>
        </w:tc>
      </w:tr>
      <w:tr>
        <w:trPr>
          <w:trHeight w:val="224"/>
        </w:trPr>
        <w:tc>
          <w:tcPr>
            <w:tcW w:w="8340" w:type="dxa"/>
            <w:vAlign w:val="bottom"/>
          </w:tcPr>
          <w:p>
            <w:pPr>
              <w:ind w:left="380"/>
              <w:spacing w:after="0"/>
              <w:rPr>
                <w:sz w:val="20"/>
                <w:szCs w:val="20"/>
                <w:color w:val="auto"/>
              </w:rPr>
            </w:pPr>
            <w:r>
              <w:rPr>
                <w:rFonts w:ascii="Arial" w:cs="Arial" w:eastAsia="Arial" w:hAnsi="Arial"/>
                <w:sz w:val="16"/>
                <w:szCs w:val="16"/>
                <w:color w:val="auto"/>
              </w:rPr>
              <w:t>Increase (decrease) in cash from changes in:</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8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Receivables,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28,669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17,111</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Inventories and prepaid expenses and other</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(19,339)</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Customer deposits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181,112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(15,463)</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Accounts payable and accrued expenses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(28,618)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(17,597)</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803,552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369,946</w:t>
            </w:r>
          </w:p>
        </w:tc>
      </w:tr>
      <w:tr>
        <w:trPr>
          <w:trHeight w:val="204"/>
        </w:trPr>
        <w:tc>
          <w:tcPr>
            <w:tcW w:w="834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60"/>
        </w:trPr>
        <w:tc>
          <w:tcPr>
            <w:tcW w:w="8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Capital expenditures, net of construction payables and retention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(392,575)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(548,898)</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Return of investment in unconsolidated affiliates</w:t>
            </w:r>
          </w:p>
        </w:tc>
        <w:tc>
          <w:tcPr>
            <w:tcW w:w="3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727</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 of investment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(133,461)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(87,589)</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Proceeds from sale or maturity of investment securities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121,697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35,550</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 of intangible assets and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(8,093)</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Proceeds from sale of assets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20,214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2,532</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(397,286)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(605,771)</w:t>
            </w:r>
          </w:p>
        </w:tc>
      </w:tr>
      <w:tr>
        <w:trPr>
          <w:trHeight w:val="204"/>
        </w:trPr>
        <w:tc>
          <w:tcPr>
            <w:tcW w:w="834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60"/>
        </w:trPr>
        <w:tc>
          <w:tcPr>
            <w:tcW w:w="8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exercise of stock options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26,547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Excess tax benefits from stock-based compensation</w:t>
            </w:r>
          </w:p>
        </w:tc>
        <w:tc>
          <w:tcPr>
            <w:tcW w:w="3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45</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Dividends paid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(179,568)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(212,789)</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Distribution to noncontrolling interest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(2,534)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issuance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1,030,056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305,796</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Repayments of long-term debt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(1,359,961)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190,397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(790)</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Repurchase of common stock</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(8,489)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(6,291)</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taxes paid from sale of ownership interest in subsidiary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(25,176)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Shares of subsidiary repurchased for share award plan</w:t>
            </w:r>
          </w:p>
        </w:tc>
        <w:tc>
          <w:tcPr>
            <w:tcW w:w="3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(7,579)</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 on long-term land concession obligation</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(15,968)</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Payments for financing costs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(40,308)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(3,261)</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Net cash provided by (used in)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(369,036)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59,163</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Effect of exchange rate on cash</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(3,929)</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(1,104)</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83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Increase (decrease) in cash and cash equivalents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33,301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(177,766)</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Balance,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2,453,122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2,080,089</w:t>
            </w: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color w:val="auto"/>
              </w:rPr>
              <w:t>Balance, end of period</w:t>
            </w: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2,486,423</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1,902,323</w:t>
            </w:r>
          </w:p>
        </w:tc>
      </w:tr>
      <w:tr>
        <w:trPr>
          <w:trHeight w:val="73"/>
        </w:trPr>
        <w:tc>
          <w:tcPr>
            <w:tcW w:w="83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24"/>
        </w:trPr>
        <w:tc>
          <w:tcPr>
            <w:tcW w:w="8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Supplemental cash flow disclosures: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8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paid for interest, net of amounts capitalized</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211,350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121,629</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Stock-based compensation capitalized into construction</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51</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Liability settled with shares of common stock</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Change in accounts and construction payables related to property and equipment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4,974</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(96,858)</w:t>
            </w: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Change in dividends payable on unvested restricted stock included in other accrued liabilities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8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121" w:right="239" w:bottom="0" w:gutter="0" w:footer="0" w:header="0"/>
        </w:sectPr>
      </w:pPr>
    </w:p>
    <w:bookmarkStart w:id="7" w:name="page8"/>
    <w:bookmarkEnd w:id="7"/>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9019"/>
          </w:cols>
          <w:pgMar w:left="1440" w:top="314" w:right="1440"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9019"/>
          </w:cols>
          <w:pgMar w:left="1440" w:top="314" w:right="1440" w:bottom="1440" w:gutter="0" w:footer="0" w:header="0"/>
          <w:type w:val="continuous"/>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1 -</w:t>
      </w:r>
      <w:r>
        <w:rPr>
          <w:sz w:val="20"/>
          <w:szCs w:val="20"/>
          <w:color w:val="auto"/>
        </w:rPr>
        <w:tab/>
      </w:r>
      <w:r>
        <w:rPr>
          <w:rFonts w:ascii="Arial" w:cs="Arial" w:eastAsia="Arial" w:hAnsi="Arial"/>
          <w:sz w:val="16"/>
          <w:szCs w:val="16"/>
          <w:b w:val="1"/>
          <w:bCs w:val="1"/>
          <w:color w:val="auto"/>
        </w:rPr>
        <w:t>Organization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22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is a developer, owner and operator of destination casino resorts (integrated resorts). In the Macau Special Administrative Region of the People's Republic of China ("Macau"), the Company owns approximately 72% of Wynn Macau, Limited ("WML"), which includes the operations of the Wynn Macau and Wynn Palace resorts (collectively, the "Macau Operations"). In Las Vegas, Nevada, the Company operates, and with the exception of the retail space described below, owns 100% of Wynn Las Vegas, which it also refers to as its Las Vegas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Macau Operations</w:t>
      </w:r>
    </w:p>
    <w:p>
      <w:pPr>
        <w:spacing w:after="0" w:line="225"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Wynn Macau features two luxury hotel towers with a total of 1,008 guest rooms and suites, approximately 281,000 square feet of casino space, eight food and beverage outlets, approximately 31,000 square feet of meeting and convention space, approximately 59,000 square feet of retail space, a rotunda show and recreation and leisure facilities.</w:t>
      </w:r>
    </w:p>
    <w:p>
      <w:pPr>
        <w:spacing w:after="0" w:line="181"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On August 22, 2016, the Company opened Wynn Palace, an integrated resort in the Cotai area of Macau. Wynn Palace features a luxury hotel with 1,706 guest rooms, suites and villas, approximately 420,000 square feet of casino space, 11 food and beverage outlets, approximately 37,000 square feet of meeting and convention space, approximately 106,000 square feet of retail space, public attractions, including a performance lake and floral art displays, and recreation and leisure facilities.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Las Vegas Operations</w:t>
      </w:r>
    </w:p>
    <w:p>
      <w:pPr>
        <w:spacing w:after="0" w:line="225" w:lineRule="exact"/>
        <w:rPr>
          <w:sz w:val="20"/>
          <w:szCs w:val="20"/>
          <w:color w:val="auto"/>
        </w:rPr>
      </w:pPr>
    </w:p>
    <w:p>
      <w:pPr>
        <w:jc w:val="both"/>
        <w:ind w:right="480" w:firstLine="405"/>
        <w:spacing w:after="0" w:line="286" w:lineRule="auto"/>
        <w:rPr>
          <w:sz w:val="20"/>
          <w:szCs w:val="20"/>
          <w:color w:val="auto"/>
        </w:rPr>
      </w:pPr>
      <w:r>
        <w:rPr>
          <w:rFonts w:ascii="Arial" w:cs="Arial" w:eastAsia="Arial" w:hAnsi="Arial"/>
          <w:sz w:val="17"/>
          <w:szCs w:val="17"/>
          <w:color w:val="auto"/>
        </w:rPr>
        <w:t>Wynn Las Vegas features two luxury hotel towers with a total of 4,748 guest rooms, suites and villas, approximately 189,000 square feet of casino space, 33 food and beverage outlets, an on-site 18-hole golf course, approximately 290,000 square feet of meeting and convention space, approximately 95,000 square feet of retail space, as well as two theaters, three nightclubs and a beach club, and recreation and leisure facilities.</w:t>
      </w:r>
    </w:p>
    <w:p>
      <w:pPr>
        <w:spacing w:after="0" w:line="166"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In December 2016, the Company formed a joint venture with Crown Acquisitions Inc. ("Crown") to own and operate approximately 88,000 square feet of existing retail space (of which the Company owns 50.1%) and signed an agreement with Crown to form a joint venture to own and operate approximately 73,000 square feet of additional retail space currently under construction at Wynn Las Vegas. The Company expects to open the majority of the additional retail space in the third quarter of 2018. For more information on the joint venture, see Note 3 "Retail Joint Venture."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Projects</w:t>
      </w:r>
    </w:p>
    <w:p>
      <w:pPr>
        <w:spacing w:after="0" w:line="225"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The Company is constructing Wynn Boston Harbor, an integrated resort in Everett, Massachusetts, adjacent to Boston along the Mystic River. The resort will contain a hotel, a waterfront boardwalk, meeting and convention space, casino space, a spa, retail offerings and food and beverage outlets. The Company expects to open Wynn Boston Harbor in mid-2019. Additionally, the Company is in the planning phase for the re-development of the Wynn Las Vegas golf course. Phase 1 of the project is expected to include a lagoon and additional meeting and convention space.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120" w:firstLine="432"/>
        <w:spacing w:after="0" w:line="253" w:lineRule="auto"/>
        <w:rPr>
          <w:sz w:val="20"/>
          <w:szCs w:val="20"/>
          <w:color w:val="auto"/>
        </w:rPr>
      </w:pPr>
      <w:r>
        <w:rPr>
          <w:rFonts w:ascii="Arial" w:cs="Arial" w:eastAsia="Arial" w:hAnsi="Arial"/>
          <w:sz w:val="18"/>
          <w:szCs w:val="18"/>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U.S. generally accepted accounting principles ("GAAP")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except as disclosed in Note 2 "Summary of Significant Accounting Policies: Prior Period Adjustments") necessary for a fair presentation of the results for the interim periods have been made. The results for the three and six months ended June 30, 2017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2016.</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62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2 -</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jc w:val="both"/>
        <w:ind w:right="120" w:firstLine="432"/>
        <w:spacing w:after="0" w:line="279" w:lineRule="auto"/>
        <w:rPr>
          <w:sz w:val="20"/>
          <w:szCs w:val="20"/>
          <w:color w:val="auto"/>
        </w:rPr>
      </w:pPr>
      <w:r>
        <w:rPr>
          <w:rFonts w:ascii="Arial" w:cs="Arial" w:eastAsia="Arial" w:hAnsi="Arial"/>
          <w:sz w:val="17"/>
          <w:szCs w:val="17"/>
          <w:color w:val="auto"/>
        </w:rPr>
        <w:t>The accompanying condensed consolidated financial statements include the accounts of the Company, its majority-owned subsidiaries and entities the Company identifies as a variable interest entity ("VIE") and of which the Company is determined to be the primary beneficiary. In April 2016, the Company dissolved its 50%-owned joint venture operating the Ferrari and Maserati automobile dealership inside Wynn Las Vegas, which was closed in October 2015 and was accounted for under the equity method. All intercompany accounts and transactions have been eliminated.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Cash and cash equivalents are comprised of highly liquid investments with original maturities of three months or less and include both U.S. dollar-denominated and foreign-currency denominated securities. Cash equivalents are carried at cost, which approximates fair value. Cash equivalents of $580.1 million and $1.11 billion as of June 30, 2017 and December 31, 2016, respectively, were invested in bank time deposits, money market funds and commercial paper. In addition, the Company held bank deposits and cash on hand of approximately $1.91 billion and $1.34 billion as of June 30, 2017 and December 31, 2016,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225"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Company's restricted cash consists of cash held in trust in accordance with WML's share award plan and additionally as of December 31, 2016, collateral associated with borrowings under a revolving credit facility.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w:t>
      </w:r>
    </w:p>
    <w:p>
      <w:pPr>
        <w:spacing w:after="0" w:line="225"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Investment securities consist of domestic and foreign short-term and long-term investments in corporate bonds and commercial paper reported at fair value, with unrealized gains and losses, net of tax, reported in other comprehensive income (loss). Short-term investments have a maturity date of less than one year and long-term investments are those with a maturity date greater than one year. The Company limits the amount of exposure to any one issuer with the objective of minimizing the potential risk of principal loss. Management determines the appropriate classification of its securities at the time of purchase and reevaluates such designation as of each balance sheet date. Adjustments are made for amortization of premiums and accretion of discounts to maturity computed under the effective interest method. Such amortization is included in interest income together with realized gains and losses and the stated interest on such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Credit Risk</w:t>
      </w:r>
    </w:p>
    <w:p>
      <w:pPr>
        <w:spacing w:after="0" w:line="225" w:lineRule="exact"/>
        <w:rPr>
          <w:sz w:val="20"/>
          <w:szCs w:val="20"/>
          <w:color w:val="auto"/>
        </w:rPr>
      </w:pPr>
    </w:p>
    <w:p>
      <w:pPr>
        <w:ind w:right="220" w:firstLine="432"/>
        <w:spacing w:after="0" w:line="302"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June 30, 2017 and December 31, 2016, approximately 84.5% and 88.1%, respectively, of the Company's markers were due from customers residing outside the United States, primarily in Asia. Business or economic conditions or other significant events in these countries could affect the collectability of such receivables.</w:t>
      </w:r>
    </w:p>
    <w:p>
      <w:pPr>
        <w:spacing w:after="0" w:line="154"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An estimated allowance for doubtful accounts is maintained to reduce the Company's receivables to their carrying amount, which approximates fair value. The allowance estimate reflects the specific review of outstanding customer and gaming promoter accounts as well as management's experience with historical and current collection trends and current economic and business conditions. Accounts are written off when management deems them to be uncollectible. Recoveries of accounts previously written off are recorded when received.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Derivative financial instruments are used to manage interest rate and foreign currency exposures. These derivative financial instruments include interest rate swaps and foreign currency forward contracts. The fair value of derivative financial instruments is recognized as an asset or liability at each balance sheet date, with changes in fair value affecting net income as the Company's derivative financial instruments do not qualify for hedge accounting.</w:t>
      </w:r>
    </w:p>
    <w:p>
      <w:pPr>
        <w:spacing w:after="0" w:line="200" w:lineRule="exact"/>
        <w:rPr>
          <w:sz w:val="20"/>
          <w:szCs w:val="20"/>
          <w:color w:val="auto"/>
        </w:rPr>
      </w:pPr>
    </w:p>
    <w:p>
      <w:pPr>
        <w:spacing w:after="0" w:line="3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62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Price Promissory Note</w:t>
      </w:r>
    </w:p>
    <w:p>
      <w:pPr>
        <w:spacing w:after="0" w:line="225"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The Redemption Price Promissory Note (the "Redemption Note") is recorded at fair value in accordance with applicable accounting guidance. As of June 30, 2017 and December 31, 2016, the fair value of the Redemption Note was $1.85 billion and $1.82 billion, respectively. In determining this fair value, the Company estimated the Redemption Note's present value using discounted cash flows with a probability weighted expected return for redemption assumptions and a discount rate, which included time value and non-performance risk adjustments commensurate with the risk of the Redemption Note.</w:t>
      </w:r>
    </w:p>
    <w:p>
      <w:pPr>
        <w:spacing w:after="0" w:line="154"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Considerations for the redemption assumptions included the stated maturity of the Redemption Note, uncertainty of the related cash flows, as well as potential effects of the following: uncertainties surrounding the potential outcome and timing of pending litigation with Aruze USA, Inc. ("Aruze"), Universal Entertainment Corporation and Mr. Kazuo Okada (collectively, the "Okada Parties") (see Note 14 "Commitments and Contingencies"); the outcome of ongoing investigations of Aruze by the U.S. Attorney's Office, the U.S. Department of Justice and the Nevada Gaming Control Board; and other potential legal and regulatory actions. In addition, in the furtherance of various future business objectives, the Company considered its ability, at its sole option, to prepay the Redemption Note at any time in accordance with its terms without penalty. Accordingly, the Company reasonably determined that the estimated life of the Redemption Note could be less than its contractual life.</w:t>
      </w:r>
    </w:p>
    <w:p>
      <w:pPr>
        <w:spacing w:after="0" w:line="178"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determining the appropriate discount rate to be used to calculate the estimated present value, the Company considered the Redemption Note's subordinated position and credit risk relative to all other debt in the Company's capital structure and credit ratings associated with the Company's traded debt. Observable inputs for the risk free rate were based on Federal Reserve rates for U.S. Treasury securities and the credit risk spread was based on a yield curve index of similarly rated debt.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22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70"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Casino revenues are measured by the aggregate net difference between gaming wins and losses. The commissions rebated directly or indirectly through games promoters to customers, cash discounts, other cash incentives and points earned by customers from the Company's loyalty programs are recorded as a reduction of casino revenues. Rooms, food and beverage, entertainment and other operating revenues are recognized when services are performed or events are held. Entertainment, retail and other revenue includes rental income, which is recognized on a time proportion basis over the lease term. Contingent rental income is recognized when the right to receive such rental income is established according to the lease agreements. Advance deposits on rooms and advance ticket sales are recorded as customer deposits until services are provided to the customer.</w:t>
      </w:r>
    </w:p>
    <w:p>
      <w:pPr>
        <w:spacing w:after="0" w:line="200" w:lineRule="exact"/>
        <w:rPr>
          <w:sz w:val="20"/>
          <w:szCs w:val="20"/>
          <w:color w:val="auto"/>
        </w:rPr>
      </w:pPr>
    </w:p>
    <w:p>
      <w:pPr>
        <w:spacing w:after="0" w:line="3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2" w:right="25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right="160" w:firstLine="405"/>
        <w:spacing w:after="0" w:line="308" w:lineRule="auto"/>
        <w:rPr>
          <w:sz w:val="20"/>
          <w:szCs w:val="20"/>
          <w:color w:val="auto"/>
        </w:rPr>
      </w:pPr>
      <w:r>
        <w:rPr>
          <w:rFonts w:ascii="Arial" w:cs="Arial" w:eastAsia="Arial" w:hAnsi="Arial"/>
          <w:sz w:val="17"/>
          <w:szCs w:val="17"/>
          <w:color w:val="auto"/>
        </w:rPr>
        <w:t>The retail value of rooms, food and beverage, entertainment and other services provided to guests without charge is included in gross revenues and are then deducted as promotional allowances. The estimated retail value of providing such promotional allowances is as follows (in thousands):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Rooms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64,853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42,714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129,981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86,434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Food and beverage</w:t>
            </w:r>
          </w:p>
        </w:tc>
        <w:tc>
          <w:tcPr>
            <w:tcW w:w="30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38,108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28,450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76,671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61,870</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Entertainment, retail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6,538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8,640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14,403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14,583</w:t>
            </w:r>
          </w:p>
        </w:tc>
      </w:tr>
      <w:tr>
        <w:trPr>
          <w:trHeight w:val="237"/>
        </w:trPr>
        <w:tc>
          <w:tcPr>
            <w:tcW w:w="56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109,499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79,804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221,055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162,887</w:t>
            </w: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estimated cost of providing such promotional allowances, which is included primarily in casino expenses,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Rooms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20,462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12,461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40,307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24,790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Food and beverage</w:t>
            </w:r>
          </w:p>
        </w:tc>
        <w:tc>
          <w:tcPr>
            <w:tcW w:w="30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33,981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23,970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68,309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51,579</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Entertainment, retail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4,939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3,114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10,970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6,846</w:t>
            </w:r>
          </w:p>
        </w:tc>
      </w:tr>
      <w:tr>
        <w:trPr>
          <w:trHeight w:val="237"/>
        </w:trPr>
        <w:tc>
          <w:tcPr>
            <w:tcW w:w="56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59,382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39,545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119,586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83,215</w:t>
            </w: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Taxes</w:t>
      </w:r>
    </w:p>
    <w:p>
      <w:pPr>
        <w:spacing w:after="0" w:line="225"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The Company is subject to taxes based on gross gaming revenues in the jurisdictions in which it operates, subject to applicable jurisdictional adjustments, which taxes are recorded as casino expenses in the accompanying Condensed Consolidated Statements of Income. These taxes totaled $516.1 million and $301.0 million for the three months ended June 30, 2017 and 2016, respectively, and $1.01 billion and $579.7 million for the six months ended June 30, 2017 and 2016,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Company measures certain of its financial assets and liabilities at fair value on a recurring basis pursuant to accounting standards for fair value measurements. Fair value is the price that would be received to sell an asset or paid to transfer a liability in an orderly transaction between market participants at the measurement date. These accounting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62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present assets and liabilities carried at fair value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jc w:val="center"/>
              <w:ind w:left="880"/>
              <w:spacing w:after="0"/>
              <w:rPr>
                <w:sz w:val="20"/>
                <w:szCs w:val="20"/>
                <w:color w:val="auto"/>
              </w:rPr>
            </w:pPr>
            <w:r>
              <w:rPr>
                <w:rFonts w:ascii="Arial" w:cs="Arial" w:eastAsia="Arial" w:hAnsi="Arial"/>
                <w:sz w:val="14"/>
                <w:szCs w:val="14"/>
                <w:b w:val="1"/>
                <w:bCs w:val="1"/>
                <w:color w:val="auto"/>
                <w:w w:val="93"/>
              </w:rPr>
              <w:t>Fair Value Measurements Using:</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3"/>
              </w:rPr>
              <w:t>Quoted</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Market</w:t>
            </w:r>
          </w:p>
        </w:tc>
        <w:tc>
          <w:tcPr>
            <w:tcW w:w="260" w:type="dxa"/>
            <w:vAlign w:val="bottom"/>
          </w:tcPr>
          <w:p>
            <w:pPr>
              <w:spacing w:after="0"/>
              <w:rPr>
                <w:sz w:val="12"/>
                <w:szCs w:val="12"/>
                <w:color w:val="auto"/>
              </w:rPr>
            </w:pPr>
          </w:p>
        </w:tc>
        <w:tc>
          <w:tcPr>
            <w:tcW w:w="1560" w:type="dxa"/>
            <w:vAlign w:val="bottom"/>
            <w:gridSpan w:val="3"/>
            <w:vMerge w:val="restart"/>
          </w:tcPr>
          <w:p>
            <w:pPr>
              <w:jc w:val="center"/>
              <w:ind w:right="600"/>
              <w:spacing w:after="0"/>
              <w:rPr>
                <w:sz w:val="20"/>
                <w:szCs w:val="20"/>
                <w:color w:val="auto"/>
              </w:rPr>
            </w:pPr>
            <w:r>
              <w:rPr>
                <w:rFonts w:ascii="Arial" w:cs="Arial" w:eastAsia="Arial" w:hAnsi="Arial"/>
                <w:sz w:val="14"/>
                <w:szCs w:val="14"/>
                <w:b w:val="1"/>
                <w:bCs w:val="1"/>
                <w:color w:val="auto"/>
                <w:w w:val="96"/>
              </w:rPr>
              <w:t>Other</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Prices in</w:t>
            </w:r>
          </w:p>
        </w:tc>
        <w:tc>
          <w:tcPr>
            <w:tcW w:w="26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24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June 30,</w:t>
            </w: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Active</w:t>
            </w:r>
          </w:p>
        </w:tc>
        <w:tc>
          <w:tcPr>
            <w:tcW w:w="260" w:type="dxa"/>
            <w:vAlign w:val="bottom"/>
          </w:tcPr>
          <w:p>
            <w:pPr>
              <w:spacing w:after="0"/>
              <w:rPr>
                <w:sz w:val="12"/>
                <w:szCs w:val="12"/>
                <w:color w:val="auto"/>
              </w:rPr>
            </w:pPr>
          </w:p>
        </w:tc>
        <w:tc>
          <w:tcPr>
            <w:tcW w:w="156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Markets</w:t>
            </w:r>
          </w:p>
        </w:tc>
        <w:tc>
          <w:tcPr>
            <w:tcW w:w="260" w:type="dxa"/>
            <w:vAlign w:val="bottom"/>
          </w:tcPr>
          <w:p>
            <w:pPr>
              <w:spacing w:after="0"/>
              <w:rPr>
                <w:sz w:val="12"/>
                <w:szCs w:val="12"/>
                <w:color w:val="auto"/>
              </w:rPr>
            </w:pPr>
          </w:p>
        </w:tc>
        <w:tc>
          <w:tcPr>
            <w:tcW w:w="15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Inputs</w:t>
            </w:r>
          </w:p>
        </w:tc>
        <w:tc>
          <w:tcPr>
            <w:tcW w:w="124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5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4"/>
              </w:rPr>
              <w:t>(Level 2)</w:t>
            </w:r>
          </w:p>
        </w:tc>
        <w:tc>
          <w:tcPr>
            <w:tcW w:w="1240" w:type="dxa"/>
            <w:vAlign w:val="bottom"/>
          </w:tcPr>
          <w:p>
            <w:pPr>
              <w:jc w:val="center"/>
              <w:ind w:right="176"/>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580,071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40"/>
              <w:spacing w:after="0"/>
              <w:rPr>
                <w:sz w:val="20"/>
                <w:szCs w:val="20"/>
                <w:color w:val="auto"/>
              </w:rPr>
            </w:pPr>
            <w:r>
              <w:rPr>
                <w:rFonts w:ascii="Arial" w:cs="Arial" w:eastAsia="Arial" w:hAnsi="Arial"/>
                <w:sz w:val="18"/>
                <w:szCs w:val="18"/>
                <w:color w:val="auto"/>
              </w:rPr>
              <w:t>4,655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575,416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312,632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312,632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2,412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2,412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Redemption Note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1,847,622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1,847,622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8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3100" w:type="dxa"/>
            <w:vAlign w:val="bottom"/>
            <w:tcBorders>
              <w:bottom w:val="single" w:sz="8" w:color="auto"/>
            </w:tcBorders>
            <w:gridSpan w:val="6"/>
            <w:shd w:val="clear" w:color="auto" w:fill="CCEEFF"/>
          </w:tcPr>
          <w:p>
            <w:pPr>
              <w:jc w:val="center"/>
              <w:ind w:left="880"/>
              <w:spacing w:after="0"/>
              <w:rPr>
                <w:sz w:val="20"/>
                <w:szCs w:val="20"/>
                <w:color w:val="auto"/>
              </w:rPr>
            </w:pPr>
            <w:r>
              <w:rPr>
                <w:rFonts w:ascii="Arial" w:cs="Arial" w:eastAsia="Arial" w:hAnsi="Arial"/>
                <w:sz w:val="14"/>
                <w:szCs w:val="14"/>
                <w:b w:val="1"/>
                <w:bCs w:val="1"/>
                <w:color w:val="auto"/>
                <w:w w:val="93"/>
              </w:rPr>
              <w:t>Fair Value Measurements Using:</w:t>
            </w:r>
          </w:p>
        </w:tc>
        <w:tc>
          <w:tcPr>
            <w:tcW w:w="12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3"/>
              </w:rPr>
              <w:t>Quoted</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Market</w:t>
            </w:r>
          </w:p>
        </w:tc>
        <w:tc>
          <w:tcPr>
            <w:tcW w:w="260" w:type="dxa"/>
            <w:vAlign w:val="bottom"/>
          </w:tcPr>
          <w:p>
            <w:pPr>
              <w:spacing w:after="0"/>
              <w:rPr>
                <w:sz w:val="12"/>
                <w:szCs w:val="12"/>
                <w:color w:val="auto"/>
              </w:rPr>
            </w:pPr>
          </w:p>
        </w:tc>
        <w:tc>
          <w:tcPr>
            <w:tcW w:w="1560" w:type="dxa"/>
            <w:vAlign w:val="bottom"/>
            <w:gridSpan w:val="3"/>
            <w:vMerge w:val="restart"/>
          </w:tcPr>
          <w:p>
            <w:pPr>
              <w:jc w:val="center"/>
              <w:ind w:right="600"/>
              <w:spacing w:after="0"/>
              <w:rPr>
                <w:sz w:val="20"/>
                <w:szCs w:val="20"/>
                <w:color w:val="auto"/>
              </w:rPr>
            </w:pPr>
            <w:r>
              <w:rPr>
                <w:rFonts w:ascii="Arial" w:cs="Arial" w:eastAsia="Arial" w:hAnsi="Arial"/>
                <w:sz w:val="14"/>
                <w:szCs w:val="14"/>
                <w:b w:val="1"/>
                <w:bCs w:val="1"/>
                <w:color w:val="auto"/>
                <w:w w:val="96"/>
              </w:rPr>
              <w:t>Other</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Prices in</w:t>
            </w:r>
          </w:p>
        </w:tc>
        <w:tc>
          <w:tcPr>
            <w:tcW w:w="26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24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Active</w:t>
            </w:r>
          </w:p>
        </w:tc>
        <w:tc>
          <w:tcPr>
            <w:tcW w:w="260" w:type="dxa"/>
            <w:vAlign w:val="bottom"/>
          </w:tcPr>
          <w:p>
            <w:pPr>
              <w:spacing w:after="0"/>
              <w:rPr>
                <w:sz w:val="12"/>
                <w:szCs w:val="12"/>
                <w:color w:val="auto"/>
              </w:rPr>
            </w:pPr>
          </w:p>
        </w:tc>
        <w:tc>
          <w:tcPr>
            <w:tcW w:w="156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Markets</w:t>
            </w:r>
          </w:p>
        </w:tc>
        <w:tc>
          <w:tcPr>
            <w:tcW w:w="260" w:type="dxa"/>
            <w:vAlign w:val="bottom"/>
          </w:tcPr>
          <w:p>
            <w:pPr>
              <w:spacing w:after="0"/>
              <w:rPr>
                <w:sz w:val="12"/>
                <w:szCs w:val="12"/>
                <w:color w:val="auto"/>
              </w:rPr>
            </w:pPr>
          </w:p>
        </w:tc>
        <w:tc>
          <w:tcPr>
            <w:tcW w:w="15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Inputs</w:t>
            </w:r>
          </w:p>
        </w:tc>
        <w:tc>
          <w:tcPr>
            <w:tcW w:w="124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5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4"/>
              </w:rPr>
              <w:t>(Level 2)</w:t>
            </w:r>
          </w:p>
        </w:tc>
        <w:tc>
          <w:tcPr>
            <w:tcW w:w="1240" w:type="dxa"/>
            <w:vAlign w:val="bottom"/>
          </w:tcPr>
          <w:p>
            <w:pPr>
              <w:jc w:val="center"/>
              <w:ind w:right="176"/>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1,106,606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40"/>
              <w:spacing w:after="0"/>
              <w:rPr>
                <w:sz w:val="20"/>
                <w:szCs w:val="20"/>
                <w:color w:val="auto"/>
              </w:rPr>
            </w:pPr>
            <w:r>
              <w:rPr>
                <w:rFonts w:ascii="Arial" w:cs="Arial" w:eastAsia="Arial" w:hAnsi="Arial"/>
                <w:sz w:val="18"/>
                <w:szCs w:val="18"/>
                <w:color w:val="auto"/>
              </w:rPr>
              <w:t>3,868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1,102,738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301,460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301,460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192,823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192,823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Redemption Note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1,819,359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1,819,359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and Adopted Accounting Standards</w:t>
      </w:r>
    </w:p>
    <w:p>
      <w:pPr>
        <w:spacing w:after="0" w:line="225"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In November 2016, the Financial Accounting Standards Board ("FASB") issued an accounting standards update that changes the classification of restricted cash in the statement of cash flows. The new guidance requires that amounts generally described as restricted cash or restricted cash equivalents should be included with cash and cash equivalents when reconciling the beginning-of-period and end-of-period total amounts shown on the statement of cash flows. This guidance is effective for financial statements with fiscal years beginning after December 15, 2017, and interim periods within those fiscal periods and early adoption is permitted. The new guidance should be adopted on a retrospective basis. The Company is currently assessing the impact the adoption of this standard will have on its consolidated financial statements.</w:t>
      </w:r>
    </w:p>
    <w:p>
      <w:pPr>
        <w:spacing w:after="0" w:line="178" w:lineRule="exact"/>
        <w:rPr>
          <w:sz w:val="20"/>
          <w:szCs w:val="20"/>
          <w:color w:val="auto"/>
        </w:rPr>
      </w:pPr>
    </w:p>
    <w:p>
      <w:pPr>
        <w:jc w:val="both"/>
        <w:ind w:right="160" w:firstLine="405"/>
        <w:spacing w:after="0" w:line="257" w:lineRule="auto"/>
        <w:rPr>
          <w:sz w:val="20"/>
          <w:szCs w:val="20"/>
          <w:color w:val="auto"/>
        </w:rPr>
      </w:pPr>
      <w:r>
        <w:rPr>
          <w:rFonts w:ascii="Arial" w:cs="Arial" w:eastAsia="Arial" w:hAnsi="Arial"/>
          <w:sz w:val="18"/>
          <w:szCs w:val="18"/>
          <w:color w:val="auto"/>
        </w:rPr>
        <w:t>In October 2016, the FASB issued an accounting standards update to require the recognition of the income tax consequences of an intra-entity transfer of an asset, other than inventory, when the transfer occurs, rather than deferring such recognition until the asset is sold to an outside party. This guidance is effective for financial statements with fiscal years beginning after December 15, 2017, and interim periods within those fiscal periods and early adoption is permitted. The amendments in the new guidance should be adopted on a retrospective basis. The Company is currently assessing the impact the adoption of this standard will have on its consolidated financial statements.</w:t>
      </w:r>
    </w:p>
    <w:p>
      <w:pPr>
        <w:spacing w:after="0" w:line="188"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In August 2016, the FASB issued an accounting standards update that clarifies the classification of certain cash receipts and cash payments on the statement of cash flows. In particular, the new guidance clarifies the classification related to several</w:t>
      </w:r>
    </w:p>
    <w:p>
      <w:pPr>
        <w:sectPr>
          <w:pgSz w:w="11900" w:h="16838" w:orient="portrait"/>
          <w:cols w:equalWidth="0" w:num="1">
            <w:col w:w="11400"/>
          </w:cols>
          <w:pgMar w:left="240" w:top="122" w:right="259" w:bottom="1440" w:gutter="0" w:footer="0" w:header="0"/>
        </w:sectPr>
      </w:pPr>
    </w:p>
    <w:p>
      <w:pPr>
        <w:spacing w:after="0" w:line="36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40" w:top="122" w:right="25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300" w:right="258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types of cash flows; including items such as debt extinguishment costs and distributions received from equity method investees. The new guidance also provides a three-step approach for classifying cash receipts and payments that have aspects of more than one class of cash flows. This guidance is effective for financial statements with fiscal years beginning after December 15, 2017, and interim periods within those fiscal periods and early adoption is permitted. The Company is currently assessing the impact the adoption of this standard will have on its consolidated financial statements.</w:t>
      </w:r>
    </w:p>
    <w:p>
      <w:pPr>
        <w:spacing w:after="0" w:line="154" w:lineRule="exact"/>
        <w:rPr>
          <w:sz w:val="20"/>
          <w:szCs w:val="20"/>
          <w:color w:val="auto"/>
        </w:rPr>
      </w:pPr>
    </w:p>
    <w:p>
      <w:pPr>
        <w:ind w:right="140" w:firstLine="405"/>
        <w:spacing w:after="0" w:line="312" w:lineRule="auto"/>
        <w:rPr>
          <w:sz w:val="20"/>
          <w:szCs w:val="20"/>
          <w:color w:val="auto"/>
        </w:rPr>
      </w:pPr>
      <w:r>
        <w:rPr>
          <w:rFonts w:ascii="Arial" w:cs="Arial" w:eastAsia="Arial" w:hAnsi="Arial"/>
          <w:sz w:val="16"/>
          <w:szCs w:val="16"/>
          <w:color w:val="auto"/>
        </w:rPr>
        <w:t>In March 2016, the FASB issued an accounting standards update that involves several aspects of the accounting for share-based payment transactions, including income tax consequences, classification of awards as either equity or liabilities, and classification on the statement of cash flows. The Company adopted the guidance on January 1, 2017 with the following amendments having an impact to the Company’s consolidated financial statements:</w:t>
      </w:r>
    </w:p>
    <w:p>
      <w:pPr>
        <w:spacing w:after="0" w:line="147" w:lineRule="exact"/>
        <w:rPr>
          <w:sz w:val="20"/>
          <w:szCs w:val="20"/>
          <w:color w:val="auto"/>
        </w:rPr>
      </w:pPr>
    </w:p>
    <w:p>
      <w:pPr>
        <w:jc w:val="both"/>
        <w:ind w:left="660" w:right="14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u w:val="single" w:color="auto"/>
          <w:color w:val="auto"/>
        </w:rPr>
        <w:t>Accounting for income taxes</w:t>
      </w:r>
      <w:r>
        <w:rPr>
          <w:rFonts w:ascii="Arial" w:cs="Arial" w:eastAsia="Arial" w:hAnsi="Arial"/>
          <w:sz w:val="18"/>
          <w:szCs w:val="18"/>
          <w:color w:val="auto"/>
        </w:rPr>
        <w:t>. Under the new guidance, income tax benefits and deficiencies will be recognized as income tax expense or benefit in</w:t>
      </w:r>
      <w:r>
        <w:rPr>
          <w:rFonts w:ascii="Arial" w:cs="Arial" w:eastAsia="Arial" w:hAnsi="Arial"/>
          <w:sz w:val="18"/>
          <w:szCs w:val="18"/>
          <w:i w:val="1"/>
          <w:iCs w:val="1"/>
          <w:color w:val="auto"/>
        </w:rPr>
        <w:t xml:space="preserve"> </w:t>
      </w:r>
      <w:r>
        <w:rPr>
          <w:rFonts w:ascii="Arial" w:cs="Arial" w:eastAsia="Arial" w:hAnsi="Arial"/>
          <w:sz w:val="18"/>
          <w:szCs w:val="18"/>
          <w:color w:val="auto"/>
        </w:rPr>
        <w:t>the income statement and the tax effects of exercised or vested awards will be treated as discrete items in the reporting period in which they occur. The amendment was applied prospectively.</w:t>
      </w:r>
    </w:p>
    <w:p>
      <w:pPr>
        <w:spacing w:after="0" w:line="181" w:lineRule="exact"/>
        <w:rPr>
          <w:rFonts w:ascii="Arial" w:cs="Arial" w:eastAsia="Arial" w:hAnsi="Arial"/>
          <w:sz w:val="18"/>
          <w:szCs w:val="18"/>
          <w:color w:val="auto"/>
        </w:rPr>
      </w:pPr>
    </w:p>
    <w:p>
      <w:pPr>
        <w:ind w:left="660" w:right="60" w:hanging="328"/>
        <w:spacing w:after="0" w:line="30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i w:val="1"/>
          <w:iCs w:val="1"/>
          <w:u w:val="single" w:color="auto"/>
          <w:color w:val="auto"/>
        </w:rPr>
        <w:t>Forfeitures.</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elected to make an accounting policy change to account for forfeitures when they occur. The Company applied the</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using the modified retrospective transition method, which resulted in a cumulative-effect expense adjustment of $2.7 million, net of tax to retained earnings as of December 31, 2016. The adjustment represents the impact of estimated forfeitures on previously recorded compensation expense as of December 31, 2016 from outstanding stock options and unvested share awards under the previous accounting policy.</w:t>
      </w:r>
    </w:p>
    <w:p>
      <w:pPr>
        <w:spacing w:after="0" w:line="154" w:lineRule="exact"/>
        <w:rPr>
          <w:rFonts w:ascii="Arial" w:cs="Arial" w:eastAsia="Arial" w:hAnsi="Arial"/>
          <w:sz w:val="16"/>
          <w:szCs w:val="16"/>
          <w:color w:val="auto"/>
        </w:rPr>
      </w:pPr>
    </w:p>
    <w:p>
      <w:pPr>
        <w:ind w:left="660" w:right="4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u w:val="single" w:color="auto"/>
          <w:color w:val="auto"/>
        </w:rPr>
        <w:t>Classification of excess tax benefits on the cash flow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new guidance, excess tax benefits will be classified along with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cash flows as an operating activity. The amendment was applied prospectively.</w:t>
      </w:r>
    </w:p>
    <w:p>
      <w:pPr>
        <w:spacing w:after="0" w:line="170"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In February 2016, the FASB issued an accounting standards update that changes the accounting for leases and requires expanded disclosures about leasing activities. Under the new guidance, lessees will be required to recognize a right-of-use asset and lease liability, measured on a discounted basis, at the commencement date for all leases with terms greater than 12 months. Lessor accounting will remain largely unchanged, other than certain targeted improvements intended to align lessor accounting with the lessee accounting model and with the updated revenue recognition guidance issued in 2014. Lessees and lessors are required to apply a modified retrospective transition approach for leases existing at the beginning of the earliest comparative period presented in the adoption-period financial statements. This guidance is effective for financial statements with fiscal years beginning after December 15, 2018, including interim periods within those fiscal years and early adoption is permitted. The Company is currently assessing the impact the adoption of this standard will have on its consolidated financial statements.</w:t>
      </w:r>
    </w:p>
    <w:p>
      <w:pPr>
        <w:spacing w:after="0" w:line="179"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In January 2016, the FASB issued an accounting standards update requiring all equity investments to be measured at fair value with changes in fair value recognized through net income (other than those accounted for under the equity method of accounting or those that result in consolidation of the investee). The update also requires an entity to present separately in other comprehensive income the portion of the total change in the fair value of a liability resulting from a change in the instrument-specific credit risk when the entity has elected to measure the liability at fair value in accordance with the fair value option for financial instruments. This update eliminates the requirement to disclose the methods and significant assumptions used to estimate the fair value that is required to be disclosed for financial instruments measured at amortized cost on the balance sheet for public business entities. This guidance is effective for financial statements with fiscal years beginning after December 15, 2017, and interim periods within those fiscal periods and early adoption is permitted. The Company is currently assessing the impact the adoption of this new standard will have on its consolidated financial statements. The Company expects a portion of the change in its Redemption Note fair value currently included in the Consolidated Statements of Income will be recorded in accumulated other comprehensive income on its Consolidated Balance Sheet.</w:t>
      </w:r>
    </w:p>
    <w:p>
      <w:pPr>
        <w:spacing w:after="0" w:line="178"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In May 2014, the FASB issued an accounting standards update that amends the FASB Accounting Standards Codification and creates a new topic for Revenue from Contracts with Customers. The new guidance is expected to clarify the principles for revenue recognition and to develop a common revenue standard for GAAP applicable to revenue transactions. This guidance provides that an entity should recognize revenue to depict the transfer of promised goods or services to customers in an amount that reflects the consideration to which the entity expects to be entitled in exchange for those goods and services. This guidance also provides substantial revision of interim and annual disclosures. The update allows for either full retrospective adoption, meaning the guidance is applied for all periods presented, or modified retrospective adoption, meaning the guidance is applied only to the most current period presented in the financial statements with the cumulative effect of initially applying the guidance recognized at the date of initial application. In August 2015, the FASB issued an accounting standards update that defers the effective date of the new revenue recognition accounting guidance by one year, to annual and interim periods</w:t>
      </w:r>
    </w:p>
    <w:p>
      <w:pPr>
        <w:spacing w:after="0" w:line="38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122" w:right="29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80" w:right="260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beginning after December 15, 2017. Early application is permitted for annual and interim periods beginning after December 15, 2016. The Company will adopt this standard effective January 1, 2018. The Company is currently assessing the impact the adoption of this standard will have on its consolidated financial statements. The Company expects the goods and services provided to customers without charge currently included in both gross revenues and promotional allowances in the accompanying Condensed Consolidated Statements of Income will be presented on a net basis with the majority of the impact resulting in a decrease in casino revenues.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Period Adjustments</w:t>
      </w:r>
    </w:p>
    <w:p>
      <w:pPr>
        <w:spacing w:after="0" w:line="225"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During the three months ended March 31, 2016, the Company identified $25.6 million of additional interest that should have been capitalized instead of being expensed during the years ended December 31, 2015 and 2014. Considering both quantitative and qualitative factors, the Company determined the amounts were immaterial to any previously issued financial statements and immaterial to the full year results for 2016. Accordingly, the Company corrected these immaterial amounts during the first quarter of the six months ended June 30, 2016, resulting in a decrease to interest expense of $25.6 million and increases to net income attributable to Wynn Resorts, Limited of $18.5 million and basic and diluted net income per common share of $0.18.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Retail Joint Venture</w:t>
      </w:r>
    </w:p>
    <w:p>
      <w:pPr>
        <w:spacing w:after="0" w:line="229"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In December 2016, the Company formed a joint venture (the "Retail Joint Venture") with Crown to own and operate approximately 88,000 square feet of existing retail space at Wynn Las Vegas. In connection with the transaction, the Company transferred certain assets and liabilities with a net book value of $31.8 million associated with the existing Wynn Las Vegas retail stores from Wynn Las Vegas, LLC, to the Retail Joint Venture. The Company sold Crown a 49.9% ownership interest in the Retail Joint Venture for $217.0 million in cash and a $75.0 million interest-free note that matures in full on January 3, 2018. As of June 30, 2017, the present value of the note was $73.7 million and is included in prepaid expenses and other on the Condensed Consolidated Balance Sheets. As of December 31, 2016, the present value of the note was $72.5 million and was included in other assets on the Consolidated Balance Sheets. Wynn Las Vegas, LLC transferred all interests as lessor in third-party retail store leases to the Retail Joint Venture as part of the transaction and the majority of the retail stores previously operated by Wynn Las Vegas, LLC are now operated under a master lease agreement between a newly formed retail entity owned by Wynn Resorts, as lessee, and the Retail Joint Venture, as lessor. The Company maintains a 50.1% ownership in the Retail Joint Venture and is the managing member. The Company’s responsibilities with respect to the Retail Joint Venture include day-to-day business operations, property management services and a role in the leasing decisions of the retail space.</w:t>
      </w:r>
    </w:p>
    <w:p>
      <w:pPr>
        <w:spacing w:after="0" w:line="183"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Also in December 2016, the Company entered into an agreement with Crown to form a joint venture that will own approximately 73,000 square feet of additional retail space that is currently under construction at Wynn Las Vegas. Crown is expected to pay the Company $180.0 million for a 49.9% ownership interest in the new joint venture prior to the opening for business.</w:t>
      </w:r>
    </w:p>
    <w:p>
      <w:pPr>
        <w:spacing w:after="0" w:line="181"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The Company concluded that the Retail Joint Venture is a VIE and the Company is the primary beneficiary based on its involvement in the leasing activities of the Retail Joint Venture. As a result, the Company consolidates all of the Retail Joint Venture’s assets, liabilities and results of operations. The Company will evaluate its primary beneficiary designation on an ongoing basis and will assess the appropriateness of the Retail Joint Venture’s VIE status when changes occur.</w:t>
      </w:r>
    </w:p>
    <w:p>
      <w:pPr>
        <w:spacing w:after="0" w:line="187"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As of June 30, 2017 and December 31, 2016, the Retail Joint Venture had total assets of $39.8 million and $33.6 million, respectively, and total liabilities of $0.7 million and $2.1 million, respectively.</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4 -</w:t>
      </w:r>
      <w:r>
        <w:rPr>
          <w:sz w:val="20"/>
          <w:szCs w:val="20"/>
          <w:color w:val="auto"/>
        </w:rPr>
        <w:tab/>
      </w:r>
      <w:r>
        <w:rPr>
          <w:rFonts w:ascii="Arial" w:cs="Arial" w:eastAsia="Arial" w:hAnsi="Arial"/>
          <w:sz w:val="16"/>
          <w:szCs w:val="16"/>
          <w:b w:val="1"/>
          <w:bCs w:val="1"/>
          <w:color w:val="auto"/>
        </w:rPr>
        <w:t>Earnings Per Share</w:t>
      </w:r>
    </w:p>
    <w:p>
      <w:pPr>
        <w:spacing w:after="0" w:line="229"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Basic earnings per share ("EPS") is computed by dividing net income attributable to Wynn Resorts, Limited by the weighted average number of common shares outstanding during the period. Diluted EPS is computed by dividing net income attributable to Wynn Resorts, Limited by the weighted average number of common shares outstanding during the period increased to include the number of additional shares of common stock that would have been outstanding if the potential dilutive securities had been issued. Potentially dilutive securities include outstanding stock options and unvested restricted stock.</w:t>
      </w:r>
    </w:p>
    <w:p>
      <w:pPr>
        <w:spacing w:after="0" w:line="200" w:lineRule="exact"/>
        <w:rPr>
          <w:sz w:val="20"/>
          <w:szCs w:val="20"/>
          <w:color w:val="auto"/>
        </w:rPr>
      </w:pPr>
    </w:p>
    <w:p>
      <w:pPr>
        <w:spacing w:after="0" w:line="36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122" w:right="27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weighted average number of common and common equivalent shares used in the calculation of basic and diluted EPS consisted of the following (in thousands, except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Net income attributable to Wynn Resorts, Limited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74,916</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70,391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175,731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145,612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6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101,944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101,438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101,851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101,415</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Potential dilutive effect of stock options and restricted stock</w:t>
            </w:r>
          </w:p>
        </w:tc>
        <w:tc>
          <w:tcPr>
            <w:tcW w:w="3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2"/>
              </w:rPr>
              <w:t>Weighted average common and common equivalent shares outstanding</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102,494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101,881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102,274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101,792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6"/>
              </w:rPr>
              <w:t>Net income attributable to Wynn Resorts, Limited per common share,</w:t>
            </w: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0.73</w:t>
            </w:r>
          </w:p>
        </w:tc>
        <w:tc>
          <w:tcPr>
            <w:tcW w:w="120" w:type="dxa"/>
            <w:vAlign w:val="bottom"/>
            <w:shd w:val="clear" w:color="auto" w:fill="CCEEFF"/>
          </w:tcPr>
          <w:p>
            <w:pPr>
              <w:spacing w:after="0"/>
              <w:rPr>
                <w:sz w:val="19"/>
                <w:szCs w:val="19"/>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0.69</w:t>
            </w:r>
          </w:p>
        </w:tc>
        <w:tc>
          <w:tcPr>
            <w:tcW w:w="100" w:type="dxa"/>
            <w:vAlign w:val="bottom"/>
            <w:shd w:val="clear" w:color="auto" w:fill="CCEEFF"/>
          </w:tcPr>
          <w:p>
            <w:pPr>
              <w:spacing w:after="0"/>
              <w:rPr>
                <w:sz w:val="19"/>
                <w:szCs w:val="19"/>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9"/>
                <w:szCs w:val="19"/>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ind w:left="280"/>
              <w:spacing w:after="0"/>
              <w:rPr>
                <w:sz w:val="20"/>
                <w:szCs w:val="20"/>
                <w:color w:val="auto"/>
              </w:rPr>
            </w:pPr>
            <w:r>
              <w:rPr>
                <w:rFonts w:ascii="Arial" w:cs="Arial" w:eastAsia="Arial" w:hAnsi="Arial"/>
                <w:sz w:val="18"/>
                <w:szCs w:val="18"/>
                <w:color w:val="auto"/>
                <w:w w:val="96"/>
              </w:rPr>
              <w:t>Net income attributable to Wynn Resorts, Limited per common share,</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620" w:type="dxa"/>
            <w:vAlign w:val="bottom"/>
            <w:vMerge w:val="continue"/>
          </w:tcPr>
          <w:p>
            <w:pPr>
              <w:spacing w:after="0"/>
              <w:rPr>
                <w:sz w:val="16"/>
                <w:szCs w:val="16"/>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ind w:right="14"/>
              <w:spacing w:after="0"/>
              <w:rPr>
                <w:sz w:val="20"/>
                <w:szCs w:val="20"/>
                <w:color w:val="auto"/>
              </w:rPr>
            </w:pPr>
            <w:r>
              <w:rPr>
                <w:rFonts w:ascii="Arial" w:cs="Arial" w:eastAsia="Arial" w:hAnsi="Arial"/>
                <w:sz w:val="18"/>
                <w:szCs w:val="18"/>
                <w:color w:val="auto"/>
              </w:rPr>
              <w:t>0.73</w:t>
            </w:r>
          </w:p>
        </w:tc>
        <w:tc>
          <w:tcPr>
            <w:tcW w:w="120" w:type="dxa"/>
            <w:vAlign w:val="bottom"/>
          </w:tcPr>
          <w:p>
            <w:pPr>
              <w:spacing w:after="0"/>
              <w:rPr>
                <w:sz w:val="16"/>
                <w:szCs w:val="16"/>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ind w:right="32"/>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16"/>
                <w:szCs w:val="16"/>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ind w:right="14"/>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6"/>
                <w:szCs w:val="16"/>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ind w:right="12"/>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7"/>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6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80"/>
              <w:spacing w:after="0"/>
              <w:rPr>
                <w:sz w:val="20"/>
                <w:szCs w:val="20"/>
                <w:color w:val="auto"/>
              </w:rPr>
            </w:pPr>
            <w:r>
              <w:rPr>
                <w:rFonts w:ascii="Arial" w:cs="Arial" w:eastAsia="Arial" w:hAnsi="Arial"/>
                <w:sz w:val="18"/>
                <w:szCs w:val="18"/>
                <w:color w:val="auto"/>
              </w:rPr>
              <w:t>Anti-dilutive stock options and restricted stock excluded from the</w:t>
            </w:r>
          </w:p>
        </w:tc>
        <w:tc>
          <w:tcPr>
            <w:tcW w:w="300" w:type="dxa"/>
            <w:vAlign w:val="bottom"/>
          </w:tcPr>
          <w:p>
            <w:pPr>
              <w:spacing w:after="0"/>
              <w:rPr>
                <w:sz w:val="19"/>
                <w:szCs w:val="19"/>
                <w:color w:val="auto"/>
              </w:rPr>
            </w:pPr>
          </w:p>
        </w:tc>
        <w:tc>
          <w:tcPr>
            <w:tcW w:w="1080" w:type="dxa"/>
            <w:vAlign w:val="bottom"/>
            <w:vMerge w:val="restart"/>
          </w:tcPr>
          <w:p>
            <w:pPr>
              <w:jc w:val="right"/>
              <w:ind w:right="14"/>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restart"/>
          </w:tcPr>
          <w:p>
            <w:pPr>
              <w:jc w:val="right"/>
              <w:ind w:right="32"/>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vMerge w:val="restart"/>
          </w:tcPr>
          <w:p>
            <w:pPr>
              <w:jc w:val="right"/>
              <w:ind w:right="14"/>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restart"/>
          </w:tcPr>
          <w:p>
            <w:pPr>
              <w:jc w:val="right"/>
              <w:ind w:right="12"/>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8"/>
                <w:szCs w:val="18"/>
                <w:color w:val="auto"/>
              </w:rPr>
              <w:t>calculation of diluted net income per share</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5 -</w:t>
      </w:r>
      <w:r>
        <w:rPr>
          <w:sz w:val="20"/>
          <w:szCs w:val="20"/>
          <w:color w:val="auto"/>
        </w:rPr>
        <w:tab/>
      </w:r>
      <w:r>
        <w:rPr>
          <w:rFonts w:ascii="Arial" w:cs="Arial" w:eastAsia="Arial" w:hAnsi="Arial"/>
          <w:sz w:val="16"/>
          <w:szCs w:val="16"/>
          <w:b w:val="1"/>
          <w:bCs w:val="1"/>
          <w:color w:val="auto"/>
        </w:rPr>
        <w:t>Accumulated Other Comprehensive Income (Loss)</w:t>
      </w:r>
    </w:p>
    <w:p>
      <w:pPr>
        <w:spacing w:after="0" w:line="229"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following table presents the changes by component, net of tax and noncontrolling interests, in accumulated other comprehensive income (loss) of the Company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4"/>
                <w:szCs w:val="14"/>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4"/>
                <w:szCs w:val="14"/>
                <w:color w:val="auto"/>
              </w:rPr>
            </w:pPr>
          </w:p>
        </w:tc>
        <w:tc>
          <w:tcPr>
            <w:tcW w:w="1280" w:type="dxa"/>
            <w:vAlign w:val="bottom"/>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other</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currency</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loss on investment</w:t>
            </w:r>
          </w:p>
        </w:tc>
        <w:tc>
          <w:tcPr>
            <w:tcW w:w="200" w:type="dxa"/>
            <w:vAlign w:val="bottom"/>
          </w:tcPr>
          <w:p>
            <w:pPr>
              <w:spacing w:after="0"/>
              <w:rPr>
                <w:sz w:val="12"/>
                <w:szCs w:val="12"/>
                <w:color w:val="auto"/>
              </w:rPr>
            </w:pPr>
          </w:p>
        </w:tc>
        <w:tc>
          <w:tcPr>
            <w:tcW w:w="128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translation</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securities</w:t>
            </w:r>
          </w:p>
        </w:tc>
        <w:tc>
          <w:tcPr>
            <w:tcW w:w="200" w:type="dxa"/>
            <w:vAlign w:val="bottom"/>
          </w:tcPr>
          <w:p>
            <w:pPr>
              <w:spacing w:after="0"/>
              <w:rPr>
                <w:sz w:val="16"/>
                <w:szCs w:val="16"/>
                <w:color w:val="auto"/>
              </w:rPr>
            </w:pPr>
          </w:p>
        </w:tc>
        <w:tc>
          <w:tcPr>
            <w:tcW w:w="1280" w:type="dxa"/>
            <w:vAlign w:val="bottom"/>
          </w:tcPr>
          <w:p>
            <w:pPr>
              <w:jc w:val="center"/>
              <w:ind w:right="120"/>
              <w:spacing w:after="0"/>
              <w:rPr>
                <w:sz w:val="20"/>
                <w:szCs w:val="20"/>
                <w:color w:val="auto"/>
              </w:rPr>
            </w:pPr>
            <w:r>
              <w:rPr>
                <w:rFonts w:ascii="Arial" w:cs="Arial" w:eastAsia="Arial" w:hAnsi="Arial"/>
                <w:sz w:val="14"/>
                <w:szCs w:val="14"/>
                <w:b w:val="1"/>
                <w:bCs w:val="1"/>
                <w:color w:val="auto"/>
                <w:w w:val="88"/>
              </w:rPr>
              <w:t>income (loss)</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2,213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Current period other comprehensive income (loss)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6 -</w:t>
      </w:r>
      <w:r>
        <w:rPr>
          <w:sz w:val="20"/>
          <w:szCs w:val="20"/>
          <w:color w:val="auto"/>
        </w:rPr>
        <w:tab/>
      </w:r>
      <w:r>
        <w:rPr>
          <w:rFonts w:ascii="Arial" w:cs="Arial" w:eastAsia="Arial" w:hAnsi="Arial"/>
          <w:sz w:val="16"/>
          <w:szCs w:val="16"/>
          <w:b w:val="1"/>
          <w:bCs w:val="1"/>
          <w:color w:val="auto"/>
        </w:rPr>
        <w:t>Investment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Investment securities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June 30, 2017</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December 31, 2016</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Fair value</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860" w:type="dxa"/>
            <w:vAlign w:val="bottom"/>
          </w:tcPr>
          <w:p>
            <w:pPr>
              <w:jc w:val="center"/>
              <w:ind w:right="80"/>
              <w:spacing w:after="0" w:line="153" w:lineRule="exact"/>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(net</w:t>
            </w:r>
          </w:p>
        </w:tc>
        <w:tc>
          <w:tcPr>
            <w:tcW w:w="14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(net</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86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cost</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gains</w:t>
            </w: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7"/>
              </w:rPr>
              <w:t>losses</w:t>
            </w:r>
          </w:p>
        </w:tc>
        <w:tc>
          <w:tcPr>
            <w:tcW w:w="16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cost</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gains</w:t>
            </w: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7"/>
              </w:rPr>
              <w:t>losses</w:t>
            </w:r>
          </w:p>
        </w:tc>
        <w:tc>
          <w:tcPr>
            <w:tcW w:w="160" w:type="dxa"/>
            <w:vAlign w:val="bottom"/>
          </w:tcPr>
          <w:p>
            <w:pPr>
              <w:spacing w:after="0"/>
              <w:rPr>
                <w:sz w:val="16"/>
                <w:szCs w:val="16"/>
                <w:color w:val="auto"/>
              </w:rPr>
            </w:pPr>
          </w:p>
        </w:tc>
        <w:tc>
          <w:tcPr>
            <w:tcW w:w="860" w:type="dxa"/>
            <w:vAlign w:val="bottom"/>
          </w:tcPr>
          <w:p>
            <w:pPr>
              <w:jc w:val="center"/>
              <w:ind w:right="10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5"/>
        </w:trPr>
        <w:tc>
          <w:tcPr>
            <w:tcW w:w="2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Domestic and foreign corporate</w:t>
            </w: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290,330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289,657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245,425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244,724</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22,873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ind w:left="50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20"/>
              <w:spacing w:after="0"/>
              <w:rPr>
                <w:sz w:val="20"/>
                <w:szCs w:val="20"/>
                <w:color w:val="auto"/>
              </w:rPr>
            </w:pPr>
            <w:r>
              <w:rPr>
                <w:rFonts w:ascii="Arial" w:cs="Arial" w:eastAsia="Arial" w:hAnsi="Arial"/>
                <w:sz w:val="18"/>
                <w:szCs w:val="18"/>
                <w:color w:val="auto"/>
              </w:rPr>
              <w:t>22,975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56,764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20"/>
              <w:spacing w:after="0"/>
              <w:rPr>
                <w:sz w:val="20"/>
                <w:szCs w:val="20"/>
                <w:color w:val="auto"/>
              </w:rPr>
            </w:pPr>
            <w:r>
              <w:rPr>
                <w:rFonts w:ascii="Arial" w:cs="Arial" w:eastAsia="Arial" w:hAnsi="Arial"/>
                <w:sz w:val="18"/>
                <w:szCs w:val="18"/>
                <w:color w:val="auto"/>
              </w:rPr>
              <w:t>56,736</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313,203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312,632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302,189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301,460</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firstLine="432"/>
        <w:spacing w:after="0" w:line="311" w:lineRule="auto"/>
        <w:rPr>
          <w:sz w:val="20"/>
          <w:szCs w:val="20"/>
          <w:color w:val="auto"/>
        </w:rPr>
      </w:pPr>
      <w:r>
        <w:rPr>
          <w:rFonts w:ascii="Arial" w:cs="Arial" w:eastAsia="Arial" w:hAnsi="Arial"/>
          <w:sz w:val="18"/>
          <w:szCs w:val="18"/>
          <w:color w:val="auto"/>
        </w:rPr>
        <w:t>For investments with unrealized losses as of June 30, 2017 and December 31, 2016, the Company has determined that it does not have the intent to sell any of these investments and it is not likely that the Company will be required to sell these investments prior to the recovery of the amortized cost. Accordingly, the Company has determined that no other-than-temporary impairments exist at the reporting dates.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2" w:right="2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The Company obtains pricing information in determining the fair value of its available-for-sale securities from independent pricing vendors. Based on management's inquiries, the pricing vendors use various pricing models consistent with what other market participants would use. The assumptions and inputs used by the pricing vendors are derived from market observable sources including: reported trades, broker/dealer quotes, issuer spreads, benchmark curves, bids, offers and other market-related data. The Company has not made adjustments to such prices. Each quarter, the Company validates the fair value pricing methodology to determine the fair value is consistent with applicable accounting guidance and to confirm that the securities are classified properly in the fair value hierarchy. The Company compares the pricing received from its vendors to independent sources for the same or similar securities.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values of these investment securities as of June 30, 2017, by contractual maturity,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Available-for-sale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Due in one year or less</w:t>
            </w:r>
          </w:p>
        </w:tc>
        <w:tc>
          <w:tcPr>
            <w:tcW w:w="30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136,202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one year through two years</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122,296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Due after two years through three years</w:t>
            </w: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54,134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312,632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7 -  Receivables, net</w:t>
            </w: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tcPr>
          <w:p>
            <w:pPr>
              <w:ind w:left="420"/>
              <w:spacing w:after="0"/>
              <w:rPr>
                <w:sz w:val="20"/>
                <w:szCs w:val="20"/>
                <w:color w:val="auto"/>
              </w:rPr>
            </w:pPr>
            <w:r>
              <w:rPr>
                <w:rFonts w:ascii="Arial" w:cs="Arial" w:eastAsia="Arial" w:hAnsi="Arial"/>
                <w:sz w:val="18"/>
                <w:szCs w:val="18"/>
                <w:color w:val="auto"/>
              </w:rPr>
              <w:t>Receivables, net consisted of the following (in thousands):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24"/>
                <w:szCs w:val="24"/>
                <w:color w:val="auto"/>
              </w:rPr>
            </w:pPr>
          </w:p>
        </w:tc>
        <w:tc>
          <w:tcPr>
            <w:tcW w:w="1320" w:type="dxa"/>
            <w:vAlign w:val="bottom"/>
          </w:tcPr>
          <w:p>
            <w:pPr>
              <w:jc w:val="center"/>
              <w:ind w:right="11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162,496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211,557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Hotel</w:t>
            </w:r>
          </w:p>
        </w:tc>
        <w:tc>
          <w:tcPr>
            <w:tcW w:w="30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24,416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21,897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40,256</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229,025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273,710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allowance for doubtful accounts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(32,846)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(54,742)</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196,179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218,968</w:t>
            </w:r>
          </w:p>
        </w:tc>
        <w:tc>
          <w:tcPr>
            <w:tcW w:w="0" w:type="dxa"/>
            <w:vAlign w:val="bottom"/>
          </w:tcPr>
          <w:p>
            <w:pPr>
              <w:spacing w:after="0"/>
              <w:rPr>
                <w:sz w:val="1"/>
                <w:szCs w:val="1"/>
                <w:color w:val="auto"/>
              </w:rPr>
            </w:pPr>
          </w:p>
        </w:tc>
      </w:tr>
      <w:tr>
        <w:trPr>
          <w:trHeight w:val="27"/>
        </w:trPr>
        <w:tc>
          <w:tcPr>
            <w:tcW w:w="8340" w:type="dxa"/>
            <w:vAlign w:val="bottom"/>
            <w:vMerge w:val="restart"/>
          </w:tcPr>
          <w:p>
            <w:pPr>
              <w:spacing w:after="0"/>
              <w:rPr>
                <w:sz w:val="20"/>
                <w:szCs w:val="20"/>
                <w:color w:val="auto"/>
              </w:rPr>
            </w:pPr>
            <w:r>
              <w:rPr>
                <w:rFonts w:ascii="Arial" w:cs="Arial" w:eastAsia="Arial" w:hAnsi="Arial"/>
                <w:sz w:val="18"/>
                <w:szCs w:val="18"/>
                <w:b w:val="1"/>
                <w:bCs w:val="1"/>
                <w:color w:val="auto"/>
              </w:rPr>
              <w:t>Note 8 -  Property and Equipment, net</w:t>
            </w: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tcPr>
          <w:p>
            <w:pPr>
              <w:ind w:left="44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24"/>
                <w:szCs w:val="24"/>
                <w:color w:val="auto"/>
              </w:rPr>
            </w:pPr>
          </w:p>
        </w:tc>
        <w:tc>
          <w:tcPr>
            <w:tcW w:w="1320" w:type="dxa"/>
            <w:vAlign w:val="bottom"/>
          </w:tcPr>
          <w:p>
            <w:pPr>
              <w:jc w:val="center"/>
              <w:ind w:right="11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improvements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839,370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834,420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30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7,596,711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7,623,069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fixtures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2,196,218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2,181,515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Leasehold interests in land</w:t>
            </w:r>
          </w:p>
        </w:tc>
        <w:tc>
          <w:tcPr>
            <w:tcW w:w="30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314,520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316,516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Airplanes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158,840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179,730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30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632,196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299,686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11,737,855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11,434,936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30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(3,416,078)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(3,175,305)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8,321,777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8,259,631</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67"/>
        <w:spacing w:after="0" w:line="277" w:lineRule="auto"/>
        <w:rPr>
          <w:sz w:val="20"/>
          <w:szCs w:val="20"/>
          <w:color w:val="auto"/>
        </w:rPr>
      </w:pPr>
      <w:r>
        <w:rPr>
          <w:rFonts w:ascii="Arial" w:cs="Arial" w:eastAsia="Arial" w:hAnsi="Arial"/>
          <w:sz w:val="18"/>
          <w:szCs w:val="18"/>
          <w:color w:val="auto"/>
        </w:rPr>
        <w:t>As of June 30, 2017 and December 31, 2016, construction in progress consisted primarily of costs capitalized, including interest, for the construction of Wynn Boston Harbor.</w:t>
      </w: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9 -</w:t>
      </w:r>
      <w:r>
        <w:rPr>
          <w:sz w:val="20"/>
          <w:szCs w:val="20"/>
          <w:color w:val="auto"/>
        </w:rPr>
        <w:tab/>
      </w:r>
      <w:r>
        <w:rPr>
          <w:rFonts w:ascii="Arial" w:cs="Arial" w:eastAsia="Arial" w:hAnsi="Arial"/>
          <w:sz w:val="16"/>
          <w:szCs w:val="16"/>
          <w:b w:val="1"/>
          <w:bCs w:val="1"/>
          <w:color w:val="auto"/>
        </w:rPr>
        <w:t>Long-Term Debt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2"/>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Macau Related:</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Wynn Macau Credit Facilities: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Senior Term Loan Facility, due September 2021; interest at LIBOR or HIBOR plus 1.50%—2.25% (2.64% as of</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6"/>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June 30, 2017 and 2.76% as of December 31, 2016), net of debt issuance costs and original issue discount of</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$24,427 as of June 30, 2017 and $28,091 as of December 31, 2016</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2,275,842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2,278,682</w:t>
            </w:r>
          </w:p>
        </w:tc>
      </w:tr>
      <w:tr>
        <w:trPr>
          <w:trHeight w:val="229"/>
        </w:trPr>
        <w:tc>
          <w:tcPr>
            <w:tcW w:w="8340" w:type="dxa"/>
            <w:vAlign w:val="bottom"/>
          </w:tcPr>
          <w:p>
            <w:pPr>
              <w:ind w:left="180"/>
              <w:spacing w:after="0"/>
              <w:rPr>
                <w:sz w:val="20"/>
                <w:szCs w:val="20"/>
                <w:color w:val="auto"/>
              </w:rPr>
            </w:pPr>
            <w:r>
              <w:rPr>
                <w:rFonts w:ascii="Arial" w:cs="Arial" w:eastAsia="Arial" w:hAnsi="Arial"/>
                <w:sz w:val="18"/>
                <w:szCs w:val="18"/>
                <w:color w:val="auto"/>
                <w:w w:val="98"/>
              </w:rPr>
              <w:t>Senior Revolving Credit Facility, due September 2020; interest at LIBOR or HIBOR plus 1.50%—2.25%</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340" w:type="dxa"/>
            <w:vAlign w:val="bottom"/>
          </w:tcPr>
          <w:p>
            <w:pPr>
              <w:ind w:left="180"/>
              <w:spacing w:after="0"/>
              <w:rPr>
                <w:sz w:val="20"/>
                <w:szCs w:val="20"/>
                <w:color w:val="auto"/>
              </w:rPr>
            </w:pPr>
            <w:r>
              <w:rPr>
                <w:rFonts w:ascii="Arial" w:cs="Arial" w:eastAsia="Arial" w:hAnsi="Arial"/>
                <w:sz w:val="18"/>
                <w:szCs w:val="18"/>
                <w:color w:val="auto"/>
              </w:rPr>
              <w:t>(2.57% as of June 30, 2017 and 2.75% as of December 31, 2016)</w:t>
            </w:r>
          </w:p>
        </w:tc>
        <w:tc>
          <w:tcPr>
            <w:tcW w:w="30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199,937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340,846</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5 1/4% Senior Notes, due October 15, 2021, net of debt issuance costs and original issue premium of $6,090 as of</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2017 and $6,709 as of December 31, 2016</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1,343,910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1,343,291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WML Finance Revolving Credit Facility, due July 2018; interest at 1.50%</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189,651</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U.S. and Corporate Related:</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Wynn America Credit Facilities: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Senior Term Loan Facility, various maturities; interest at base rate plus 0.75% or LIBOR plus 1.75% (2.80% as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6"/>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of June 30, 2017 and 2.52% as of December 31, 2016), net of debt issuance costs of $15,983 as of June 30, 2017</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$15,436 as of December 31, 2016</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984,017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984,564</w:t>
            </w:r>
          </w:p>
        </w:tc>
      </w:tr>
      <w:tr>
        <w:trPr>
          <w:trHeight w:val="229"/>
        </w:trPr>
        <w:tc>
          <w:tcPr>
            <w:tcW w:w="8340" w:type="dxa"/>
            <w:vAlign w:val="bottom"/>
          </w:tcPr>
          <w:p>
            <w:pPr>
              <w:ind w:left="40"/>
              <w:spacing w:after="0"/>
              <w:rPr>
                <w:sz w:val="20"/>
                <w:szCs w:val="20"/>
                <w:color w:val="auto"/>
              </w:rPr>
            </w:pPr>
            <w:r>
              <w:rPr>
                <w:rFonts w:ascii="Arial" w:cs="Arial" w:eastAsia="Arial" w:hAnsi="Arial"/>
                <w:sz w:val="18"/>
                <w:szCs w:val="18"/>
                <w:color w:val="auto"/>
                <w:w w:val="90"/>
              </w:rPr>
              <w:t>4 1/4% Senior Notes, due May 30, 2023, net of debt issuance costs of $2,630 as of June 30, 2017 and $2,819 as of</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color w:val="auto"/>
              </w:rPr>
              <w:t>December 31, 2016</w:t>
            </w:r>
          </w:p>
        </w:tc>
        <w:tc>
          <w:tcPr>
            <w:tcW w:w="30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497,370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497,181</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5 1/2% Senior Notes, due March 1, 2025, net of debt issuance costs of $20,463 as of June 30, 2017 and $21,513 as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 December 31, 2016</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1,779,537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1,778,487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5 1/4% Senior Notes, due May 15, 2027, net of debt issuance costs of $20,199 as of June 30, 2017</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879,801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Redemption Price Promissory Note with former stockholder and related party, due February 18, 2022; interest at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 net of fair value adjustment of $88,822 as of June 30, 2017 and $117,085 as of December 31, 2016</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1,847,622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1,819,359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w w:val="91"/>
              </w:rPr>
              <w:t>5 3/8% First Mortgage Notes, due March 15, 2022, net of debt issuance costs of $6,709 as of December 31, 2016</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893,291</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9,808,036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10,125,352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9,806,296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10,125,352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Macau Related Debt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Wynn Macau Credit Facilities</w:t>
      </w:r>
    </w:p>
    <w:p>
      <w:pPr>
        <w:spacing w:after="0" w:line="22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Company's credit facilities include a $2.30 billion equivalent fully funded senior secured term loan facility (the "Wynn Macau Senior Term Loan Facility") and a $750 million equivalent senior secured revolving credit facility (the "Wynn Macau Senior Revolving Credit Facility," collectively, the "Wynn Macau Credit Facilities"). The borrower is Wynn Resorts (Macau) S.A. ("Wynn Macau SA"). As of June 30, 2017, the Company had $548.8 million of available borrowing capacity under the Wynn Macau Senior Revolving Credit Facility.</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WML Finance Revolving Credit Facility</w:t>
      </w:r>
    </w:p>
    <w:p>
      <w:pPr>
        <w:spacing w:after="0" w:line="185"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The Company's credit facilities include a HK$3.87 billion (approximately $495.9 million) cash-collateralized revolving credit facility ("WML Finance Credit Facility") under which WML Finance I, Limited, an indirect wholly owned subsidiary of WML, is the borrower. The WML Finance Credit Facility bears interest initially at 1.50% per annum, such rate calculated as the interest rate paid by the lender as the deposit bank for the cash collateral deposited and pledged with the lender plus a margin of 0.40%. As of June 30, 2017, the Company had no borrowings under the WML Finance Credit Facility.</w:t>
      </w:r>
    </w:p>
    <w:p>
      <w:pPr>
        <w:spacing w:after="0" w:line="200" w:lineRule="exact"/>
        <w:rPr>
          <w:sz w:val="20"/>
          <w:szCs w:val="20"/>
          <w:color w:val="auto"/>
        </w:rPr>
      </w:pPr>
    </w:p>
    <w:p>
      <w:pPr>
        <w:spacing w:after="0" w:line="3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and Corporate Related Debt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Wynn America Credit Facilities</w:t>
      </w:r>
    </w:p>
    <w:p>
      <w:pPr>
        <w:spacing w:after="0" w:line="225"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The Company's credit facilities include an $875 million fully funded senior secured term loan facility (the "WA Senior Term Loan Facility I"), a $125 million fully funded senior term loan facility (the "WA Senior Term Loan Facility II") and a $375 million senior secured revolving credit facility (the "WA Senior Revolving Credit Facility," collectively the "Wynn America Credit Facilities"). The borrower is Wynn America, LLC, an indirect wholly owned subsidiary of the Company. As of June 30, 2017, the Company had available borrowing capacity of $358.0 million, net of $17.0 million in outstanding letters of credit, under the WA Senior Revolving Credit Facility.</w:t>
      </w:r>
    </w:p>
    <w:p>
      <w:pPr>
        <w:spacing w:after="0" w:line="188"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On April 24, 2017, the Company amended the Wynn America Credit Facilities to, among other things, extend the maturity of portions of the credit facilities. Pursuant to the amendment, (i) the maturity date with respect to $805.4 million of the WA Senior Term Loan Facility I was extended from November 2020 to December 2021, with repayment in quarterly installments of $20.1 million commencing in March 2020 and a final installment of $664.5 million in December 2021; (ii) the maturity date of the $125 million WA Senior Term Loan Facility II was extended from November 2020 to December 2021, with no required scheduled repayments until maturity in December 2021; and (iii) the maturity date with respect to $333.0 million of the WA Senior Revolving Credit Facility was extended from November 2019 to December 2021. In connection with the amendment, the Company recorded a loss on extinguishment of debt of $1.5 million.</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5 1/4% Senior Notes due 2027</w:t>
      </w:r>
    </w:p>
    <w:p>
      <w:pPr>
        <w:spacing w:after="0" w:line="225"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On May 11, 2017, Wynn Las Vegas, LLC and Wynn Las Vegas Capital Corp. ("Capital Corp.," and together with Wynn Las Vegas, LLC, the "Issuers") completed the issuance of $900 million aggregate principal amount of 5 1/4% Senior Notes due 2027 (the "2027 Notes") pursuant to an indenture, dated as of May 11, 2017 (the "2027 Indenture"), among the Issuers, all of the Company’s subsidiaries other than Capital Corp. (the "Guarantors") and U.S. Bank National Association, as trustee. The 2027 Notes were issued at par. The Issuers used the net proceeds from the 2027 Notes and cash on hand to cover the cost of extinguishing the 5 3/8% First Mortgage Notes due 2022 (the "2022 Notes").</w:t>
      </w:r>
    </w:p>
    <w:p>
      <w:pPr>
        <w:spacing w:after="0" w:line="173"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 2027 Notes will mature on May 15, 2027 and bear interest at the rate of 5 1/4% per annum. The Issuers may, at their option, redeem the 2027 Notes, in whole or in part, at any time or from time to time prior to their stated maturity. The redemption price for 2027 Notes that are redeemed before February 15, 2027 will be equal to the greater of (a) 100% of the principal amount of the 2027 Notes to be redeemed and (b) a "make-whole" amount described in the 2027 Indenture, plus in either case accrued and unpaid interest, if any, to, but not including, the redemption date. The redemption price for the 2027 Notes that are redeemed on or after February 15, 2027 will be equal to 100% of the principal amount of the 2027 Notes to be redeemed, plus accrued and unpaid interest, if any, to, but not including, the redemption date. In the event of a change of control triggering event, the Issuers will be required to offer to repurchase the 2027 Notes at 101% of the principal amount, plus accrued and unpaid interest, if any, to, but not including, the repurchase date. The 2027 Notes are also subject to mandatory redemption requirements imposed by gaming laws and regulations of gaming authorities in Nevada.</w:t>
      </w:r>
    </w:p>
    <w:p>
      <w:pPr>
        <w:spacing w:after="0" w:line="166"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The 2027 Notes are the Issuers’ senior unsecured obligations and rank pari passu in right of payment with the Issuers’ outstanding 4 1/4% Senior Notes due 2023 (the "2023 Notes") and 5 1/2% Senior Notes due 2025 (the "2025 Notes," and together with the 2023 Notes, the "Existing Notes"), and rank equally in right of payment with the Issuers’ guarantee of the Wynn America Credit Facilities, and rank senior in right of payment to all of the Issuers’ existing and future subordinated debt. The 2027 Notes are effectively subordinated in right of payment to all of the Issuers’ existing and future secured debt (to the extent of the value of the collateral securing such debt), and structurally subordinated to all of the liabilities of any of the Issuers’ subsidiaries that do not guarantee the 2027 Notes.</w:t>
      </w:r>
    </w:p>
    <w:p>
      <w:pPr>
        <w:spacing w:after="0" w:line="193"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2027 Notes are jointly and severally guaranteed by all of the Guarantors. The guarantees are senior unsecured obligations of the Guarantors and rank senior in right of payment to all of their existing and future subordinated debt. The guarantees rank equally in right of payment with all existing and future liabilities of the Guarantors that are not so subordinated and will be effectively subordinated in right of payment to all of such Guarantors’ existing and future secured debt (to the extent of the collateral securing such debt).</w:t>
      </w:r>
    </w:p>
    <w:p>
      <w:pPr>
        <w:spacing w:after="0" w:line="200" w:lineRule="exact"/>
        <w:rPr>
          <w:sz w:val="20"/>
          <w:szCs w:val="20"/>
          <w:color w:val="auto"/>
        </w:rPr>
      </w:pPr>
    </w:p>
    <w:p>
      <w:pPr>
        <w:spacing w:after="0" w:line="3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62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2027 Notes are secured by a first priority pledge of the Company’s equity interests, the effectiveness of which is subject to the prior approval of the Nevada gaming authorities. The equity interests in the Company also secure the Existing Notes. If Wynn Resorts, Limited receives an investment grade rating from one or more ratings agencies, the first priority pledge securing the 2027 Notes will be released.</w:t>
      </w:r>
    </w:p>
    <w:p>
      <w:pPr>
        <w:spacing w:after="0" w:line="181"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The Issuers and their subsidiaries are restricted subsidiaries under the Wynn America Credit Facilities and are required to guarantee and pledge their assets to secure the obligations of Wynn America, LLC to the extent permitted by any indenture governing the Existing Notes or the 2027 Notes, subject to applicable gaming approvals. The Issuers and their subsidiaries will guarantee and secure their obligations under the Wynn America Credit Facilities with liens on substantially all of their assets, with such liens limiting the amount of such obligations secured to 15% of their Total Assets (as defined in the indenture for the 2025 Notes).</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2027 Indenture contains covenants limiting the Issuers’ and the Guarantors’ ability to: create liens on assets to secure debt; enter into sale-leaseback transactions; and merge or consolidate with another company. These covenants are subject to a number of important and significant limitations, qualifications and exceptions. The 2027 Indenture also provides that Wynn America may assume all of Wynn Las Vegas’ obligations under the 2027 Indenture and the 2027 Notes if certain conditions set forth in the 2027 Indenture are met.</w:t>
      </w:r>
    </w:p>
    <w:p>
      <w:pPr>
        <w:spacing w:after="0" w:line="187" w:lineRule="exact"/>
        <w:rPr>
          <w:sz w:val="20"/>
          <w:szCs w:val="20"/>
          <w:color w:val="auto"/>
        </w:rPr>
      </w:pPr>
    </w:p>
    <w:p>
      <w:pPr>
        <w:ind w:right="240" w:firstLine="405"/>
        <w:spacing w:after="0" w:line="302" w:lineRule="auto"/>
        <w:rPr>
          <w:sz w:val="20"/>
          <w:szCs w:val="20"/>
          <w:color w:val="auto"/>
        </w:rPr>
      </w:pPr>
      <w:r>
        <w:rPr>
          <w:rFonts w:ascii="Arial" w:cs="Arial" w:eastAsia="Arial" w:hAnsi="Arial"/>
          <w:sz w:val="16"/>
          <w:szCs w:val="16"/>
          <w:color w:val="auto"/>
        </w:rPr>
        <w:t>Events of default under the 2027 Indenture include, among others, the following: default for 30 days in the payment when due of interest on the 2027 Notes; default in payment when due of the principal of, or premium, if any, on the 2027 Notes; failure to comply with certain covenants in the 2027 Indenture; and certain events of bankruptcy or insolvency. In the case of an event of default arising from certain events of bankruptcy or insolvency with respect to the Issuers or any Guarantor, all 2027 Notes then outstanding will become due and payable immediately without further action or notice.</w:t>
      </w:r>
    </w:p>
    <w:p>
      <w:pPr>
        <w:spacing w:after="0" w:line="154" w:lineRule="exact"/>
        <w:rPr>
          <w:sz w:val="20"/>
          <w:szCs w:val="20"/>
          <w:color w:val="auto"/>
        </w:rPr>
      </w:pPr>
    </w:p>
    <w:p>
      <w:pPr>
        <w:ind w:right="180" w:firstLine="405"/>
        <w:spacing w:after="0" w:line="276" w:lineRule="auto"/>
        <w:rPr>
          <w:sz w:val="20"/>
          <w:szCs w:val="20"/>
          <w:color w:val="auto"/>
        </w:rPr>
      </w:pPr>
      <w:r>
        <w:rPr>
          <w:rFonts w:ascii="Arial" w:cs="Arial" w:eastAsia="Arial" w:hAnsi="Arial"/>
          <w:sz w:val="17"/>
          <w:szCs w:val="17"/>
          <w:color w:val="auto"/>
        </w:rPr>
        <w:t>The 2027 Notes were offered pursuant to an exemption under the Securities Act of 1933 (the "Securities Act"). The 2027 Notes were offered only to qualified institutional buyers in reliance on Rule 144A under the Securities Act or outside the United States to certain persons in reliance on Regulation S under the Securities Act. The 2027 Notes have not been and will not be registered under the Securities Act or under any state securities laws. Therefore, the 2027 Notes may not be offered or sold within the United States to, or for the account or benefit of, any United States person unless the offer or sale would qualify for a registration exemption from the Securities Act and applicable state securities laws.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5 3/8% First Mortgage Notes due 2022</w:t>
      </w:r>
    </w:p>
    <w:p>
      <w:pPr>
        <w:spacing w:after="0" w:line="225"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On May 4, 2017, the Issuers commenced a cash tender offer for any and all of the outstanding aggregate principal amount of the 2022 Notes. The Company accepted for purchase valid tenders with respect to $498 million and paid a tender premium of $14.6 million.</w:t>
      </w:r>
    </w:p>
    <w:p>
      <w:pPr>
        <w:spacing w:after="0" w:line="170"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On June 12, 2017, the Issuers redeemed the remaining $402 million principal amount of the untendered 2022 Notes and discharged the indenture under which the 2022 Notes were issued. The Company paid a premium of $10.8 million related to this redemption.</w:t>
      </w:r>
    </w:p>
    <w:p>
      <w:pPr>
        <w:spacing w:after="0" w:line="170" w:lineRule="exact"/>
        <w:rPr>
          <w:sz w:val="20"/>
          <w:szCs w:val="20"/>
          <w:color w:val="auto"/>
        </w:rPr>
      </w:pPr>
    </w:p>
    <w:p>
      <w:pPr>
        <w:ind w:right="740" w:firstLine="405"/>
        <w:spacing w:after="0" w:line="277" w:lineRule="auto"/>
        <w:rPr>
          <w:sz w:val="20"/>
          <w:szCs w:val="20"/>
          <w:color w:val="auto"/>
        </w:rPr>
      </w:pPr>
      <w:r>
        <w:rPr>
          <w:rFonts w:ascii="Arial" w:cs="Arial" w:eastAsia="Arial" w:hAnsi="Arial"/>
          <w:sz w:val="18"/>
          <w:szCs w:val="18"/>
          <w:color w:val="auto"/>
        </w:rPr>
        <w:t>In connection with the 2027 Notes issuance and the 2022 Notes cash tender offer and subsequent redemption, the Company recorded a loss on extinguishment of debt of $20.8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Covenant Compliance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Management believes that as of June 30, 2017, the Company was in compliance with all debt 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Long-Term Debt</w:t>
      </w:r>
    </w:p>
    <w:p>
      <w:pPr>
        <w:spacing w:after="0" w:line="22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estimated fair value of the Company's long-term debt, excluding the Redemption Note, as of June 30, 2017 and December 31, 2016 was $8.18 billion and $8.33 billion, respectively, compared to its carrying value, excluding debt issuance costs and original issue discount and premium, of $8.05 billion and $8.39 billion, respectively. The estimated fair value of the Company's long-term debt, excluding the Redemption Note, is based on recent trades, if available, and indicative pricing from market information (Level 2 inputs). See Note 2 "Summary of Significant Accounting Policies" for discussion on the estimated fair value of the Redemption Note.</w:t>
      </w:r>
    </w:p>
    <w:p>
      <w:pPr>
        <w:spacing w:after="0" w:line="3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62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Related Party Transactions</w:t>
      </w:r>
    </w:p>
    <w:p>
      <w:pPr>
        <w:spacing w:after="0" w:line="229"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The Company periodically provides services to Stephen A. Wynn, Chairman of the Board of Directors and Chief Executive Officer ("Mr. Wynn"), and certain other officers and directors of the Company, including the personal use of employees, construction work and other personal services, for which the officers and directors reimburse the Company. Mr. Wynn also reimburses the Company for personal usage of aircraft (subject to a $250,000 credit per calendar year) pursuant to a time sharing agreement. Mr. Wynn and other officers and directors have deposits with the Company to prepay any such items, which are replenished on an ongoing basis as needed. Mr. Wynn and the other officers and directors had a net deposit balance with the Company of $0.4 million and $0.3 million as of June 30, 2017 and December 31, 2016,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Stock-Based Compensation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total compensation cost for stock-based compensation plans was recorded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60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88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2016</w:t>
            </w: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4,483</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Rooms</w:t>
            </w:r>
          </w:p>
        </w:tc>
        <w:tc>
          <w:tcPr>
            <w:tcW w:w="3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157</w:t>
            </w:r>
          </w:p>
        </w:tc>
      </w:tr>
      <w:tr>
        <w:trPr>
          <w:trHeight w:val="27"/>
        </w:trPr>
        <w:tc>
          <w:tcPr>
            <w:tcW w:w="4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Food and beverage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553</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Entertainment, retail and other</w:t>
            </w:r>
          </w:p>
        </w:tc>
        <w:tc>
          <w:tcPr>
            <w:tcW w:w="3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36</w:t>
            </w:r>
          </w:p>
        </w:tc>
      </w:tr>
      <w:tr>
        <w:trPr>
          <w:trHeight w:val="27"/>
        </w:trPr>
        <w:tc>
          <w:tcPr>
            <w:tcW w:w="4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15,579</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Pre-opening</w:t>
            </w:r>
          </w:p>
        </w:tc>
        <w:tc>
          <w:tcPr>
            <w:tcW w:w="3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274</w:t>
            </w:r>
          </w:p>
        </w:tc>
      </w:tr>
      <w:tr>
        <w:trPr>
          <w:trHeight w:val="27"/>
        </w:trPr>
        <w:tc>
          <w:tcPr>
            <w:tcW w:w="4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18,787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21,082</w:t>
            </w:r>
          </w:p>
        </w:tc>
      </w:tr>
      <w:tr>
        <w:trPr>
          <w:trHeight w:val="243"/>
        </w:trPr>
        <w:tc>
          <w:tcPr>
            <w:tcW w:w="4880" w:type="dxa"/>
            <w:vAlign w:val="bottom"/>
          </w:tcPr>
          <w:p>
            <w:pPr>
              <w:ind w:left="380"/>
              <w:spacing w:after="0"/>
              <w:rPr>
                <w:sz w:val="20"/>
                <w:szCs w:val="20"/>
                <w:color w:val="auto"/>
              </w:rPr>
            </w:pPr>
            <w:r>
              <w:rPr>
                <w:rFonts w:ascii="Arial" w:cs="Arial" w:eastAsia="Arial" w:hAnsi="Arial"/>
                <w:sz w:val="18"/>
                <w:szCs w:val="18"/>
                <w:color w:val="auto"/>
              </w:rPr>
              <w:t>Total stock-based compensation capitalized</w:t>
            </w:r>
          </w:p>
        </w:tc>
        <w:tc>
          <w:tcPr>
            <w:tcW w:w="3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51</w:t>
            </w:r>
          </w:p>
        </w:tc>
      </w:tr>
      <w:tr>
        <w:trPr>
          <w:trHeight w:val="27"/>
        </w:trPr>
        <w:tc>
          <w:tcPr>
            <w:tcW w:w="4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 costs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10,480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18,819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21,133</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Certain members of the Company's executive management team receive a portion of their annual incentive bonus in shares of the Company's stock. The number of shares is determined based on the closing stock price on the date the annual incentive bonus is settled. As the number of shares is variable, the Company records a liability for the fixed monetary amount over the service period. The Company recorded stock-based compensation expense associated with these awards of $4.9 million and $5.2 million for the three months ended June 30, 2017 and 2016, respectively, and $9.9 million and $10.3 million for the six months ended June 30, 2017 and 2016, respectively. The Company settles this obligation by issuing immediately vested shares in January of the following year.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Noncontrolling Interest</w:t>
      </w:r>
    </w:p>
    <w:p>
      <w:pPr>
        <w:spacing w:after="0" w:line="229"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On June 20, 2017, WML paid a dividend of HK$0.42 per share for a total of $279.9 million. The Company's share of this dividend was $202.0 million with a reduction of $77.9 million to noncontrolling interest in the accompanying Condensed Consolidated Balance Sheet.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Taxes</w:t>
      </w:r>
    </w:p>
    <w:p>
      <w:pPr>
        <w:spacing w:after="0" w:line="229"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For the three months ended June 30, 2017 and 2016, the Company recorded a tax expense of $2.6 million and a tax benefit of $2.9 million, respectively. For the six months ended June 30, 2017 and 2016, the Company recorded a tax expense of $5.5 million and $1.0 million, respectively. The Company's income tax expense and benefit for these periods primarily related to changes in the domestic valuation allowance for U.S. foreign tax credits ("FTCs").</w:t>
      </w:r>
    </w:p>
    <w:p>
      <w:pPr>
        <w:spacing w:after="0" w:line="147"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The Company does not consider its portion of the tax earnings and profits of WML to be permanently invested. The Company has not provided deferred U.S. federal income taxes or foreign withholding taxes on temporary differences and expects FTCs to be sufficient to eliminate any U.S. federal income tax in the event of repatriation.</w:t>
      </w:r>
    </w:p>
    <w:p>
      <w:pPr>
        <w:spacing w:after="0" w:line="181" w:lineRule="exact"/>
        <w:rPr>
          <w:sz w:val="20"/>
          <w:szCs w:val="20"/>
          <w:color w:val="auto"/>
        </w:rPr>
      </w:pPr>
    </w:p>
    <w:p>
      <w:pPr>
        <w:ind w:right="180" w:firstLine="392"/>
        <w:spacing w:after="0" w:line="277" w:lineRule="auto"/>
        <w:rPr>
          <w:sz w:val="20"/>
          <w:szCs w:val="20"/>
          <w:color w:val="auto"/>
        </w:rPr>
      </w:pPr>
      <w:r>
        <w:rPr>
          <w:rFonts w:ascii="Arial" w:cs="Arial" w:eastAsia="Arial" w:hAnsi="Arial"/>
          <w:sz w:val="18"/>
          <w:szCs w:val="18"/>
          <w:color w:val="auto"/>
        </w:rPr>
        <w:t>The Company recorded valuation allowances on certain of its U.S. and foreign deferred tax assets. In assessing the need for a valuation allowance, the Company relies solely on the reversal of net taxable temporary differences. The valuation</w:t>
      </w:r>
    </w:p>
    <w:p>
      <w:pPr>
        <w:spacing w:after="0" w:line="3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allowance for FTCs was determined by scheduling the existing U.S. taxable temporary differences that are expected to reverse and result in foreign source income during the 10-year FTC carryover period.</w:t>
      </w:r>
    </w:p>
    <w:p>
      <w:pPr>
        <w:spacing w:after="0" w:line="170"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Wynn Macau SA has received a five-year exemption from complementary tax on profits generated by gaming operations through December 31, 2020. For the three months ended June 30, 2017 and 2016, the Company was exempt from the payment of such taxes totaling $13.9 million and $9.6 million, respectively. For the six months ended June 30, 2017 and 2016, the Company was exempt from the payment of such taxes totaling $26.6 million and $20.9 million, respectively.</w:t>
      </w:r>
    </w:p>
    <w:p>
      <w:pPr>
        <w:spacing w:after="0" w:line="187" w:lineRule="exact"/>
        <w:rPr>
          <w:sz w:val="20"/>
          <w:szCs w:val="20"/>
          <w:color w:val="auto"/>
        </w:rPr>
      </w:pPr>
    </w:p>
    <w:p>
      <w:pPr>
        <w:ind w:right="560" w:firstLine="432"/>
        <w:spacing w:after="0" w:line="342" w:lineRule="auto"/>
        <w:rPr>
          <w:sz w:val="20"/>
          <w:szCs w:val="20"/>
          <w:color w:val="auto"/>
        </w:rPr>
      </w:pPr>
      <w:r>
        <w:rPr>
          <w:rFonts w:ascii="Arial" w:cs="Arial" w:eastAsia="Arial" w:hAnsi="Arial"/>
          <w:sz w:val="16"/>
          <w:szCs w:val="16"/>
          <w:color w:val="auto"/>
        </w:rPr>
        <w:t>Wynn Macau SA also entered into an agreement with the Macau government that provides for an annual payment of 12.8 million Macau patacas (approximately $1.6 million) as complementary tax otherwise due by shareholders of Wynn Macau SA on dividend distributions through 2020.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Boston Harbor Development</w:t>
      </w:r>
    </w:p>
    <w:p>
      <w:pPr>
        <w:spacing w:after="0" w:line="225"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On April 28, 2017, Wynn MA, LLC ("Wynn MA"), an indirect wholly owned subsidiary of the Company, and Suffolk Construction Company, Inc. (the "Construction Manager"), entered into an agreement concerning the construction of Wynn Boston Harbor, which, among other things, confirmed the guaranteed maximum price for the construction work undertaken by the Construction Manager. The Construction Manager is obligated to substantially complete the project by June 24, 2019 for a guaranteed maximum price of $1.32 billion. Both the contract time and guaranteed maximum price are subject to further adjustment under certain conditions. The performance of the Construction Manager is backed by a payment and performance bond in the amount of $350.0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In addition to the actions noted below, the Company and its affiliates are involved in litigation arising in the normal course of business. In the opinion of management, such litigation is not expected to have a material effect on the Company's financial condition, results of operations or cash flows.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Determination of Unsuitability and Redemption of Aruze and Affiliates</w:t>
      </w:r>
    </w:p>
    <w:p>
      <w:pPr>
        <w:spacing w:after="0" w:line="22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On February 18, 2012, Wynn Resorts' Gaming Compliance Committee received an independent report by Freeh, Sporkin &amp; Sullivan, LLP (the "Freeh Report") detailing a pattern of misconduct by the Okada Parties. The factual record presented in the Freeh Report included evidence that the Okada Parties had provided valuable items to certain foreign gaming officials who were responsible for regulating gaming in a jurisdiction in which entities controlled by Mr. Okada were developing a gaming resort. Mr. Okada denied the impropriety of such conduct to members of the Board of Directors of Wynn Resorts and, while serving as one of the Company's directors, Mr. Okada refused to acknowledge or abide by Wynn Resorts' anti-bribery policies and refused to participate in the training all other directors received concerning these policies.</w:t>
      </w:r>
    </w:p>
    <w:p>
      <w:pPr>
        <w:spacing w:after="0" w:line="193"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Based on the Freeh Report, the Board of Directors of Wynn Resorts determined that the Okada Parties are "unsuitable persons" under Article VII of the Company's articles of incorporation. The Board of Directors was unanimous (other than Mr. Okada) in its determination. After authorizing the redemption of Aruze's shares, as discussed below, the Board of Directors took certain actions to protect the Company and its operations from any influence of an unsuitable person, including placing limitations on the provision of certain operating information to unsuitable persons and formation of an Executive Committee of the Board to manage the business and affairs of the Company during the period between each annual meeting. The Charter of the Executive Committee provides that "Unsuitable Persons" are not permitted to serve on the Committee. All members of the Board, other than Mr. Okada, were appointed to the Executive Committee on February 18, 2012. The Board of Directors also requested that Mr. Okada resign as a director of Wynn Resorts (under Nevada corporation law, a board of directors does not have the power to remove a director) and recommended that Mr. Okada be removed as a member of the Board of Directors of WML. On February 18, 2012, Mr. Okada was removed from the Board of Directors of Wynn Las Vegas Capital Corp., an indirect wholly owned subsidiary of Wynn Resorts. On February 24, 2012, Mr. Okada was removed from the Board of Directors of WML and on February 22, 2013, he was removed from the Board of Directors of Wynn Resorts by a stockholder vote in which 99.6% of the over 86 million shares voted were cast in favor of removal. Mr. Okada resigned from the Board of Directors of Wynn Resorts on February 21, 2013. Although the Company has retained the structure of the Executive Committee, the Board has resumed its past role in managing the business and affairs of the Company.</w:t>
      </w:r>
    </w:p>
    <w:p>
      <w:pPr>
        <w:spacing w:after="0" w:line="200" w:lineRule="exact"/>
        <w:rPr>
          <w:sz w:val="20"/>
          <w:szCs w:val="20"/>
          <w:color w:val="auto"/>
        </w:rPr>
      </w:pPr>
    </w:p>
    <w:p>
      <w:pPr>
        <w:spacing w:after="0" w:line="38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80" w:right="260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right="120" w:firstLine="432"/>
        <w:spacing w:after="0" w:line="284" w:lineRule="auto"/>
        <w:rPr>
          <w:sz w:val="20"/>
          <w:szCs w:val="20"/>
          <w:color w:val="auto"/>
        </w:rPr>
      </w:pPr>
      <w:r>
        <w:rPr>
          <w:rFonts w:ascii="Arial" w:cs="Arial" w:eastAsia="Arial" w:hAnsi="Arial"/>
          <w:sz w:val="16"/>
          <w:szCs w:val="16"/>
          <w:color w:val="auto"/>
        </w:rPr>
        <w:t>Based on the Board of Directors' finding of "unsuitability," on February 18, 2012, Wynn Resorts redeemed and canceled Aruze's 24,549,222 shares of Wynn Resorts' common stock. Following a finding of "unsuitability," Article VII of Wynn Resorts' articles of incorporation authorizes redemption at "fair value" of the shares held by unsuitable persons. The Company engaged an independent financial advisor to assist in the fair value calculation and concluded that a discount to the then current trading price was appropriate because of, among other things, restrictions on most of the shares held by Aruze under the terms of the Stockholders Agreement (as defined below). Pursuant to its articles of incorporation, Wynn Resorts issued the Redemption Note to Aruze in redemption of the shares. The Redemption Note has a principal amount of $1.94 billion, matures on February 18, 2022, and bears interest at the rate of</w:t>
      </w:r>
    </w:p>
    <w:p>
      <w:pPr>
        <w:spacing w:after="0" w:line="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2% per annum, payable annually in arrears on each anniversary of the date of the Redemption Note. The Company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or any of its affiliates in respect of indebtedness for borrowed money of any kind or nature.</w:t>
      </w:r>
    </w:p>
    <w:p>
      <w:pPr>
        <w:spacing w:after="0" w:line="194"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The Company provided the Freeh Report to appropriate regulators and law enforcement agencies and has been cooperating with related investigations that such regulators and agencies have undertaken. The conduct of the Okada Parties and any resulting regulatory investigations could have adverse consequences to the Company and its subsidiaries. A finding by regulatory authorities that Mr. Okada violated anti-corruption statutes and/or other laws or regulations applicable to persons affiliated with a gaming licensee on Company property and/or otherwise involved the Company in criminal or civil violations could result in actions by regulatory authorities against the Company and its subsidiaries.</w:t>
      </w:r>
    </w:p>
    <w:p>
      <w:pPr>
        <w:spacing w:after="0" w:line="1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Redemption Action and Counterclaim</w:t>
      </w:r>
    </w:p>
    <w:p>
      <w:pPr>
        <w:spacing w:after="0" w:line="225" w:lineRule="exact"/>
        <w:rPr>
          <w:sz w:val="20"/>
          <w:szCs w:val="20"/>
          <w:color w:val="auto"/>
        </w:rPr>
      </w:pPr>
    </w:p>
    <w:p>
      <w:pPr>
        <w:ind w:right="360" w:firstLine="432"/>
        <w:spacing w:after="0" w:line="279" w:lineRule="auto"/>
        <w:rPr>
          <w:sz w:val="20"/>
          <w:szCs w:val="20"/>
          <w:color w:val="auto"/>
        </w:rPr>
      </w:pPr>
      <w:r>
        <w:rPr>
          <w:rFonts w:ascii="Arial" w:cs="Arial" w:eastAsia="Arial" w:hAnsi="Arial"/>
          <w:sz w:val="17"/>
          <w:szCs w:val="17"/>
          <w:color w:val="auto"/>
        </w:rPr>
        <w:t>On February 19, 2012, Wynn Resorts filed a complaint in the Eighth Judicial District Court, Clark County, Nevada against the Okada Parties (as amended, the "Complaint"), alleging breaches of fiduciary duty and related claims (the "Redemption Action") arising from the activities addressed in the Freeh Report. The Company is seeking compensatory and special damages as well as a declaration that it acted lawfully and in full compliance with its articles of incorporation, bylaws and other governing documents in redeeming and canceling the shares of Aruze.</w:t>
      </w:r>
    </w:p>
    <w:p>
      <w:pPr>
        <w:spacing w:after="0" w:line="171"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On March 12, 2012, the Okada Parties removed the action to the United States District Court for the District of Nevada (the action was subsequently remanded to Nevada state court). On that same date, the Okada Parties filed an answer denying the claims and a counterclaim (as amended, the "Counterclaim") that purports to assert claims against the Company, each of the members of the Company's Board of Directors (other than Mr. Okada) and Wynn Resorts' General Counsel (the "Wynn Parties"). The Counterclaim alleges, among other things: (1) that the shares of Wynn Resorts common stock owned by Aruze were exempt from the redemption-for-unsuitability provisions in the Wynn Resorts articles of incorporation (the "Articles") pursuant to certain agreements executed in 2002; (2) that the Wynn Resorts directors who authorized the redemption of Aruze's shares acted at the direction of Mr. Wynn and did not independently and objectively evaluate the Okada Parties' suitability, and by so doing, breached their fiduciary duties; (3) that the Wynn Resorts directors violated the terms of the Wynn Resorts Articles by failing to pay Aruze fair value for the redeemed shares; and (4) that the terms of the Redemption Note that Aruze received in exchange for the redeemed shares, including the Redemption Note's principal amount, duration, interest rate, and subordinated status, were unconscionable. Among other relief, the Counterclaim seeks a declaration that the redemption of Aruze's shares was void, an injunction restoring Aruze's share ownership, damages in an unspecified amount and rescission of the Amended and Restated Stockholders Agreement, dated as of January 6, 2010, by and among Aruze, Mr. Wynn, and Elaine Wynn (the "Stockholders Agreement").</w:t>
      </w:r>
    </w:p>
    <w:p>
      <w:pPr>
        <w:spacing w:after="0" w:line="16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On June 19, 2012, Elaine Wynn asserted a cross claim against Mr. Wynn and Aruze seeking a declaration that (1) any and all of Elaine Wynn's duties under the Stockholders Agreement shall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On March 28, 2016, Elaine Wynn filed an amended cross claim which added Wynn Resorts and Wynn Resorts' General Counsel (together with Mr. Wynn, the "Wynn Cross Defendants") as cross defendants. The amended cross claim substantially repeats its earlier allegations and further alleges that Mr. Wynn engaged in acts of misconduct that, with the Wynn Cross Defendants, resulted in Mr. Wynn allegedly breaching the Stockholders Agreement and violating alleged duties under the Stockholders Agreement by preventing Elaine Wynn from being nominated and elected to serve as one of the Company's directors. In addition to continuing to seek the declarations asserted under the original cross claim, the amended cross claim seeks an order compelling Mr. Wynn to comply</w:t>
      </w:r>
    </w:p>
    <w:p>
      <w:pPr>
        <w:spacing w:after="0" w:line="37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121" w:right="27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with the Stockholders Agreement by assuring the nomination and election of Elaine Wynn to the Board of Directors and seeks unspecified monetary damages from Mr. Wynn and the Wynn Cross Defendants. The Wynn Cross Defendants filed motions to dismiss and a motion to sever in April 2016. On May 5, 2016, the court granted Wynn Resorts' and Wynn Resorts' General Counsel's motions to dismiss and denied Mr. Wynn's motion to dismiss. On May 26, 2016, the court denied the Wynn Cross Defendants' motion to sever. On May 1, 2017, the court granted Elaine Wynn leave to file an amended cross claim against the Wynn Cross Defendants which substantially repeats the allegations contained in the previous version of Ms. Wynn’s cross claim. Elaine Wynn filed such amended cross claim on May 17, 2017. On July 10, 2017, the court denied Wynn Resorts' and Wynn Resorts' General Counsel’s motions to dismiss, and on July 24, 2017, the court denied Wynn Resorts' motion to sever. The Wynn Cross Defendants will vigorously defend against the claims asserted against them.</w:t>
      </w:r>
    </w:p>
    <w:p>
      <w:pPr>
        <w:spacing w:after="0" w:line="167"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The indenture for the 2023 Notes (the "2023 Indenture") provides that if Mr. Wynn, together with certain related parties, in the aggregate beneficially owns a lesser percentage of the voting power of the outstanding common stock of the Company than is beneficially owned by any other person, a change of control will have occurred. The indenture for the 2025 Notes (the "2025 Indenture") and the 2027 Indenture each provides that if any event constitutes a "change of control" under the 2023 Indenture, it will constitute a change of control under the 2025 Indenture and the 2027 Indenture, respectively. If the Stockholders Agreement is determined not to be enforceable pursuant to Elaine Wynn's cross claim, Mr. Wynn would not beneficially own or control Elaine Wynn's shares, which could increase the likelihood that a change in control may occur under the Wynn Las Vegas, LLC debt documents. Under the 2023 Indenture, the 2025 Indenture and the 2027 Indenture, if (1) a change of control occurs and (2) at any time within 60 days after that occurrence, the 2023 Notes or the 2025 Notes, as applicable, are rated below investment grade by both rating agencies that rate such notes and, in the case of the 2027 Indenture, the ratings of the 2027 Notes have decreased below the ratings assigned to the 2027 Notes on the date they were issued as described in the 2027 Indenture, the Company is required to make an offer to each applicable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w:t>
      </w:r>
    </w:p>
    <w:p>
      <w:pPr>
        <w:spacing w:after="0" w:line="180"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The Company's Complaint and the Okada Parties' Counterclaim have been, and continue to be, challenged through motion practice. At a hearing held on November 13, 2012, the Nevada state court granted the Wynn Parties' motion to dismiss the Counterclaim with respect to the Okada Parties' claim under the Nevada Racketeer Influenced and Corrupt Organizations Act with respect to certain Company executives but otherwise denied the motion. At a hearing held on January 15, 2013, the court denied the Okada Parties' motion to dismiss the Company's Complaint. On April 22, 2013, the Company filed a second amended complaint. On August 30, 2013, the Okada Parties filed their third amended Counterclaim. On September 18, 2013, the Company filed a Partial Motion to Dismiss related to a claim in the third amended Counterclaim alleging civil extortion by Mr. Wynn and the Company's General Counsel. On October 29, 2013, the court granted the motion and dismissed the claim. On November 26, 2013, the Okada Parties filed their fourth amended Counterclaim, and the Company filed an answer to that pleading on December 16, 2013. On September 16, 2014, Aruze filed a motion for partial summary judgment related to its counterclaim alleging the Company's directors violated the terms of the Articles by failing to pay Aruze fair value for the redeemed shares. At a hearing held on October 21, 2014, the court denied Aruze's motion. On October 10, 2014, the Okada Parties filed a motion for partial judgment on the pleadings principally to seek dismissal of certain breach of fiduciary claims against Mr. Okada included in the Company's Complaint. On November 13, 2014, the court denied the motion.</w:t>
      </w:r>
    </w:p>
    <w:p>
      <w:pPr>
        <w:spacing w:after="0" w:line="180"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On each of February 14, 2013 and February 13, 2014, the Company issued a check to Aruze in the amount of $38.7 million, representing the interest payments due on the Redemption Note at those times. However, those checks were not cashed. In February 2014, the Okada Parties advised of their intent to deposit any checks for interest and principal, past and future, due under the terms of the Redemption Note to the clerk of the court for deposit into the clerk's trust account. On March 17, 2014, the parties stipulated that the checks be returned to the Company for reissue in the same amounts, payable to the clerk of the court for deposit into the clerk's trust account. Pursuant to the stipulation, on March 20, 2014, the Company delivered to the clerk of the court the reissued checks that were deposited into the clerk's trust account and filed a notice with the court with respect to the same. On each of February 13, 2015, February 12, 2016, and February 13, 2017, the Company issued a check for the interest payment due at those times to the clerk of the court for deposit into the clerk's trust account.</w:t>
      </w:r>
    </w:p>
    <w:p>
      <w:pPr>
        <w:spacing w:after="0" w:line="192"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On April 8, 2013, the United States Attorney's Office and the U.S. Department of Justice filed a Motion to Intervene and for Temporary and Partial Stay of Discovery in the Redemption Action. The parties had been engaged in discovery at the time of the filing. The motion stated that the federal government has been conducting a criminal investigation of the Okada Parties involving the "same underlying allegations of misconduct—that is, potential violations of the Foreign Corrupt Practice Act and related fraudulent conduct—that form the basis of" the Company's complaint, as amended, in the Redemption Action. The motion sought to stay all discovery in the Redemption Action related to the Okada Parties' allegedly unlawful activities in connection with their casino project in the Philippines until the conclusion of the criminal investigation and any resulting</w:t>
      </w:r>
    </w:p>
    <w:p>
      <w:pPr>
        <w:spacing w:after="0" w:line="36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62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criminal prosecution, with an interim status update to the court in six months. At a hearing on May 2, 2013, the court granted the motion and ordered that all discovery in the Redemption Action be stayed for a period of six months (the "Stay"). On May 30, 2013, Elaine Wynn filed a motion for partial relief from the Stay, to allow her to conduct limited discovery related to her cross and counterclaims. The Wynn Parties opposed the motion so as to not interfere with the United States government's investigation. At a hearing on August 1, 2013, the court denied the motion. On October 29, 2013, the United States Attorney's Office and the U.S. Department of Justice filed a Motion to Extend the Stay for a further period of six months. At a hearing on October 31, 2013, the court granted the requested extension based upon an affidavit provided under seal that outlined, among other things, concerns for witness safety. The court did, however, order the parties to exchange written discovery propounded prior to May 2, 2013, including discovery related to the Elaine Wynn cross and counterclaims referred to above. The extended Stay expired on May 5, 2014. On April 29, 2014, the United States Attorney's Office and the U.S. Department of Justice filed a Motion for a Second Extension of Temporary Stay of Discovery for a further six months. At a hearing on May 1, 2014, the court denied the motion.</w:t>
      </w:r>
    </w:p>
    <w:p>
      <w:pPr>
        <w:spacing w:after="0" w:line="178"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In June 2016, Wynn Resorts filed a motion to disqualify Quinn Emanuel Urquhart &amp; Sullivan, LLP ("QE"), one of Ms. Wynn's law firms, and sought an injunction related to Ms. Wynn providing her attorneys with confidential and privileged information that belongs to Wynn Resorts. On June 23, 2016, the court stayed discovery as to both Ms. Wynn and the Okada Parties (the "Discovery Stay"), pending an evidentiary disqualification hearing. On January 23, 2017, the court issued a temporary restraining order that halted QE’s participation in the case, with the sole exception of contesting its disqualification. QE withdrew as counsel for Ms. Wynn on March 9, 2017, and Ms. Wynn retained new counsel prior to the start of the evidentiary hearing, which began on March 13, 2017. On March 17, 2017, the evidentiary hearing was vacated because Ms. Wynn and QE stipulated to a permanent injunction requiring the destruction or return of all Company information. On March 27, 2017, the Discovery Stay was lifted.</w:t>
      </w:r>
    </w:p>
    <w:p>
      <w:pPr>
        <w:spacing w:after="0" w:line="178"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litigation is currently in the discovery phase and trial is scheduled to begin on April 16, 2018. Wynn Resorts will continue to vigorously pursue its claims against the Okada Parties, and Wynn Resorts and the Wynn Parties will continue to vigorously defend against the counterclaims asserted against them. Management has determined that based on proceedings to date, it is currently unable to determine the probability of the outcome of this matter or the range of reasonably possible loss, if any. An adverse judgment or settlement involving payment of a material amount could cause a material adverse effect on Wynn Resorts' financial condition.</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Litigation Commenced by Kazuo Okada</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Indemnification Action:</w:t>
      </w:r>
    </w:p>
    <w:p>
      <w:pPr>
        <w:spacing w:after="0" w:line="225" w:lineRule="exact"/>
        <w:rPr>
          <w:sz w:val="20"/>
          <w:szCs w:val="20"/>
          <w:color w:val="auto"/>
        </w:rPr>
      </w:pPr>
    </w:p>
    <w:p>
      <w:pPr>
        <w:ind w:right="60" w:firstLine="432"/>
        <w:spacing w:after="0" w:line="284" w:lineRule="auto"/>
        <w:rPr>
          <w:sz w:val="20"/>
          <w:szCs w:val="20"/>
          <w:color w:val="auto"/>
        </w:rPr>
      </w:pPr>
      <w:r>
        <w:rPr>
          <w:rFonts w:ascii="Arial" w:cs="Arial" w:eastAsia="Arial" w:hAnsi="Arial"/>
          <w:sz w:val="16"/>
          <w:szCs w:val="16"/>
          <w:color w:val="auto"/>
        </w:rPr>
        <w:t>On March 20, 2013, Mr. Okada filed a complaint against the Company in Nevada state court for indemnification under the Company's Articles, bylaws and agreements with its directors. The complaint sought advancement of Mr. Okada's costs and expenses (including attorney's fees) incurred pursuant to the various legal proceedings and related regulatory investigations described above. The Company's answer and counterclaim was filed on April 15, 2013. The counterclaim named each of the Okada Parties as defendants and sought indemnification under the Company's Articles for costs and expenses (including attorney's fees) incurred pursuant to the various legal proceedings and related regulatory investigations described above. On April 30, 2013, Mr. Okada filed his reply to the counterclaim. On February 4, 2014, the court entered an order on the parties' stipulation that: (1) dismissed all claims Mr. Okada asserted against the Company; (2) reserved Mr. Okada's right to assert, in the future, any claims for indemnity following the resolution of the Redemption Action; and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(3) stayed the claims asserted by the Company against Mr. Okada pending the resolution of the Redemption Action.</w:t>
      </w:r>
    </w:p>
    <w:p>
      <w:pPr>
        <w:spacing w:after="0" w:line="211"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 Company believes the action commenced by Mr. Okada is without merit and will vigorously defend itself against the claims pleaded against it. Management has determined that based on proceedings to date, it is currently unable to determine the probability of the outcome of this action or the range of reasonably possible loss, if any.</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Macau Action:</w:t>
      </w:r>
    </w:p>
    <w:p>
      <w:pPr>
        <w:spacing w:after="0" w:line="225"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On July 3, 2015, WML announced that the Okada Parties filed a complaint in the Court of First Instance of Macau ("Macau Court") against Wynn Macau SA and certain individuals who are or were directors of Wynn Macau SA and or WML (collectively, the "Wynn Macau Parties"). The principal allegations in the lawsuit are that the redemption of the Okada Parties' shares in Wynn Resorts was improper and undervalued, that the previously disclosed payment by Wynn Macau SA to an unrelated third party in consideration of relinquishment by that party of certain rights in and to any future development on the land in Cotai where Wynn Palace is located was unlawful and that the previously disclosed donation by Wynn Resorts to the</w:t>
      </w:r>
    </w:p>
    <w:p>
      <w:pPr>
        <w:spacing w:after="0" w:line="36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1" w:right="25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62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University of Macau Development Foundation was unlawful. The plaintiffs seek dissolution of Wynn Macau SA and compensatory damages. The Macau Court has served the complaint on the defendants and the Wynn Macau Parties filed their response on May 17, 2016. On July 11, 2017, the Macau Court dismissed all claims by the Okada Parties as unfounded, fined the Okada Parties as vexatious litigants, and ordered the Okada Parties to pay for court costs and Wynn Macau Parties' attorney's fees.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Related Investigations and Derivative Litigation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Investigations:</w:t>
      </w:r>
    </w:p>
    <w:p>
      <w:pPr>
        <w:spacing w:after="0" w:line="225"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In the U.S. Department of Justice's Motion to Intervene and for Temporary and Partial Stay of Discovery in the Redemption Action, the Department of Justice states in a footnote that the government also has been conducting a criminal investigation into the Company's previously disclosed donation to the University of Macau Development Foundation. The Company has not received any target letter or subpoena in connection with such an investigation. The Company intends to cooperate fully with the government in response to any inquiry related to the donation to the University of Macau Development Foundation.</w:t>
      </w:r>
    </w:p>
    <w:p>
      <w:pPr>
        <w:spacing w:after="0" w:line="18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Other regulators may pursue separate investigations into the Company's compliance with applicable laws arising from the allegations in the matters described above and in response to the Counterclaim and other litigation filed by Mr. Okada suggesting improprieties in connection with the Company's donation to the University of Macau Development Foundation. While the Company believes that it is in full compliance with all applicable laws, any such investigations could result in actions by regulators against the Company. Prior investigations by the Nevada Gaming Control Board and SEC were closed with no actions taken.</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Derivative Claims:</w:t>
      </w:r>
    </w:p>
    <w:p>
      <w:pPr>
        <w:spacing w:after="0" w:line="225"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Six derivative actions were commenced against the Company and all members of its Board of Directors: four in the United States District Court, District of Nevada, and two in the Eighth Judicial District Court of Clark County, Nevada.</w:t>
      </w:r>
    </w:p>
    <w:p>
      <w:pPr>
        <w:spacing w:after="0" w:line="170"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The four federal actions brought by the plaintiffs (collectively, the “Federal Plaintiffs”) were consolidated. On February 1, 2013, the federal court dismissed the complaint for failure to plead adequately the futility of a pre-suit demand on the Board. The dismissal was without prejudice to the Federal Plaintiffs' ability to file a motion within 30 days seeking leave to file an amended complaint. On April 9, 2013, the Federal Plaintiffs filed their amended complaint. The Company and the directors filed their motion to dismiss the amended complaint on May 23, 2013. On March 13, 2014, the federal court granted the motion to dismiss and entered judgment in favor of the Company and directors and against the Federal Plaintiffs without prejudice. On April 10, 2014, the Federal Plaintiffs filed a notice of appeal to the United States Court of Appeals for the Ninth Circuit. On July 18, 2016, the Ninth Circuit affirmed the federal court's dismissal.</w:t>
      </w:r>
    </w:p>
    <w:p>
      <w:pPr>
        <w:spacing w:after="0" w:line="200" w:lineRule="exact"/>
        <w:rPr>
          <w:sz w:val="20"/>
          <w:szCs w:val="20"/>
          <w:color w:val="auto"/>
        </w:rPr>
      </w:pPr>
    </w:p>
    <w:p>
      <w:pPr>
        <w:spacing w:after="0" w:line="3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62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firstLine="432"/>
        <w:spacing w:after="0" w:line="267" w:lineRule="auto"/>
        <w:rPr>
          <w:sz w:val="20"/>
          <w:szCs w:val="20"/>
          <w:color w:val="auto"/>
        </w:rPr>
      </w:pPr>
      <w:r>
        <w:rPr>
          <w:rFonts w:ascii="Arial" w:cs="Arial" w:eastAsia="Arial" w:hAnsi="Arial"/>
          <w:sz w:val="17"/>
          <w:szCs w:val="17"/>
          <w:color w:val="auto"/>
        </w:rPr>
        <w:t>Two state derivative actions were commenced against the Company and all members of its Board of Directors in the Eighth Judicial District Court of Clark County, Nevada. These state court actions brought by the following plaintiffs have been consolidated: (1) IBEW Local 98 Pension Fund and (2) Danny Hinson (collectively, the "State Plaintiffs"). Through a coordination of efforts by all parties, the directors and the Company (a nominal defendant) have been served in all of the actions. The State Plaintiffs filed a consolidated complaint on July 20, 2012 asserting claims for (1) breach of fiduciary duty; (2) abuse of control; (3) gross mismanagement; and (4) unjust enrichment. The claims are against the Company and all Company directors during the applicable period, including Mr. Okada, as well as the Company's Chief Financial Officer who signed financial disclosures filed with the SEC during the applicable periods. The State Plaintiffs claim that the individual defendants failed to disclose to the Company's stockholders the investigation into, and the dispute with director Okada as well as the alleged potential violations of the FCPA related to, the University of Macau Development Foundation donation. The State Plaintiffs seek unspecified monetary damages (compensatory and punitive), disgorgement, reformation of corporate governance procedures, an order directing the Company to internally investigate the donation, as well as attorney's fees and costs. On October 13, 2012, the court entered the parties' stipulation providing for a stay of the state derivative action for 90 days, subject to the parties' obligation to monitor the progress of the pending litigation, discussed above, between Wynn Resorts (among others) and Mr. Okada (among others). Per the stipulation, the Company and the individual defendants were not required to respond to the consolidated complaint while the stay remained in effect. Following the expiration of the stay, the State Plaintiffs advised the Company and the individual defendants that they intended to resume the action by filing an amended complaint, which they did, on April 26, 2013. The Company and directors filed their motion to dismiss on June 10, 2013. However, on July 31, 2013, the parties agreed to a stipulation that was submitted to, and approved by the court. The stipulation contemplates a stay of the consolidated state court derivative action of equal duration as the Stay entered by the court in the Redemption Action. On June 18, 2014, the court entered a new stipulation between the parties that provides for further stay of the state derivative action and directs the parties, within 45 days of the conclusion of the latter of the Redemption Action or the federal derivative action, to discuss how the state derivative action should proceed and to file a joint report with the court.</w:t>
      </w:r>
    </w:p>
    <w:p>
      <w:pPr>
        <w:spacing w:after="0" w:line="190" w:lineRule="exact"/>
        <w:rPr>
          <w:sz w:val="20"/>
          <w:szCs w:val="20"/>
          <w:color w:val="auto"/>
        </w:rPr>
      </w:pPr>
    </w:p>
    <w:p>
      <w:pPr>
        <w:ind w:right="80" w:firstLine="432"/>
        <w:spacing w:after="0" w:line="308" w:lineRule="auto"/>
        <w:rPr>
          <w:sz w:val="20"/>
          <w:szCs w:val="20"/>
          <w:color w:val="auto"/>
        </w:rPr>
      </w:pPr>
      <w:r>
        <w:rPr>
          <w:rFonts w:ascii="Arial" w:cs="Arial" w:eastAsia="Arial" w:hAnsi="Arial"/>
          <w:sz w:val="17"/>
          <w:szCs w:val="17"/>
          <w:color w:val="auto"/>
        </w:rPr>
        <w:t>The individual defendants are vigorously defending against the claims pleaded against them. Management has determined that based on proceedings to date, it is currently unable to determine the probability of the outcome of these actions or the range of reasonably possible loss, if any.</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Massachusetts Gaming License Related Action</w:t>
      </w:r>
    </w:p>
    <w:p>
      <w:pPr>
        <w:spacing w:after="0" w:line="225" w:lineRule="exact"/>
        <w:rPr>
          <w:sz w:val="20"/>
          <w:szCs w:val="20"/>
          <w:color w:val="auto"/>
        </w:rPr>
      </w:pPr>
    </w:p>
    <w:p>
      <w:pPr>
        <w:ind w:right="220" w:firstLine="392"/>
        <w:spacing w:after="0" w:line="277" w:lineRule="auto"/>
        <w:rPr>
          <w:sz w:val="20"/>
          <w:szCs w:val="20"/>
          <w:color w:val="auto"/>
        </w:rPr>
      </w:pPr>
      <w:r>
        <w:rPr>
          <w:rFonts w:ascii="Arial" w:cs="Arial" w:eastAsia="Arial" w:hAnsi="Arial"/>
          <w:sz w:val="18"/>
          <w:szCs w:val="18"/>
          <w:color w:val="auto"/>
        </w:rPr>
        <w:t>On September 17, 2014, the Massachusetts Gaming Commission ("MGC") designated Wynn MA the award winner of the Greater Boston (Region A) gaming license. On November 7, 2014, the gaming license became effective.</w:t>
      </w:r>
    </w:p>
    <w:p>
      <w:pPr>
        <w:spacing w:after="0" w:line="170" w:lineRule="exact"/>
        <w:rPr>
          <w:sz w:val="20"/>
          <w:szCs w:val="20"/>
          <w:color w:val="auto"/>
        </w:rPr>
      </w:pPr>
    </w:p>
    <w:p>
      <w:pPr>
        <w:ind w:firstLine="392"/>
        <w:spacing w:after="0" w:line="285" w:lineRule="auto"/>
        <w:rPr>
          <w:sz w:val="20"/>
          <w:szCs w:val="20"/>
          <w:color w:val="auto"/>
        </w:rPr>
      </w:pPr>
      <w:r>
        <w:rPr>
          <w:rFonts w:ascii="Arial" w:cs="Arial" w:eastAsia="Arial" w:hAnsi="Arial"/>
          <w:sz w:val="16"/>
          <w:szCs w:val="16"/>
          <w:color w:val="auto"/>
        </w:rPr>
        <w:t>On October 16, 2014, the City of Revere, the host community to the unsuccessful bidder for the same license, and the International Brotherhood of Electrical Workers, Local 103 ("IBEW") filed a complaint against the MGC and each of the five gaming commissioners in Suffolk Superior Court in Boston, Massachusetts (the "Revere Action"). The complaint challenges the MGC's decision and alleges that the MGC failed to follow statutory requirements outlined in the Gaming Act. The complaint (1) seeks to appeal the administrative decision, (2) asserts that certiorari provides a remedy to correct errors in proceedings by an agency such as the MGC, (3) challenges the constitutionality of that section of the gaming law which bars judicial review of the MGC's decision to deny an applicant a gaming license, and (4) alleges violations of the open meeting law requirements. The court allowed Mohegan Sun ("Mohegan"), the other applicant for the Greater Boston (Region A) gaming license, to intervene in the Revere Action, and on February 23, 2015, Mohegan filed its complaint. The Mohegan complaint challenges the license award to Wynn MA, seeks judicial review of the MGC's decision, and seeks to vacate the MGC's license award to Wynn MA. On July 1, 2015, the MGC filed motions to dismiss Mohegan's and the City of Revere's complaints. On December 3, 2015, the court granted the motion to dismiss the claims asserted in the Revere Action. Also on December 3, 2015, the court granted the motion to dismiss three of the four counts asserted by Mohegan but denied the motion as to Mohegan's certiorari claim. The City of Revere and IBEW sought immediate appellate review of the dismissal of their claims and the MGC requested immediate appellate review of the court's denial of the MGC's motion to dismiss Mohegan's certiorari claim. All three petitions for interlocutory review were denied. On April 22, 2016, the MGC filed an appeal to the Massachusetts Supreme Judicial Court ("SJC"). On May 11, 2016, the SJC granted the application. The SJC granted the City of Revere and IBEW's application for direct appellate review. On March 10, 2017, the SJC affirmed the trial court’s dismissal of the City of Revere’s claims and IBEW’s claims. The SJC affirmed the court’s dismissal of Mohegan’s claims except for the certiorari claim, which the SJC remanded to the Suffolk Superior Court. The SJC reversed the court’s dismissal of the individual plaintiffs’ open meeting law claim and remanded that claim to the Suffolk Superior Court.</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Wynn MA was not named in the above complaint. The MGC retained private legal representation at its own nontaxpayer-funded expense.</w:t>
      </w:r>
    </w:p>
    <w:p>
      <w:pPr>
        <w:spacing w:after="0" w:line="200" w:lineRule="exact"/>
        <w:rPr>
          <w:sz w:val="20"/>
          <w:szCs w:val="20"/>
          <w:color w:val="auto"/>
        </w:rPr>
      </w:pPr>
    </w:p>
    <w:p>
      <w:pPr>
        <w:spacing w:after="0" w:line="2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1" w:right="25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Segment Information</w:t>
      </w:r>
    </w:p>
    <w:p>
      <w:pPr>
        <w:spacing w:after="0" w:line="229"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Company reviews the results of operations for each of its operating segments. Wynn Macau and Encore, an expansion at Wynn Macau, are managed as a single integrated resort and have been aggregated as one reportable segment ("Wynn Macau"). Wynn Palace is presented as a separate reportable segment and is combined with Wynn Macau (collectively, "Macau Operations") for geographical presentation. Wynn Las Vegas and Encore, an expansion at Wynn Las Vegas, are managed as a single integrated resort and have been aggregated as one reportable segment ("Las Vegas Operations"). The Company identifies each resort as a reportable segment considering operations within each resort have similar economic characteristics, type of customers, types of services and products, the regulatory environment of the operations and the Company's organizational and management reporting structure.</w:t>
      </w:r>
    </w:p>
    <w:p>
      <w:pPr>
        <w:spacing w:after="0" w:line="16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also reviews construction and development activities for each of its projects under development, in addition to its reportable segments. The Company separately identifies assets for its Wynn Boston Harbor development project. Other Macau primarily represents the Company's Macau holding company.</w:t>
      </w:r>
    </w:p>
    <w:p>
      <w:pPr>
        <w:spacing w:after="0" w:line="200" w:lineRule="exact"/>
        <w:rPr>
          <w:sz w:val="20"/>
          <w:szCs w:val="20"/>
          <w:color w:val="auto"/>
        </w:rPr>
      </w:pP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the Company's segment information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Macau Operations: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Wynn Macau</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682,709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639,315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1,269,740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1,247,558</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Wynn Palace</w:t>
            </w:r>
          </w:p>
        </w:tc>
        <w:tc>
          <w:tcPr>
            <w:tcW w:w="3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414,651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890,425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Macau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1,097,360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639,315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2,160,165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1,247,558</w:t>
            </w:r>
          </w:p>
        </w:tc>
        <w:tc>
          <w:tcPr>
            <w:tcW w:w="0" w:type="dxa"/>
            <w:vAlign w:val="bottom"/>
          </w:tcPr>
          <w:p>
            <w:pPr>
              <w:spacing w:after="0"/>
              <w:rPr>
                <w:sz w:val="1"/>
                <w:szCs w:val="1"/>
                <w:color w:val="auto"/>
              </w:rPr>
            </w:pPr>
          </w:p>
        </w:tc>
      </w:tr>
      <w:tr>
        <w:trPr>
          <w:trHeight w:val="243"/>
        </w:trPr>
        <w:tc>
          <w:tcPr>
            <w:tcW w:w="5620" w:type="dxa"/>
            <w:vAlign w:val="bottom"/>
          </w:tcPr>
          <w:p>
            <w:pPr>
              <w:ind w:left="220"/>
              <w:spacing w:after="0"/>
              <w:rPr>
                <w:sz w:val="20"/>
                <w:szCs w:val="20"/>
                <w:color w:val="auto"/>
              </w:rPr>
            </w:pPr>
            <w:r>
              <w:rPr>
                <w:rFonts w:ascii="Arial" w:cs="Arial" w:eastAsia="Arial" w:hAnsi="Arial"/>
                <w:sz w:val="18"/>
                <w:szCs w:val="18"/>
                <w:color w:val="auto"/>
              </w:rPr>
              <w:t>Las Vegas Operations</w:t>
            </w:r>
          </w:p>
        </w:tc>
        <w:tc>
          <w:tcPr>
            <w:tcW w:w="3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431,901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419,049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844,776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808,484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1,529,261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1,058,364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3,004,941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2,056,042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4"/>
                <w:szCs w:val="14"/>
                <w:b w:val="1"/>
                <w:bCs w:val="1"/>
                <w:color w:val="auto"/>
              </w:rPr>
              <w:t>(1)</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Macau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Wynn Macau</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210,398</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190,389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391,504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381,634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Wynn Palace</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87,403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199,259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660"/>
              <w:spacing w:after="0"/>
              <w:rPr>
                <w:sz w:val="20"/>
                <w:szCs w:val="20"/>
                <w:color w:val="auto"/>
              </w:rPr>
            </w:pPr>
            <w:r>
              <w:rPr>
                <w:rFonts w:ascii="Arial" w:cs="Arial" w:eastAsia="Arial" w:hAnsi="Arial"/>
                <w:sz w:val="18"/>
                <w:szCs w:val="18"/>
                <w:color w:val="auto"/>
              </w:rPr>
              <w:t>Total Macau Operations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297,801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190,389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590,763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381,634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Las Vegas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132,210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122,290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266,787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231,314</w:t>
            </w:r>
          </w:p>
        </w:tc>
        <w:tc>
          <w:tcPr>
            <w:tcW w:w="0" w:type="dxa"/>
            <w:vAlign w:val="bottom"/>
          </w:tcPr>
          <w:p>
            <w:pPr>
              <w:spacing w:after="0"/>
              <w:rPr>
                <w:sz w:val="1"/>
                <w:szCs w:val="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430,011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312,679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857,550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612,948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Pre-opening</w:t>
            </w:r>
          </w:p>
        </w:tc>
        <w:tc>
          <w:tcPr>
            <w:tcW w:w="3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6,758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45,949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12,537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79,718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137,686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79,749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277,506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157,720</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3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7,165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11,331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10,201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12,852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expenses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35,997</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10,580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10,297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18,787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20,808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Total other operating expenses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183,122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165,140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360,731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307,111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246,889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147,539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496,819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305,837</w:t>
            </w:r>
          </w:p>
        </w:tc>
        <w:tc>
          <w:tcPr>
            <w:tcW w:w="0" w:type="dxa"/>
            <w:vAlign w:val="bottom"/>
          </w:tcPr>
          <w:p>
            <w:pPr>
              <w:spacing w:after="0"/>
              <w:rPr>
                <w:sz w:val="1"/>
                <w:szCs w:val="1"/>
                <w:color w:val="auto"/>
              </w:rPr>
            </w:pPr>
          </w:p>
        </w:tc>
      </w:tr>
      <w:tr>
        <w:trPr>
          <w:trHeight w:val="22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Other non-operating income and expenses</w:t>
            </w: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6,262</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(97,739)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(69,257)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(196,001)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(114,029)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interest rate swap fair value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Change in Redemption Note fair value</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7,982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(28,264)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2,979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3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(17,947)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Total other non-operating income and expenses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(137,486)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(60,990)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(252,002)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(109,578)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109,403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86,549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244,817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196,259</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Benefit (provision) for income taxes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2,893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106,796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89,442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239,320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195,234</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(31,880)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(63,589)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(49,622)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74,916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70,391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175,731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145,612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660" w:hanging="652"/>
        <w:spacing w:after="0" w:line="297"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"Adjusted Property EBITDA" is net income before interest, taxes, depreciation and amortization, pre-opening expenses, property charges and other, management and license fees, corporate expenses and other (including intercompany golf course and water rights leases), stock-based compensation, change in interest rate swap fair value, change in Redemption Note fair value, loss on extinguishment of debt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w:t>
      </w:r>
    </w:p>
    <w:p>
      <w:pPr>
        <w:sectPr>
          <w:pgSz w:w="11900" w:h="16838" w:orient="portrait"/>
          <w:cols w:equalWidth="0" w:num="1">
            <w:col w:w="11420"/>
          </w:cols>
          <w:pgMar w:left="240" w:top="121" w:right="239" w:bottom="1440" w:gutter="0" w:footer="0" w:header="0"/>
        </w:sectPr>
      </w:pPr>
    </w:p>
    <w:p>
      <w:pPr>
        <w:spacing w:after="0" w:line="34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1" w:right="239" w:bottom="1440" w:gutter="0" w:footer="0" w:header="0"/>
          <w:type w:val="continuous"/>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26" w:lineRule="exact"/>
        <w:rPr>
          <w:sz w:val="20"/>
          <w:szCs w:val="20"/>
          <w:color w:val="auto"/>
        </w:rPr>
      </w:pPr>
    </w:p>
    <w:p>
      <w:pPr>
        <w:jc w:val="both"/>
        <w:ind w:left="660"/>
        <w:spacing w:after="0" w:line="339" w:lineRule="auto"/>
        <w:rPr>
          <w:sz w:val="20"/>
          <w:szCs w:val="20"/>
          <w:color w:val="auto"/>
        </w:rPr>
      </w:pPr>
      <w:r>
        <w:rPr>
          <w:rFonts w:ascii="Arial" w:cs="Arial" w:eastAsia="Arial" w:hAnsi="Arial"/>
          <w:sz w:val="16"/>
          <w:szCs w:val="16"/>
          <w:color w:val="auto"/>
        </w:rPr>
        <w:t>companies. Management uses Adjusted Property EBITDA as a measure of the operating performance of its segments and to compare the operating performance of its properties with those of its competitors, as well as a basis for determining certain incentive compensation.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GAAP. In order to view the operations of their casinos on a more stand-alone basis, gaming companies, including Wynn Resorts,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measures of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Macau Operations: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Wynn Macau</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1,106,481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1,161,670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Wynn Palace</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4,126,476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4,317,458</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Macau</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28,927</w:t>
            </w:r>
          </w:p>
        </w:tc>
      </w:tr>
      <w:tr>
        <w:trPr>
          <w:trHeight w:val="237"/>
        </w:trPr>
        <w:tc>
          <w:tcPr>
            <w:tcW w:w="8340" w:type="dxa"/>
            <w:vAlign w:val="bottom"/>
          </w:tcPr>
          <w:p>
            <w:pPr>
              <w:ind w:left="660"/>
              <w:spacing w:after="0"/>
              <w:rPr>
                <w:sz w:val="20"/>
                <w:szCs w:val="20"/>
                <w:color w:val="auto"/>
              </w:rPr>
            </w:pPr>
            <w:r>
              <w:rPr>
                <w:rFonts w:ascii="Arial" w:cs="Arial" w:eastAsia="Arial" w:hAnsi="Arial"/>
                <w:sz w:val="18"/>
                <w:szCs w:val="18"/>
                <w:color w:val="auto"/>
              </w:rPr>
              <w:t>Total Macau Operations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5,260,172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5,508,055</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Las Vegas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3,227,400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3,275,780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Wynn Boston Harbor</w:t>
            </w:r>
          </w:p>
        </w:tc>
        <w:tc>
          <w:tcPr>
            <w:tcW w:w="3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708,452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419,001</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2,660,875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2,750,721</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11,856,899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11,953,557</w:t>
            </w:r>
          </w:p>
        </w:tc>
      </w:tr>
      <w:tr>
        <w:trPr>
          <w:trHeight w:val="27"/>
        </w:trPr>
        <w:tc>
          <w:tcPr>
            <w:tcW w:w="8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Subsequent Event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July 25, 2017, the Company announced a cash dividend of $0.50 per share, payable on August 22, 2017 to stockholders of record as of August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in conjunction with our condensed consolidated financial statements and related notes included elsewhere in this Form 10-Q and our consolidated financial statements appearing in our annual report on Form 10-K for the year ended December 31, 2016. Unless the context otherwise requires, all references herein to the "Company," "we," "us," or "our," or similar terms, refer to Wynn Resorts, Limited, a Nevada corporation, and its consolidated subsidiaries. This discussion and analysis contains forward-looking statements. Please refer to the section below entitled "Special Note Regarding Forward-Looking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We are a developer, owner and operator of destination casino resorts (integrated resorts). In the Macau Special Administrative Region of the People's Republic of China ("Macau"), we own approximately 72% of Wynn Macau, Limited ("WML") and we operate the Wynn Macau and Wynn Palace resorts, which we refer to as our Macau Operations. In Las Vegas, Nevada, we operate and, with the exception of the majority of the retail space, we own 100% of Wynn Las Vegas, which we also refer to as our Las Vegas Operations. We are currently constructing Wynn Boston Harbor, an integrated casino resort in Everett, Massachusetts.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Macau Operations</w:t>
      </w:r>
    </w:p>
    <w:p>
      <w:pPr>
        <w:spacing w:after="0" w:line="22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operate our Macau Operations under a 20-year casino concession agreement granted by the Macau government in June 2002. We lease from the Macau government approximately 16 acres of land in downtown Macau's inner harbor where Wynn Macau is located and 51 acres of land in the Cotai area of Macau where Wynn Palace is located.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Wynn Macau features the following as of July 15, 2017:</w:t>
      </w:r>
    </w:p>
    <w:p>
      <w:pPr>
        <w:spacing w:after="0" w:line="279" w:lineRule="exact"/>
        <w:rPr>
          <w:sz w:val="20"/>
          <w:szCs w:val="20"/>
          <w:color w:val="auto"/>
        </w:rPr>
      </w:pPr>
    </w:p>
    <w:p>
      <w:pPr>
        <w:ind w:left="1300" w:right="14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281,000 square feet of casino space, offering 24-hour gaming and a full range of games with 314 table games and 958 slot machines, private gaming salons, sky casinos and a poker pit;</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Two luxury hotel towers with a total of 1,008 guest rooms and suites;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Eight food and beverage outlets;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59,000 square feet of high-end, brand-name retail shopping;</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31,000 square feet of meeting and convention space;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Recreation and leisure facilities, including two health clubs, spas, a salon and a pool;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rotunda show featuring a Chinese zodiac-inspired ceiling along with gold "prosperity tree" and "dragon of fortune" attractions.</w:t>
      </w:r>
    </w:p>
    <w:p>
      <w:pPr>
        <w:spacing w:after="0" w:line="2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Wynn Palace features the following as of July 15, 2017:</w:t>
      </w:r>
    </w:p>
    <w:p>
      <w:pPr>
        <w:spacing w:after="0" w:line="279" w:lineRule="exact"/>
        <w:rPr>
          <w:sz w:val="20"/>
          <w:szCs w:val="20"/>
          <w:color w:val="auto"/>
        </w:rPr>
      </w:pPr>
    </w:p>
    <w:p>
      <w:pPr>
        <w:ind w:left="1300" w:right="2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Approximately 420,000 square feet of casino space, offering 24-hour gaming and a full range of games with 310 table games and 1,119 slot machines, including private gaming salons, sky casinos and a poker pit;</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luxury hotel with a total of 1,706 guest rooms, suites and villas;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11 food and beverage outlets;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Approximately 106,000 square feet of high-end, brand-name retail shopping;</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Approximately 37,000 square feet of meeting and convention space;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Recreation and leisure facilities, including a gondola ride, health club, spa, salon and pool;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Public attractions including a performance lake, floral art displays and fine art displays.</w:t>
      </w:r>
    </w:p>
    <w:p>
      <w:pPr>
        <w:spacing w:after="0" w:line="279"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In response to our evaluation of our Macau Operations and our commitment to creating a unique customer experience, we have made and expect to continue to make enhancements and refinements to these resorts.</w:t>
      </w:r>
    </w:p>
    <w:p>
      <w:pPr>
        <w:spacing w:after="0" w:line="200" w:lineRule="exact"/>
        <w:rPr>
          <w:sz w:val="20"/>
          <w:szCs w:val="20"/>
          <w:color w:val="auto"/>
        </w:rPr>
      </w:pPr>
    </w:p>
    <w:p>
      <w:pPr>
        <w:spacing w:after="0" w:line="37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121" w:right="27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Las Vegas Operations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Wynn Las Vegas is located at the intersection of the Las Vegas Strip and Sands Avenue, and occupies approximately 215 acres of land fronting the Las Vegas Strip. In addition, we own approximately 18 acres across Sands Avenue, a portion of which is utilized for employee parking and an office building, and approximately five acres adjacent to the golf course upon which an office building is located.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Wynn Las Vegas features the following as of July 15, 2017:</w:t>
      </w:r>
    </w:p>
    <w:p>
      <w:pPr>
        <w:spacing w:after="0" w:line="387" w:lineRule="exact"/>
        <w:rPr>
          <w:sz w:val="20"/>
          <w:szCs w:val="20"/>
          <w:color w:val="auto"/>
        </w:rPr>
      </w:pPr>
    </w:p>
    <w:p>
      <w:pPr>
        <w:ind w:left="130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Approximately 189,000 square feet of casino space, offering 24-hour gaming and a full range of games with 229 table games and 1,841 slot machines, private gaming salons, a sky casino, a poker room, and a race and sports book;</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Two luxury hotel towers with a total of 4,748 guest rooms, suites and villas;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33 food and beverage outlets;</w:t>
      </w:r>
    </w:p>
    <w:p>
      <w:pPr>
        <w:spacing w:after="0" w:line="117" w:lineRule="exact"/>
        <w:rPr>
          <w:rFonts w:ascii="Arial" w:cs="Arial" w:eastAsia="Arial" w:hAnsi="Arial"/>
          <w:sz w:val="18"/>
          <w:szCs w:val="18"/>
          <w:color w:val="auto"/>
        </w:rPr>
      </w:pPr>
    </w:p>
    <w:p>
      <w:pPr>
        <w:ind w:left="1300" w:right="36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Approximately 95,000 square feet of high-end, brand-name retail shopping (of which, effective December 2016, approximately 88,000 square feet is owned and operated by a joint venture of which we own 50.1%);</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Approximately 290,000 square feet of meeting and convention space;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Three nightclubs and a beach club;</w:t>
      </w:r>
    </w:p>
    <w:p>
      <w:pPr>
        <w:spacing w:after="0" w:line="117"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Recreation and leisure facilities, including an 18-hole golf course, swimming pools, private cabanas, two full service spas and salons, and a wedding chapel; and</w:t>
      </w:r>
    </w:p>
    <w:p>
      <w:pPr>
        <w:spacing w:after="0" w:line="62" w:lineRule="exact"/>
        <w:rPr>
          <w:rFonts w:ascii="Arial" w:cs="Arial" w:eastAsia="Arial" w:hAnsi="Arial"/>
          <w:sz w:val="18"/>
          <w:szCs w:val="18"/>
          <w:color w:val="auto"/>
        </w:rPr>
      </w:pPr>
    </w:p>
    <w:p>
      <w:pPr>
        <w:ind w:left="1300" w:right="16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specially designed theater presenting "Le Rêve-The Dream," a water-based theatrical production and a theater presenting entertainment productions and various headliner entertainment acts.</w:t>
      </w:r>
    </w:p>
    <w:p>
      <w:pPr>
        <w:spacing w:after="0" w:line="224"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In December 2016, we formed a joint venture (the "Retail Joint Venture") with Crown Acquisitions Inc. ("Crown") to own and operate approximately 88,000 square feet of existing retail space (of which we own 50.1%) and signed an agreement with Crown to form a joint venture to own and operate approximately 73,000 square feet of additional retail space that is currently under construction at Wynn Las Vegas. We expect to open the majority of the additional retail space in the third quarter of 2018.</w:t>
      </w:r>
    </w:p>
    <w:p>
      <w:pPr>
        <w:spacing w:after="0" w:line="187"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In response to our evaluation of our Las Vegas Operations and our commitment to creating a unique customer experience, we have made and expect to continue to make enhancements and refinements to this resort.</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Construction and Development Opportunities</w:t>
      </w:r>
    </w:p>
    <w:p>
      <w:pPr>
        <w:spacing w:after="0" w:line="225"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We are currently constructing Wynn Boston Harbor, an integrated resort in Everett, Massachusetts, located adjacent to Boston along the Mystic River. The resort will contain a hotel, a waterfront boardwalk, meeting and convention space, casino space, a spa, retail offerings and food and beverage outlets. The total project budget, including gaming license fees, construction costs, capitalized interest, pre-opening expenses and land costs, is estimated to be approximately $2.4 billion. As of June 30, 2017, we have incurred $771.8 million in total project costs. We expect to open Wynn Boston Harbor in mid-2019. Additionally, we are in the planning phase for the re-development of the Wynn Las Vegas golf course. Phase 1 of the project is expected to include a lagoon and additional meeting and convention space. Based on current designs, we estimate the total project budget for Phase 1 to be approximately $500 million.</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continually seek out new opportunities for additional gaming or related businesses, in the United States, and worldwide.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Measures</w:t>
      </w:r>
    </w:p>
    <w:p>
      <w:pPr>
        <w:spacing w:after="0" w:line="229" w:lineRule="exact"/>
        <w:rPr>
          <w:sz w:val="20"/>
          <w:szCs w:val="20"/>
          <w:color w:val="auto"/>
        </w:rPr>
      </w:pPr>
    </w:p>
    <w:p>
      <w:pPr>
        <w:ind w:right="80" w:firstLine="432"/>
        <w:spacing w:after="0" w:line="308" w:lineRule="auto"/>
        <w:rPr>
          <w:sz w:val="20"/>
          <w:szCs w:val="20"/>
          <w:color w:val="auto"/>
        </w:rPr>
      </w:pPr>
      <w:r>
        <w:rPr>
          <w:rFonts w:ascii="Arial" w:cs="Arial" w:eastAsia="Arial" w:hAnsi="Arial"/>
          <w:sz w:val="17"/>
          <w:szCs w:val="17"/>
          <w:color w:val="auto"/>
        </w:rPr>
        <w:t>Certain key operating measures specific to the gaming industry are included in our discussion of our operational performance for the periods for which a Condensed Consolidated Statement of Income is presented. Below are definitions of these key operating measures discussed:</w:t>
      </w:r>
    </w:p>
    <w:p>
      <w:pPr>
        <w:spacing w:after="0" w:line="147" w:lineRule="exact"/>
        <w:rPr>
          <w:sz w:val="20"/>
          <w:szCs w:val="20"/>
          <w:color w:val="auto"/>
        </w:rPr>
      </w:pPr>
    </w:p>
    <w:p>
      <w:pPr>
        <w:ind w:left="1300" w:right="180" w:hanging="644"/>
        <w:spacing w:after="0" w:line="258"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Table drop for our Macau Operations is the amount of cash that is deposited in a gaming table's drop box plus cash chips purchased at the casino cage.</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Table drop for our Las Vegas Operations is the amount of cash and net markers issued that are deposited in a gaming table's drop box.</w:t>
      </w:r>
    </w:p>
    <w:p>
      <w:pPr>
        <w:spacing w:after="0" w:line="200" w:lineRule="exact"/>
        <w:rPr>
          <w:sz w:val="20"/>
          <w:szCs w:val="20"/>
          <w:color w:val="auto"/>
        </w:rPr>
      </w:pPr>
    </w:p>
    <w:p>
      <w:pPr>
        <w:spacing w:after="0" w:line="2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21" w:right="27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Rolling chips are non-negotiable identifiable chips that are used to track turnover for purposes of calculating incentives.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Turnover is the sum of all losing rolling chip wagers within our Macau Operations' VIP program.</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Table games win is the amount of table drop or turnover that is retained and recorded as casino revenues.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Slot machine win is the amount of handle (representing the total amount wagered) that is retained by us and is recorded as casino revenues.</w:t>
      </w:r>
    </w:p>
    <w:p>
      <w:pPr>
        <w:spacing w:after="0" w:line="32" w:lineRule="exact"/>
        <w:rPr>
          <w:rFonts w:ascii="Arial" w:cs="Arial" w:eastAsia="Arial" w:hAnsi="Arial"/>
          <w:sz w:val="16"/>
          <w:szCs w:val="16"/>
          <w:color w:val="auto"/>
        </w:rPr>
      </w:pPr>
    </w:p>
    <w:p>
      <w:pPr>
        <w:ind w:left="1300" w:right="40" w:hanging="644"/>
        <w:spacing w:after="0" w:line="250"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revenues, including the retail value of promotional allowances (less service charges, if any), by total rooms occupied, including complimentary rooms.</w:t>
      </w:r>
    </w:p>
    <w:p>
      <w:pPr>
        <w:ind w:left="1300" w:right="800" w:hanging="644"/>
        <w:spacing w:after="0" w:line="250"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revenues, including the retail value of promotional allowances (less service charges, if any), by total rooms available.</w:t>
      </w: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Occupancy is calculated by dividing total occupied rooms, including complimentary rooms, by the total rooms available.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Below is a discussion of the methodologies used to calculate win percentages at our resorts.</w:t>
      </w:r>
    </w:p>
    <w:p>
      <w:pPr>
        <w:spacing w:after="0" w:line="22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 our VIP operations in Macau, customers primarily purchase rolling chips from the casino cage and can only use them to make wagers. Winning wagers are paid in cash chips. The loss of the rolling chips in the VIP operations is recorded as turnover and provides a base for calculating VIP win percentage. It is customary in Macau to measure VIP play using this rolling chip method. We expect our win as a percentage of turnover from these operations to be within the range of 2.7% to 3.0%. In our mass market operations in Macau, customers may purchase cash chips at either the gaming tables or at the casino cage.</w:t>
      </w:r>
    </w:p>
    <w:p>
      <w:pPr>
        <w:spacing w:after="0" w:line="188"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The measurements from our VIP and mass market operations are not comparable as the measurement method used in our mass market operations tracks the initial purchase of chips at the table and at the casino cage, while the measurement method from our VIP operations tracks the sum of all losing wagers. Accordingly, the base measurement from the VIP operations is much larger than the base measurement from the mass market operations. As a result, the expected win percentage with the same amount of gaming win is smaller in the VIP operations when compared to the mass market operations.</w:t>
      </w:r>
    </w:p>
    <w:p>
      <w:pPr>
        <w:spacing w:after="0" w:line="154"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In Las Vegas, customers purchase chips at the gaming tables. The cash and net markers used to purchase chips are deposited in the gaming table's drop box. This is the base of measurement that we use for calculating win percentage in Las Vegas. Each type of table game has its own theoretical win percentage. Our expected table games win percentage in Las Vegas is 21% to 25%.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Summary second quarter 2017 results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our consolidated financial results for the periods presented (dollars 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5"/>
          </w:tcPr>
          <w:p>
            <w:pPr>
              <w:ind w:left="260"/>
              <w:spacing w:after="0"/>
              <w:rPr>
                <w:sz w:val="20"/>
                <w:szCs w:val="20"/>
                <w:color w:val="auto"/>
              </w:rPr>
            </w:pPr>
            <w:r>
              <w:rPr>
                <w:rFonts w:ascii="Arial" w:cs="Arial" w:eastAsia="Arial" w:hAnsi="Arial"/>
                <w:sz w:val="14"/>
                <w:szCs w:val="14"/>
                <w:b w:val="1"/>
                <w:bCs w:val="1"/>
                <w:color w:val="auto"/>
              </w:rPr>
              <w:t>Six Months Ended June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5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vMerge w:val="restart"/>
          </w:tcPr>
          <w:p>
            <w:pPr>
              <w:jc w:val="right"/>
              <w:ind w:right="47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vMerge w:val="restart"/>
          </w:tcPr>
          <w:p>
            <w:pPr>
              <w:jc w:val="right"/>
              <w:ind w:right="47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1020" w:type="dxa"/>
            <w:vAlign w:val="bottom"/>
            <w:gridSpan w:val="2"/>
          </w:tcPr>
          <w:p>
            <w:pPr>
              <w:ind w:left="220"/>
              <w:spacing w:after="0" w:line="139" w:lineRule="exact"/>
              <w:rPr>
                <w:sz w:val="20"/>
                <w:szCs w:val="20"/>
                <w:color w:val="auto"/>
              </w:rPr>
            </w:pPr>
            <w:r>
              <w:rPr>
                <w:rFonts w:ascii="Arial" w:cs="Arial" w:eastAsia="Arial" w:hAnsi="Arial"/>
                <w:sz w:val="14"/>
                <w:szCs w:val="14"/>
                <w:b w:val="1"/>
                <w:bCs w:val="1"/>
                <w:color w:val="auto"/>
              </w:rPr>
              <w:t>Percent</w:t>
            </w: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vMerge w:val="restart"/>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vMerge w:val="restart"/>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900" w:type="dxa"/>
            <w:vAlign w:val="bottom"/>
          </w:tcPr>
          <w:p>
            <w:pPr>
              <w:jc w:val="right"/>
              <w:ind w:right="136"/>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ind w:left="220"/>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13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1,529,261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1,058,364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3,004,941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2,056,042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rPr>
              <w:t>Net income attributable to Wynn Resorts,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Limited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74,916</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70,391</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175,731</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145,612</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income per share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0.73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Adjusted Property EBITDA</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430,011</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312,679</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857,550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612,948</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During the three months ended June 30, 2017, our net income attributable to Wynn Resorts, Limited was $74.9 million, an increase of $4.5 million, or 6.4% over $70.4 million for the same period of 2016, resulting in diluted earnings per share of $0.73. The increase in net income attributable to Wynn Resorts, Limited was primarily the result of income from Wynn Palace, which opened in the third quarter of 2016, partially offset by an increase in interest expense as the Company is no longer capitalizing interest on Wynn Palace, losses on extinguishment of debt and an increase in the Redemption Note fair value.</w:t>
      </w:r>
    </w:p>
    <w:p>
      <w:pPr>
        <w:spacing w:after="0" w:line="188"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During the six months ended June 30, 2017, our net income attributable to Wynn Resorts, Limited was $175.7 million, an increase of $30.1 million, or 20.7% over $145.6 million for the same period of 2016, resulting in diluted earnings per share of</w:t>
      </w: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$1.72. The increase in net income attributable to Wynn Resorts, Limited was primarily due to income from Wynn Palace, partially offset by increased interest expense. The increase in interest expense results from the Company no longer capitalizing interest on Wynn Palace and a $25.6 million out-of-period adjustment recorded in the first quarter of 2016 related to capitalized interest that reduced interest expense.</w:t>
      </w:r>
    </w:p>
    <w:p>
      <w:pPr>
        <w:spacing w:after="0" w:line="181"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Adjusted Property EBITDA increased 37.5%, or $117.3 million, to $430.0 million for the three months ended June 30, 2017, from $312.7 million for the same period of 2016, primarily as a result of $87.4 million from Wynn Palace and increases of $20.0 million and $9.9 million from Wynn Macau and our Las Vegas Operations, respectively.</w:t>
      </w:r>
    </w:p>
    <w:p>
      <w:pPr>
        <w:spacing w:after="0" w:line="181"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Adjusted Property EBITDA increased 39.9%, or $244.6 million, to $857.6 million for the six months ended June 30, 2017, from $612.9 million for the same period of 2016, primarily as a result of $199.3 million from Wynn Palace and increases of $35.5 million and $9.9 million from Las Vegas Operations and Wynn Macau,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June 30, 2017 compared to the three months ended June 30, 2016.</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net revenues from our Macau and Las Vegas Operations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1480" w:type="dxa"/>
            <w:vAlign w:val="bottom"/>
          </w:tcPr>
          <w:p>
            <w:pPr>
              <w:jc w:val="right"/>
              <w:ind w:right="422"/>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Macau Operations: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Wynn Macau</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682,709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639,315</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 xml:space="preserve">Wynn Palace </w:t>
            </w:r>
            <w:r>
              <w:rPr>
                <w:rFonts w:ascii="Arial" w:cs="Arial" w:eastAsia="Arial" w:hAnsi="Arial"/>
                <w:sz w:val="14"/>
                <w:szCs w:val="14"/>
                <w:color w:val="auto"/>
              </w:rPr>
              <w:t>(1)</w:t>
            </w:r>
          </w:p>
        </w:tc>
        <w:tc>
          <w:tcPr>
            <w:tcW w:w="38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414,651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Macau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1,097,360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639,315</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Las Vegas Operations</w:t>
            </w:r>
          </w:p>
        </w:tc>
        <w:tc>
          <w:tcPr>
            <w:tcW w:w="38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431,901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419,049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1,529,261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1,058,364</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4"/>
                <w:szCs w:val="14"/>
                <w:color w:val="auto"/>
              </w:rPr>
              <w:t>(1) Wynn Palace opened on August 22, 2016.</w:t>
            </w: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7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Net revenues increased 44.5%, or $470.9 million, to $1.53 billion for the three months ended June 30, 2017, from $1.06 billion for the same period of 2016. The increase was primarily due to $414.7 million from Wynn Palace and increases of $43.4 million and $12.9 million from Wynn Macau and our Las Vegas Operations, respectively.</w:t>
      </w:r>
    </w:p>
    <w:p>
      <w:pPr>
        <w:spacing w:after="0" w:line="181"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Non-casino revenues consist of operating revenues from rooms, food and beverage, entertainment, retail and other, less promotional allowances. The following table presents net revenues from our casino and non-casino revenues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1480" w:type="dxa"/>
            <w:vAlign w:val="bottom"/>
          </w:tcPr>
          <w:p>
            <w:pPr>
              <w:jc w:val="right"/>
              <w:ind w:right="42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Casino revenues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1,166,233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742,659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Non-casino revenues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363,028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315,705</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57"/>
        </w:trPr>
        <w:tc>
          <w:tcPr>
            <w:tcW w:w="67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1,529,261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1,058,364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Casino revenues were 76.3% of total net revenues for the three months ended June 30, 2017, compared to 70.2% for the same period of 2016, while non-casino revenues were 23.7% of total net revenues, compared to 29.8% for the same period of 2016.</w:t>
      </w:r>
    </w:p>
    <w:p>
      <w:pPr>
        <w:spacing w:after="0" w:line="200" w:lineRule="exact"/>
        <w:rPr>
          <w:sz w:val="20"/>
          <w:szCs w:val="20"/>
          <w:color w:val="auto"/>
        </w:rPr>
      </w:pPr>
    </w:p>
    <w:p>
      <w:pPr>
        <w:spacing w:after="0" w:line="38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Casino revenues</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Casino revenues increased 57.0%, or $423.6 million, to $1.17 billion for the three months ended June 30, 2017, from $742.7 million for the same period of 2016. The increase was primarily due to casino revenues of $372.2 million from Wynn Palace and an increase of $45.0 million from Wynn Macau. The increase in casino revenues from Wynn Macau was driven by a 35.3% increase in VIP turnover, partially offset by a decrease in VIP win as a percentage of turnover from 3.98% to 3.53% and a 9.0% decrease in table drop.</w:t>
      </w:r>
    </w:p>
    <w:p>
      <w:pPr>
        <w:spacing w:after="0" w:line="187"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Prior to the opening of Wynn Palace, the Gaming Inspection and Coordination Bureau of Macau authorized 100 new table games for operation at Wynn Palace with 25 additional table games authorized for operation on January 1, 2017, and a further 25 new table games for operation on January 1, 2018, for a total of 150 new table games in the aggregate. In addition, we have and will continue to share table games between Wynn Macau and Wynn Palace, subject to the aggregate cap, to optimize our casino operations. As of July 15, 2017, we had a total of 314 table games at Wynn Macau and 310 at Wynn Palace.</w:t>
      </w:r>
    </w:p>
    <w:p>
      <w:pPr>
        <w:spacing w:after="0" w:line="200" w:lineRule="exact"/>
        <w:rPr>
          <w:sz w:val="20"/>
          <w:szCs w:val="20"/>
          <w:color w:val="auto"/>
        </w:rPr>
      </w:pPr>
    </w:p>
    <w:p>
      <w:pPr>
        <w:spacing w:after="0" w:line="27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2" w:right="25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table below sets forth our casino revenues and associated key operating measures for our Macau and Las Vegas Operations (dollars in thousands, except for win per unit per day):</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8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ind w:left="3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ind w:right="55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39" w:lineRule="exact"/>
              <w:rPr>
                <w:sz w:val="20"/>
                <w:szCs w:val="20"/>
                <w:color w:val="auto"/>
              </w:rPr>
            </w:pPr>
            <w:r>
              <w:rPr>
                <w:rFonts w:ascii="Arial" w:cs="Arial" w:eastAsia="Arial" w:hAnsi="Arial"/>
                <w:sz w:val="14"/>
                <w:szCs w:val="14"/>
                <w:b w:val="1"/>
                <w:bCs w:val="1"/>
                <w:color w:val="auto"/>
                <w:w w:val="92"/>
              </w:rPr>
              <w:t>Increase/</w:t>
            </w:r>
          </w:p>
        </w:tc>
        <w:tc>
          <w:tcPr>
            <w:tcW w:w="1460" w:type="dxa"/>
            <w:vAlign w:val="bottom"/>
          </w:tcPr>
          <w:p>
            <w:pPr>
              <w:jc w:val="right"/>
              <w:ind w:right="411"/>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(Decrease)</w:t>
            </w:r>
          </w:p>
        </w:tc>
        <w:tc>
          <w:tcPr>
            <w:tcW w:w="1460" w:type="dxa"/>
            <w:vAlign w:val="bottom"/>
          </w:tcPr>
          <w:p>
            <w:pPr>
              <w:jc w:val="right"/>
              <w:ind w:right="41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120"/>
              <w:spacing w:after="0"/>
              <w:rPr>
                <w:sz w:val="20"/>
                <w:szCs w:val="20"/>
                <w:color w:val="auto"/>
              </w:rPr>
            </w:pPr>
            <w:r>
              <w:rPr>
                <w:rFonts w:ascii="Arial" w:cs="Arial" w:eastAsia="Arial" w:hAnsi="Arial"/>
                <w:sz w:val="18"/>
                <w:szCs w:val="18"/>
                <w:color w:val="auto"/>
              </w:rPr>
              <w:t>Wynn Macau:</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casino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654,712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609,755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44,957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VIP:</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VIP turnover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16,023,080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11,841,200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4,181,880</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566,091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470,976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95,115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VIP win as a % of turnover</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63,735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28,239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35,496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Mass market:</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drop</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1,067,718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1,173,234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(105,516)</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221,567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235,197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(13,630)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 %</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11,903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10,853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Average number of slot machines</w:t>
            </w: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867,889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806,453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61,436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Slot machine win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39,531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33,330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6,201</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84"/>
        </w:trPr>
        <w:tc>
          <w:tcPr>
            <w:tcW w:w="5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 xml:space="preserve">Wynn Palace </w:t>
            </w:r>
            <w:r>
              <w:rPr>
                <w:rFonts w:ascii="Arial" w:cs="Arial" w:eastAsia="Arial" w:hAnsi="Arial"/>
                <w:sz w:val="14"/>
                <w:szCs w:val="14"/>
                <w:color w:val="auto"/>
              </w:rPr>
              <w:t>(1)</w:t>
            </w: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Total casino 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372,224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372,224</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VIP:</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turnover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11,604,672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11,604,672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252,641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252,641</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win as a % of turnover</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26,541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26,541</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Mass market: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drop</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729,006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729,006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168,746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168,746</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9,203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9,203</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657,850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657,850</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34,814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34,814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Slot machine win per unit per day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5060" w:type="dxa"/>
            <w:vAlign w:val="bottom"/>
          </w:tcPr>
          <w:p>
            <w:pPr>
              <w:spacing w:after="0"/>
              <w:rPr>
                <w:sz w:val="20"/>
                <w:szCs w:val="20"/>
                <w:color w:val="auto"/>
              </w:rPr>
            </w:pPr>
            <w:r>
              <w:rPr>
                <w:rFonts w:ascii="Arial" w:cs="Arial" w:eastAsia="Arial" w:hAnsi="Arial"/>
                <w:sz w:val="14"/>
                <w:szCs w:val="14"/>
                <w:color w:val="auto"/>
              </w:rPr>
              <w:t>(1) Wynn Palace opened on August 22, 2016.</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3"/>
        </w:trPr>
        <w:tc>
          <w:tcPr>
            <w:tcW w:w="5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ind w:left="30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4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0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vMerge w:val="restart"/>
          </w:tcPr>
          <w:p>
            <w:pPr>
              <w:jc w:val="right"/>
              <w:ind w:right="47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39" w:lineRule="exact"/>
              <w:rPr>
                <w:sz w:val="20"/>
                <w:szCs w:val="20"/>
                <w:color w:val="auto"/>
              </w:rPr>
            </w:pPr>
            <w:r>
              <w:rPr>
                <w:rFonts w:ascii="Arial" w:cs="Arial" w:eastAsia="Arial" w:hAnsi="Arial"/>
                <w:sz w:val="14"/>
                <w:szCs w:val="14"/>
                <w:b w:val="1"/>
                <w:bCs w:val="1"/>
                <w:color w:val="auto"/>
                <w:w w:val="92"/>
              </w:rPr>
              <w:t>Increase/</w:t>
            </w:r>
          </w:p>
        </w:tc>
        <w:tc>
          <w:tcPr>
            <w:tcW w:w="1360" w:type="dxa"/>
            <w:vAlign w:val="bottom"/>
          </w:tcPr>
          <w:p>
            <w:pPr>
              <w:jc w:val="right"/>
              <w:ind w:right="353"/>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(Decrease)</w:t>
            </w:r>
          </w:p>
        </w:tc>
        <w:tc>
          <w:tcPr>
            <w:tcW w:w="1360" w:type="dxa"/>
            <w:vAlign w:val="bottom"/>
          </w:tcPr>
          <w:p>
            <w:pPr>
              <w:jc w:val="right"/>
              <w:ind w:right="35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5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380"/>
              <w:spacing w:after="0"/>
              <w:rPr>
                <w:sz w:val="20"/>
                <w:szCs w:val="20"/>
                <w:color w:val="auto"/>
              </w:rPr>
            </w:pPr>
            <w:r>
              <w:rPr>
                <w:rFonts w:ascii="Arial" w:cs="Arial" w:eastAsia="Arial" w:hAnsi="Arial"/>
                <w:sz w:val="18"/>
                <w:szCs w:val="18"/>
                <w:color w:val="auto"/>
              </w:rPr>
              <w:t>Total casino revenues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139,297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132,904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6,393</w:t>
            </w:r>
          </w:p>
        </w:tc>
        <w:tc>
          <w:tcPr>
            <w:tcW w:w="1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500" w:type="dxa"/>
            <w:vAlign w:val="bottom"/>
            <w:gridSpan w:val="2"/>
          </w:tcPr>
          <w:p>
            <w:pPr>
              <w:ind w:left="600"/>
              <w:spacing w:after="0"/>
              <w:rPr>
                <w:sz w:val="20"/>
                <w:szCs w:val="20"/>
                <w:color w:val="auto"/>
              </w:rPr>
            </w:pPr>
            <w:r>
              <w:rPr>
                <w:rFonts w:ascii="Arial" w:cs="Arial" w:eastAsia="Arial" w:hAnsi="Arial"/>
                <w:sz w:val="18"/>
                <w:szCs w:val="18"/>
                <w:color w:val="auto"/>
              </w:rPr>
              <w:t>Table drop</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419,338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427,418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(8,080)</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101,300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96,138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5,162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5500" w:type="dxa"/>
            <w:vAlign w:val="bottom"/>
            <w:gridSpan w:val="2"/>
          </w:tcPr>
          <w:p>
            <w:pPr>
              <w:ind w:left="600"/>
              <w:spacing w:after="0"/>
              <w:rPr>
                <w:sz w:val="20"/>
                <w:szCs w:val="20"/>
                <w:color w:val="auto"/>
              </w:rPr>
            </w:pPr>
            <w:r>
              <w:rPr>
                <w:rFonts w:ascii="Arial" w:cs="Arial" w:eastAsia="Arial" w:hAnsi="Arial"/>
                <w:sz w:val="18"/>
                <w:szCs w:val="18"/>
                <w:color w:val="auto"/>
              </w:rPr>
              <w:t>Table games win %</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4,749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4,450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5500" w:type="dxa"/>
            <w:vAlign w:val="bottom"/>
            <w:gridSpan w:val="2"/>
          </w:tcPr>
          <w:p>
            <w:pPr>
              <w:ind w:left="600"/>
              <w:spacing w:after="0"/>
              <w:rPr>
                <w:sz w:val="20"/>
                <w:szCs w:val="20"/>
                <w:color w:val="auto"/>
              </w:rPr>
            </w:pPr>
            <w:r>
              <w:rPr>
                <w:rFonts w:ascii="Arial" w:cs="Arial" w:eastAsia="Arial" w:hAnsi="Arial"/>
                <w:sz w:val="18"/>
                <w:szCs w:val="18"/>
                <w:color w:val="auto"/>
              </w:rPr>
              <w:t>Average number of slot machines</w:t>
            </w:r>
          </w:p>
        </w:tc>
        <w:tc>
          <w:tcPr>
            <w:tcW w:w="340" w:type="dxa"/>
            <w:vAlign w:val="bottom"/>
          </w:tcPr>
          <w:p>
            <w:pPr>
              <w:spacing w:after="0"/>
              <w:rPr>
                <w:sz w:val="21"/>
                <w:szCs w:val="21"/>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1,836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1,885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764,786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750,380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14,406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5500" w:type="dxa"/>
            <w:vAlign w:val="bottom"/>
            <w:gridSpan w:val="2"/>
          </w:tcPr>
          <w:p>
            <w:pPr>
              <w:ind w:left="600"/>
              <w:spacing w:after="0"/>
              <w:rPr>
                <w:sz w:val="20"/>
                <w:szCs w:val="20"/>
                <w:color w:val="auto"/>
              </w:rPr>
            </w:pPr>
            <w:r>
              <w:rPr>
                <w:rFonts w:ascii="Arial" w:cs="Arial" w:eastAsia="Arial" w:hAnsi="Arial"/>
                <w:sz w:val="18"/>
                <w:szCs w:val="18"/>
                <w:color w:val="auto"/>
              </w:rPr>
              <w:t>Slot machine win</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53,017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48,742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4,275</w:t>
            </w:r>
          </w:p>
        </w:tc>
        <w:tc>
          <w:tcPr>
            <w:tcW w:w="1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5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44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Non-casino revenues</w:t>
      </w:r>
    </w:p>
    <w:p>
      <w:pPr>
        <w:spacing w:after="0" w:line="225"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Non-casino revenues increased 15.0%, or $47.3 million, to $363.0 million for the three months ended June 30, 2017, from $315.7 million for the same period of 2016, primarily due to non-casino revenues of $42.4 million from Wynn Palace and an increase of $6.5 million from our Las Vegas Operations, partially offset by a decrease of $1.6 million from Wynn Macau.</w:t>
      </w:r>
    </w:p>
    <w:p>
      <w:pPr>
        <w:spacing w:after="0" w:line="181"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Room revenues increased 23.3%, or $33.3 million, to $176.2 million for the three months ended June 30, 2017, from $142.8 million for the same period of 2016, primarily due to $35.4 million from Wynn Palace, partially offset by a decrease of $3.6 million from Wynn Macau. The decrease from Wynn Macau was driven by an ADR decline of 19.6%, partially offset by a 6.0 percentage point increase in occupancy.</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sets forth our room revenues and associated key operating measures for our Macau and Las Vegas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 June 30,</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5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vMerge w:val="restart"/>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vMerge w:val="restart"/>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1180" w:type="dxa"/>
            <w:vAlign w:val="bottom"/>
          </w:tcPr>
          <w:p>
            <w:pPr>
              <w:jc w:val="right"/>
              <w:ind w:right="13"/>
              <w:spacing w:after="0" w:line="139" w:lineRule="exact"/>
              <w:rPr>
                <w:sz w:val="20"/>
                <w:szCs w:val="20"/>
                <w:color w:val="auto"/>
              </w:rPr>
            </w:pPr>
            <w:r>
              <w:rPr>
                <w:rFonts w:ascii="Arial" w:cs="Arial" w:eastAsia="Arial" w:hAnsi="Arial"/>
                <w:sz w:val="14"/>
                <w:szCs w:val="14"/>
                <w:b w:val="1"/>
                <w:bCs w:val="1"/>
                <w:color w:val="auto"/>
                <w:w w:val="99"/>
              </w:rPr>
              <w:t>Percent Change</w:t>
            </w:r>
          </w:p>
        </w:tc>
        <w:tc>
          <w:tcPr>
            <w:tcW w:w="0" w:type="dxa"/>
            <w:vAlign w:val="bottom"/>
          </w:tcPr>
          <w:p>
            <w:pPr>
              <w:spacing w:after="0"/>
              <w:rPr>
                <w:sz w:val="1"/>
                <w:szCs w:val="1"/>
                <w:color w:val="auto"/>
              </w:rPr>
            </w:pPr>
          </w:p>
        </w:tc>
      </w:tr>
      <w:tr>
        <w:trPr>
          <w:trHeight w:val="192"/>
        </w:trPr>
        <w:tc>
          <w:tcPr>
            <w:tcW w:w="65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160"/>
              <w:spacing w:after="0"/>
              <w:rPr>
                <w:sz w:val="20"/>
                <w:szCs w:val="20"/>
                <w:color w:val="auto"/>
              </w:rPr>
            </w:pPr>
            <w:r>
              <w:rPr>
                <w:rFonts w:ascii="Arial" w:cs="Arial" w:eastAsia="Arial" w:hAnsi="Arial"/>
                <w:sz w:val="18"/>
                <w:szCs w:val="18"/>
                <w:color w:val="auto"/>
              </w:rPr>
              <w:t>Wynn Macau:</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room revenues (dollars in thousands)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25,657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29,278</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Occupancy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ADR</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REVPAR</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 xml:space="preserve">Wynn Palace </w:t>
            </w:r>
            <w:r>
              <w:rPr>
                <w:rFonts w:ascii="Arial" w:cs="Arial" w:eastAsia="Arial" w:hAnsi="Arial"/>
                <w:sz w:val="14"/>
                <w:szCs w:val="14"/>
                <w:color w:val="auto"/>
              </w:rPr>
              <w:t>(2):</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Total room revenues (dollars in thousands)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35,377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Occupancy</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ADR</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REVPAR</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6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Total room revenues (dollars in thousands)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115,149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113,569</w:t>
            </w:r>
          </w:p>
        </w:tc>
        <w:tc>
          <w:tcPr>
            <w:tcW w:w="1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Occupancy</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ADR</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0"/>
        </w:trPr>
        <w:tc>
          <w:tcPr>
            <w:tcW w:w="6540" w:type="dxa"/>
            <w:vAlign w:val="bottom"/>
          </w:tcPr>
          <w:p>
            <w:pPr>
              <w:ind w:left="380"/>
              <w:spacing w:after="0"/>
              <w:rPr>
                <w:sz w:val="20"/>
                <w:szCs w:val="20"/>
                <w:color w:val="auto"/>
              </w:rPr>
            </w:pPr>
            <w:r>
              <w:rPr>
                <w:rFonts w:ascii="Arial" w:cs="Arial" w:eastAsia="Arial" w:hAnsi="Arial"/>
                <w:sz w:val="18"/>
                <w:szCs w:val="18"/>
                <w:color w:val="auto"/>
              </w:rPr>
              <w:t>REVPAR</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692086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0865" cy="171450"/>
                    </a:xfrm>
                    <a:prstGeom prst="rect">
                      <a:avLst/>
                    </a:prstGeom>
                    <a:noFill/>
                  </pic:spPr>
                </pic:pic>
              </a:graphicData>
            </a:graphic>
          </wp:anchor>
        </w:drawing>
      </w:r>
    </w:p>
    <w:p>
      <w:pPr>
        <w:ind w:left="220" w:hanging="212"/>
        <w:spacing w:after="0"/>
        <w:tabs>
          <w:tab w:leader="none" w:pos="2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Except occupancy, which is presented as a percentage point change.</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Wynn Palace opened on August 22, 2016.</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14"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Food and beverage revenues increased 13.8%, or $23.5 million, to $194.1 million for the three months ended June 30, 2017, from $170.6 million for the same period of 2016, primarily due to $19.7 million from Wynn Palace and an increase of $6.2 million from our Las Vegas Operations, partially offset by a decrease of $2.5 million from Wynn Macau.</w:t>
      </w:r>
    </w:p>
    <w:p>
      <w:pPr>
        <w:spacing w:after="0" w:line="181"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Entertainment, retail and other revenues increased 24.6%, or $20.2 million, to $102.2 million for the three months ended June 30, 2017, from $82.0 million for the same period of 2016. The increase was primarily due to $24.4 million from Wynn Palace, partially offset by decreases of $2.9 million and $1.3 million from our Las Vegas Operations and Wynn Macau, respectively.</w:t>
      </w:r>
    </w:p>
    <w:p>
      <w:pPr>
        <w:spacing w:after="0" w:line="18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Promotional allowances increased 37.2%, or $29.7 million, to $109.5 million for the three months ended June 30, 2017, from $79.8 million for the same period of 2016. The increase was primarily due to $37.0 million from Wynn Palace, partially offset by decreases of $5.8 million and $1.6 million from Wynn Macau and our Las Vegas Operations, respectively. The decreases from Wynn Macau and our Las Vegas Operations were primarily a result of a greater percentage of cash paying guests in our rooms and food and beverage outlets.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Operating expenses increased 40.8%, or $371.5 million, to $1.28 billion for the three months ended June 30, 2017, from $910.8 million for the same period of 2016, primarily due to increases in casino expenses of $292.9 million, depreciation and amortization of $57.9 million and general and administrative expenses of $44.7 million, partially offset by a decrease in pre-opening expenses of $39.2 million, all mainly related to the opening of Wynn Palace.</w:t>
      </w:r>
    </w:p>
    <w:p>
      <w:pPr>
        <w:spacing w:after="0" w:line="147" w:lineRule="exact"/>
        <w:rPr>
          <w:sz w:val="20"/>
          <w:szCs w:val="20"/>
          <w:color w:val="auto"/>
        </w:rPr>
      </w:pPr>
    </w:p>
    <w:p>
      <w:pPr>
        <w:ind w:right="340" w:firstLine="432"/>
        <w:spacing w:after="0" w:line="259" w:lineRule="auto"/>
        <w:rPr>
          <w:sz w:val="20"/>
          <w:szCs w:val="20"/>
          <w:color w:val="auto"/>
        </w:rPr>
      </w:pPr>
      <w:r>
        <w:rPr>
          <w:rFonts w:ascii="Arial" w:cs="Arial" w:eastAsia="Arial" w:hAnsi="Arial"/>
          <w:sz w:val="18"/>
          <w:szCs w:val="18"/>
          <w:color w:val="auto"/>
        </w:rPr>
        <w:t>Casino expenses increased 62.3%, or $292.9 million, to $763.2 million for the three months ended June 30, 2017, from $470.4 million for the same period of 2016, primarily due to $266.5 million from Wynn Palace and an increase of $27.7 million from Wynn Macau. The increase at Wynn Macau was driven by gaming taxes, which increased commensurate with the 7.4% increase in casino revenues, partially offset by a decrease in the cost of providing complimentaries.</w:t>
      </w:r>
    </w:p>
    <w:p>
      <w:pPr>
        <w:spacing w:after="0" w:line="187"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Room expenses increased 20.4%, or $7.8 million, to $45.8 million for the three months ended June 30, 2017, from $38.0 million for the same period of 2016. The increase was primarily due to $3.8 million from Wynn Palace and an increase of $3.9 million from our Las Vegas Operations mainly attributable to expenses associated with the increase in occupancy.</w:t>
      </w:r>
    </w:p>
    <w:p>
      <w:pPr>
        <w:spacing w:after="0" w:line="181" w:lineRule="exact"/>
        <w:rPr>
          <w:sz w:val="20"/>
          <w:szCs w:val="20"/>
          <w:color w:val="auto"/>
        </w:rPr>
      </w:pPr>
    </w:p>
    <w:p>
      <w:pPr>
        <w:ind w:right="20" w:firstLine="432"/>
        <w:spacing w:after="0" w:line="342" w:lineRule="auto"/>
        <w:rPr>
          <w:sz w:val="20"/>
          <w:szCs w:val="20"/>
          <w:color w:val="auto"/>
        </w:rPr>
      </w:pPr>
      <w:r>
        <w:rPr>
          <w:rFonts w:ascii="Arial" w:cs="Arial" w:eastAsia="Arial" w:hAnsi="Arial"/>
          <w:sz w:val="16"/>
          <w:szCs w:val="16"/>
          <w:color w:val="auto"/>
        </w:rPr>
        <w:t>Food and beverage expenses increased 10.7%, or $11.3 million, to $117.0 million for the three months ended June 30, 2017, from $105.7 million for the same period of 2016. The increase was primarily due to $9.5 million from Wynn Palace and an increase of $2.1 million from our Las Vegas Operations.</w:t>
      </w:r>
    </w:p>
    <w:p>
      <w:pPr>
        <w:spacing w:after="0" w:line="124"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Entertainment, retail, and other expenses increased 13.1%, or $4.9 million, to $42.6 million for the three months ended June 30, 2017, from $37.7 million for the same period of 2016, primarily related to Wynn Palace.</w:t>
      </w:r>
    </w:p>
    <w:p>
      <w:pPr>
        <w:spacing w:after="0" w:line="170"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General and administrative expenses increased 37.4%, or $44.7 million, to $164.2 million for the three months ended June 30, 2017, from $119.5 million for the same period of 2016, primarily related to Wynn Palace.</w:t>
      </w:r>
    </w:p>
    <w:p>
      <w:pPr>
        <w:spacing w:after="0" w:line="170"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Provision for doubtful accounts was a benefit of $2.1 million for the three months ended June 30, 2017, compared to an expense of $2.5 million for the same period of 2016. The change was primarily due to the impact of historical collection patterns and current collection trends, as well as the specific review of customer accounts, on our estimated allowance for the respective periods.</w:t>
      </w:r>
    </w:p>
    <w:p>
      <w:pPr>
        <w:spacing w:after="0" w:line="18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Pre-opening expenses were $6.8 million for the three months ended June 30, 2017, compared to $45.9 million for the same period of 2016. During the three months ended June 30, 2017, we incurred pre-opening expenses of $6.5 million related to Wynn Boston Harbor and $0.3 million at our Las Vegas Operations. During the three months ended June 30, 2016, we incurred pre-opening expenses of $39.3 million related to Wynn Palace, $5.3 million related to Wynn Boston Harbor and $1.4 million at our Las Vegas Operations.</w:t>
      </w:r>
    </w:p>
    <w:p>
      <w:pPr>
        <w:spacing w:after="0" w:line="187"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Depreciation and amortization increased 72.6%, or $57.9 million, to $137.7 million for the three months ended June 30, 2017, from $79.7 million for the same period of 2016. The increase was primarily due to the opening of Wynn Palace with the associated building and furniture, fixtures and equipment being placed in service.</w:t>
      </w:r>
    </w:p>
    <w:p>
      <w:pPr>
        <w:spacing w:after="0" w:line="200" w:lineRule="exact"/>
        <w:rPr>
          <w:sz w:val="20"/>
          <w:szCs w:val="20"/>
          <w:color w:val="auto"/>
        </w:rPr>
      </w:pP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Property charges and other were $7.2 million for the three months ended June 30, 2017, compared to $11.3 million for the same period of 2016. During the three months ended June 30, 2017, property charges and other primarily consisted of charges incurred from our Las Vegas Operations related to miscellaneous renovations and abandonments. During the three months ended June 30, 2016, our Las Vegas Operations incurred $7.5 million in asset abandonment charges primarily associated with the construction of additional retail space and $2.6 million of losses from the sale of assets.</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 net of amounts capitalized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related to interest expense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vMerge w:val="restart"/>
          </w:tcPr>
          <w:p>
            <w:pPr>
              <w:jc w:val="right"/>
              <w:ind w:right="55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1480" w:type="dxa"/>
            <w:vAlign w:val="bottom"/>
          </w:tcPr>
          <w:p>
            <w:pPr>
              <w:jc w:val="right"/>
              <w:ind w:right="42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6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380"/>
              <w:spacing w:after="0"/>
              <w:rPr>
                <w:sz w:val="20"/>
                <w:szCs w:val="20"/>
                <w:color w:val="auto"/>
              </w:rPr>
            </w:pPr>
            <w:r>
              <w:rPr>
                <w:rFonts w:ascii="Arial" w:cs="Arial" w:eastAsia="Arial" w:hAnsi="Arial"/>
                <w:sz w:val="18"/>
                <w:szCs w:val="18"/>
                <w:color w:val="auto"/>
                <w:w w:val="96"/>
              </w:rPr>
              <w:t>Interest cost, including amortization of deferred financing costs and original issue</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380"/>
              <w:spacing w:after="0"/>
              <w:rPr>
                <w:sz w:val="20"/>
                <w:szCs w:val="20"/>
                <w:color w:val="auto"/>
              </w:rPr>
            </w:pPr>
            <w:r>
              <w:rPr>
                <w:rFonts w:ascii="Arial" w:cs="Arial" w:eastAsia="Arial" w:hAnsi="Arial"/>
                <w:sz w:val="18"/>
                <w:szCs w:val="18"/>
                <w:color w:val="auto"/>
              </w:rPr>
              <w:t>discount and premium</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101,388</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96,059</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Capitalized interest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(3,649)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(26,802)</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97"/>
        </w:trPr>
        <w:tc>
          <w:tcPr>
            <w:tcW w:w="66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color w:val="auto"/>
              </w:rPr>
              <w:t>97,739</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69,257</w:t>
            </w:r>
          </w:p>
        </w:tc>
        <w:tc>
          <w:tcPr>
            <w:tcW w:w="1580" w:type="dxa"/>
            <w:vAlign w:val="bottom"/>
            <w:tcBorders>
              <w:bottom w:val="single" w:sz="8" w:color="CCEEFF"/>
            </w:tcBorders>
            <w:gridSpan w:val="2"/>
          </w:tcPr>
          <w:p>
            <w:pPr>
              <w:jc w:val="right"/>
              <w:ind w:right="28"/>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311"/>
        </w:trPr>
        <w:tc>
          <w:tcPr>
            <w:tcW w:w="66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Weighted average total debt balance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10,002,047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9,549,534</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interest rate</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Interest cost increased $5.3 million for the three months ended June 30, 2017, compared to the same period of 2016, primarily due to an increase in our weighted average total debt balance from borrowings under the Wynn America credit facilities. Capitalized interest decreased $23.2 million for the three months ended June 30, 2017, compared to the same period of 2016, primarily due to the completion of Wynn Palace construction activities in August 2016.</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non-operating income and expenses</w:t>
      </w:r>
    </w:p>
    <w:p>
      <w:pPr>
        <w:spacing w:after="0" w:line="225"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We incurred a loss of $12.4 million and a gain of $8.0 million for the three months ended June 30, 2017 and 2016, respectively, from the change in fair value of the Redemption Note. The change in fair value is a result of changes in certain variables used to calculate the estimated fair value. For further information on the fair value of the Redemption Note, see Item 1—"Notes to Condensed Consolidated Financial Statements," Note 2 "Summary of Significant Accounting Policies."</w:t>
      </w:r>
    </w:p>
    <w:p>
      <w:pPr>
        <w:spacing w:after="0" w:line="146" w:lineRule="exact"/>
        <w:rPr>
          <w:sz w:val="20"/>
          <w:szCs w:val="20"/>
          <w:color w:val="auto"/>
        </w:rPr>
      </w:pPr>
    </w:p>
    <w:p>
      <w:pPr>
        <w:jc w:val="both"/>
        <w:ind w:right="60" w:firstLine="432"/>
        <w:spacing w:after="0" w:line="286" w:lineRule="auto"/>
        <w:rPr>
          <w:sz w:val="20"/>
          <w:szCs w:val="20"/>
          <w:color w:val="auto"/>
        </w:rPr>
      </w:pPr>
      <w:r>
        <w:rPr>
          <w:rFonts w:ascii="Arial" w:cs="Arial" w:eastAsia="Arial" w:hAnsi="Arial"/>
          <w:sz w:val="17"/>
          <w:szCs w:val="17"/>
          <w:color w:val="auto"/>
        </w:rPr>
        <w:t>Interest income was $7.1 million for the three months ended June 30, 2017, compared to $2.8 million for the three months ended June 30, 2016. During 2017 and 2016, our short-term investment strategy has been to preserve capital while retaining sufficient liquidity. The majority of our short-term investment securities were in time deposits, fixed deposits and money market accounts with a maturity of three months or less.</w:t>
      </w:r>
    </w:p>
    <w:p>
      <w:pPr>
        <w:spacing w:after="0" w:line="166"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incurred losses on the extinguishment of debt of $22.3 million for the three months ended June 30, 2017. During the three months ended June 30, 2017, we completed a cash tender offer and subsequent redemption of our 5 3/8% First Mortgage Notes due 2022 (the "2022 Notes") and issued our 5 1/4% Senior Notes due 2027 (the "2027 Notes"). In connection with this refinancing, we recorded a loss on extinguishment of debt of $20.8 million. In addition, in connection with an amendment of our Wynn America credit facilities, we recorded a loss on extinguishment of debt of $1.5 million. We incurred no losses on the extinguishment of debt for the same period of 2016.</w:t>
      </w:r>
    </w:p>
    <w:p>
      <w:pPr>
        <w:spacing w:after="0" w:line="188"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incurred losses of $11.8 million and $1.5 million for the three months ended June 30, 2017 and 2016, respectively, from foreign currency remeasurements. The increased losses were primarily due to the impact of the exchange rate fluctuation of the Macau pataca, in relation to the U.S. dollar, on the remeasurements of U.S. dollar denominated debt and other obligations from our Macau-related entities.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ind w:right="240" w:firstLine="432"/>
        <w:spacing w:after="0" w:line="308" w:lineRule="auto"/>
        <w:rPr>
          <w:sz w:val="20"/>
          <w:szCs w:val="20"/>
          <w:color w:val="auto"/>
        </w:rPr>
      </w:pPr>
      <w:r>
        <w:rPr>
          <w:rFonts w:ascii="Arial" w:cs="Arial" w:eastAsia="Arial" w:hAnsi="Arial"/>
          <w:sz w:val="17"/>
          <w:szCs w:val="17"/>
          <w:color w:val="auto"/>
        </w:rPr>
        <w:t>We recorded income tax expense of $2.6 million for the three months ended June 30, 2017, compared to an income tax benefit of $2.9 million for the same period of 2016. These amounts primarily related to changes in the domestic valuation allowance for U.S. foreign tax credits ("FTCs").</w:t>
      </w:r>
    </w:p>
    <w:p>
      <w:pPr>
        <w:spacing w:after="0" w:line="200" w:lineRule="exact"/>
        <w:rPr>
          <w:sz w:val="20"/>
          <w:szCs w:val="20"/>
          <w:color w:val="auto"/>
        </w:rPr>
      </w:pPr>
    </w:p>
    <w:p>
      <w:pPr>
        <w:spacing w:after="0" w:line="3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22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Net income attributable to noncontrolling interests was $31.9 million for the three months ended June 30, 2017, compared to $19.1 million for the same period of 2016. These amounts were primarily related to the noncontrolling interests' share of net income from WML.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six months ended June 30, 2017 compared to the six months ended June 30, 2016.</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net revenues from our Macau and Las Vegas Operations (dollars in thousands):</w:t>
      </w:r>
    </w:p>
    <w:p>
      <w:pPr>
        <w:spacing w:after="0" w:line="200" w:lineRule="exact"/>
        <w:rPr>
          <w:sz w:val="20"/>
          <w:szCs w:val="20"/>
          <w:color w:val="auto"/>
        </w:rPr>
      </w:pPr>
    </w:p>
    <w:p>
      <w:pPr>
        <w:spacing w:after="0" w:line="246" w:lineRule="exact"/>
        <w:rPr>
          <w:sz w:val="20"/>
          <w:szCs w:val="20"/>
          <w:color w:val="auto"/>
        </w:rPr>
      </w:pPr>
    </w:p>
    <w:p>
      <w:pPr>
        <w:ind w:left="746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23495</wp:posOffset>
            </wp:positionV>
            <wp:extent cx="19640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Macau operations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Wynn Macau</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1,269,740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1,247,558</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 xml:space="preserve">Wynn Palace </w:t>
            </w:r>
            <w:r>
              <w:rPr>
                <w:rFonts w:ascii="Arial" w:cs="Arial" w:eastAsia="Arial" w:hAnsi="Arial"/>
                <w:sz w:val="14"/>
                <w:szCs w:val="14"/>
                <w:color w:val="auto"/>
              </w:rPr>
              <w:t>(1)</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890,425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Macau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2,160,165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1,247,558</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Las Vegas Operations</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844,776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808,484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3,004,941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2,056,042</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4"/>
                <w:szCs w:val="14"/>
                <w:color w:val="auto"/>
              </w:rPr>
              <w:t>(1) Wynn Palace opened on August 22, 2016.</w:t>
            </w: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7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Net revenues increased 46.2%, or $948.9 million, to $3.00 billion for the six months ended June 30, 2017, from $2.06 billion for the same period of 2016. The increase was primarily due to $890.4 million from Wynn Palace and increases of $36.3 million and $22.2 million from our Las Vegas Operations and Wynn Macau, respectively.</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net revenues from our casino and non-casino revenues (dollars in thousands):</w:t>
      </w:r>
    </w:p>
    <w:p>
      <w:pPr>
        <w:spacing w:after="0" w:line="200" w:lineRule="exact"/>
        <w:rPr>
          <w:sz w:val="20"/>
          <w:szCs w:val="20"/>
          <w:color w:val="auto"/>
        </w:rPr>
      </w:pPr>
    </w:p>
    <w:p>
      <w:pPr>
        <w:spacing w:after="0" w:line="246" w:lineRule="exact"/>
        <w:rPr>
          <w:sz w:val="20"/>
          <w:szCs w:val="20"/>
          <w:color w:val="auto"/>
        </w:rPr>
      </w:pPr>
    </w:p>
    <w:p>
      <w:pPr>
        <w:ind w:left="746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23495</wp:posOffset>
            </wp:positionV>
            <wp:extent cx="19640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Percent Change</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Casino revenues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2,317,457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1,475,389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57.1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Non-casino revenues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687,484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580,653</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57"/>
        </w:trPr>
        <w:tc>
          <w:tcPr>
            <w:tcW w:w="67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3,004,941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2,056,042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46.2</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Casino revenues were 77.1% of total net revenues for the six months ended June 30, 2017, compared to 71.8% for the same period of 2016, while non-casino revenues were 22.9% of total net revenues, compared to 28.2% for the same period of 2016.</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Casino revenues</w:t>
      </w:r>
    </w:p>
    <w:p>
      <w:pPr>
        <w:spacing w:after="0" w:line="225" w:lineRule="exact"/>
        <w:rPr>
          <w:sz w:val="20"/>
          <w:szCs w:val="20"/>
          <w:color w:val="auto"/>
        </w:rPr>
      </w:pPr>
    </w:p>
    <w:p>
      <w:pPr>
        <w:ind w:right="140" w:firstLine="405"/>
        <w:spacing w:after="0" w:line="297" w:lineRule="auto"/>
        <w:rPr>
          <w:sz w:val="20"/>
          <w:szCs w:val="20"/>
          <w:color w:val="auto"/>
        </w:rPr>
      </w:pPr>
      <w:r>
        <w:rPr>
          <w:rFonts w:ascii="Arial" w:cs="Arial" w:eastAsia="Arial" w:hAnsi="Arial"/>
          <w:sz w:val="16"/>
          <w:szCs w:val="16"/>
          <w:color w:val="auto"/>
        </w:rPr>
        <w:t>Casino revenues increased 57.1%, or $842.1 million, to $2.32 billion for the six months ended June 30, 2017, from $1.48 billion for the same period of 2016. The increase was primarily due to casino revenues of $802.2 million from Wynn Palace and increases of $28.1 million and $11.8 million from Wynn Macau and our Las Vegas Operations, respectively. The increase in casino revenues from Wynn Macau was driven by a 15.8% increase in VIP turnover, partially offset by a decrease in table drop of 7.5%. The increase in casino revenues from our Las Vegas Operations was primarily due to an increase in the table games win percentage of 1.9 percentage points from 24.5% to 26.4%, partially offset by a 2.7% decrease in table drop.</w:t>
      </w:r>
    </w:p>
    <w:p>
      <w:pPr>
        <w:spacing w:after="0" w:line="158"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table below sets forth our casino revenues and associated key operating measures for our Macau and Las Vegas Operations (dollars in thousands, except for win per unit per day):</w:t>
      </w:r>
    </w:p>
    <w:p>
      <w:pPr>
        <w:spacing w:after="0" w:line="200" w:lineRule="exact"/>
        <w:rPr>
          <w:sz w:val="20"/>
          <w:szCs w:val="20"/>
          <w:color w:val="auto"/>
        </w:rPr>
      </w:pP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61"/>
        </w:trPr>
        <w:tc>
          <w:tcPr>
            <w:tcW w:w="528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4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20" w:type="dxa"/>
            <w:vAlign w:val="bottom"/>
            <w:gridSpan w:val="5"/>
          </w:tcPr>
          <w:p>
            <w:pPr>
              <w:ind w:left="380"/>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0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vMerge w:val="restart"/>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vMerge w:val="restart"/>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Increase/(Decrease)</w:t>
            </w:r>
          </w:p>
        </w:tc>
        <w:tc>
          <w:tcPr>
            <w:tcW w:w="1460" w:type="dxa"/>
            <w:vAlign w:val="bottom"/>
          </w:tcPr>
          <w:p>
            <w:pPr>
              <w:jc w:val="right"/>
              <w:ind w:right="411"/>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60" w:type="dxa"/>
            <w:vAlign w:val="bottom"/>
          </w:tcPr>
          <w:p>
            <w:pPr>
              <w:jc w:val="right"/>
              <w:ind w:right="41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2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180"/>
              <w:spacing w:after="0"/>
              <w:rPr>
                <w:sz w:val="20"/>
                <w:szCs w:val="20"/>
                <w:color w:val="auto"/>
              </w:rPr>
            </w:pPr>
            <w:r>
              <w:rPr>
                <w:rFonts w:ascii="Arial" w:cs="Arial" w:eastAsia="Arial" w:hAnsi="Arial"/>
                <w:sz w:val="18"/>
                <w:szCs w:val="18"/>
                <w:color w:val="auto"/>
              </w:rPr>
              <w:t>Wynn Macau:</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casino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1,209,638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1,181,525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28,113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5280" w:type="dxa"/>
            <w:vAlign w:val="bottom"/>
            <w:gridSpan w:val="2"/>
          </w:tcPr>
          <w:p>
            <w:pPr>
              <w:ind w:left="380"/>
              <w:spacing w:after="0"/>
              <w:rPr>
                <w:sz w:val="20"/>
                <w:szCs w:val="20"/>
                <w:color w:val="auto"/>
              </w:rPr>
            </w:pPr>
            <w:r>
              <w:rPr>
                <w:rFonts w:ascii="Arial" w:cs="Arial" w:eastAsia="Arial" w:hAnsi="Arial"/>
                <w:sz w:val="18"/>
                <w:szCs w:val="18"/>
                <w:color w:val="auto"/>
              </w:rPr>
              <w:t>VIP:</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43"/>
        </w:trPr>
        <w:tc>
          <w:tcPr>
            <w:tcW w:w="5280" w:type="dxa"/>
            <w:vAlign w:val="bottom"/>
            <w:gridSpan w:val="2"/>
          </w:tcPr>
          <w:p>
            <w:pPr>
              <w:ind w:left="600"/>
              <w:spacing w:after="0"/>
              <w:rPr>
                <w:sz w:val="20"/>
                <w:szCs w:val="20"/>
                <w:color w:val="auto"/>
              </w:rPr>
            </w:pPr>
            <w:r>
              <w:rPr>
                <w:rFonts w:ascii="Arial" w:cs="Arial" w:eastAsia="Arial" w:hAnsi="Arial"/>
                <w:sz w:val="18"/>
                <w:szCs w:val="18"/>
                <w:color w:val="auto"/>
              </w:rPr>
              <w:t>VIP turnover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29,307,843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25,311,139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3,996,704</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1,005,002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849,628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155,374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3"/>
        </w:trPr>
        <w:tc>
          <w:tcPr>
            <w:tcW w:w="5280" w:type="dxa"/>
            <w:vAlign w:val="bottom"/>
            <w:gridSpan w:val="2"/>
          </w:tcPr>
          <w:p>
            <w:pPr>
              <w:ind w:left="600"/>
              <w:spacing w:after="0"/>
              <w:rPr>
                <w:sz w:val="20"/>
                <w:szCs w:val="20"/>
                <w:color w:val="auto"/>
              </w:rPr>
            </w:pPr>
            <w:r>
              <w:rPr>
                <w:rFonts w:ascii="Arial" w:cs="Arial" w:eastAsia="Arial" w:hAnsi="Arial"/>
                <w:sz w:val="18"/>
                <w:szCs w:val="18"/>
                <w:color w:val="auto"/>
              </w:rPr>
              <w:t>VIP win as a % of turnover</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60,129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25,052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35,077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43"/>
        </w:trPr>
        <w:tc>
          <w:tcPr>
            <w:tcW w:w="5280" w:type="dxa"/>
            <w:vAlign w:val="bottom"/>
            <w:gridSpan w:val="2"/>
          </w:tcPr>
          <w:p>
            <w:pPr>
              <w:ind w:left="380"/>
              <w:spacing w:after="0"/>
              <w:rPr>
                <w:sz w:val="20"/>
                <w:szCs w:val="20"/>
                <w:color w:val="auto"/>
              </w:rPr>
            </w:pPr>
            <w:r>
              <w:rPr>
                <w:rFonts w:ascii="Arial" w:cs="Arial" w:eastAsia="Arial" w:hAnsi="Arial"/>
                <w:sz w:val="18"/>
                <w:szCs w:val="18"/>
                <w:color w:val="auto"/>
              </w:rPr>
              <w:t>Mass market:</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43"/>
        </w:trPr>
        <w:tc>
          <w:tcPr>
            <w:tcW w:w="5280" w:type="dxa"/>
            <w:vAlign w:val="bottom"/>
            <w:gridSpan w:val="2"/>
          </w:tcPr>
          <w:p>
            <w:pPr>
              <w:ind w:left="600"/>
              <w:spacing w:after="0"/>
              <w:rPr>
                <w:sz w:val="20"/>
                <w:szCs w:val="20"/>
                <w:color w:val="auto"/>
              </w:rPr>
            </w:pPr>
            <w:r>
              <w:rPr>
                <w:rFonts w:ascii="Arial" w:cs="Arial" w:eastAsia="Arial" w:hAnsi="Arial"/>
                <w:sz w:val="18"/>
                <w:szCs w:val="18"/>
                <w:color w:val="auto"/>
              </w:rPr>
              <w:t>Table drop</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2,204,614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2,383,334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(178,720)</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434,471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482,697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(48,226)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5280" w:type="dxa"/>
            <w:vAlign w:val="bottom"/>
            <w:gridSpan w:val="2"/>
          </w:tcPr>
          <w:p>
            <w:pPr>
              <w:ind w:left="600"/>
              <w:spacing w:after="0"/>
              <w:rPr>
                <w:sz w:val="20"/>
                <w:szCs w:val="20"/>
                <w:color w:val="auto"/>
              </w:rPr>
            </w:pPr>
            <w:r>
              <w:rPr>
                <w:rFonts w:ascii="Arial" w:cs="Arial" w:eastAsia="Arial" w:hAnsi="Arial"/>
                <w:sz w:val="18"/>
                <w:szCs w:val="18"/>
                <w:color w:val="auto"/>
              </w:rPr>
              <w:t>Table games win %</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11,755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10,974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5280" w:type="dxa"/>
            <w:vAlign w:val="bottom"/>
            <w:gridSpan w:val="2"/>
          </w:tcPr>
          <w:p>
            <w:pPr>
              <w:ind w:left="600"/>
              <w:spacing w:after="0"/>
              <w:rPr>
                <w:sz w:val="20"/>
                <w:szCs w:val="20"/>
                <w:color w:val="auto"/>
              </w:rPr>
            </w:pPr>
            <w:r>
              <w:rPr>
                <w:rFonts w:ascii="Arial" w:cs="Arial" w:eastAsia="Arial" w:hAnsi="Arial"/>
                <w:sz w:val="18"/>
                <w:szCs w:val="18"/>
                <w:color w:val="auto"/>
              </w:rPr>
              <w:t>Average number of slot machines</w:t>
            </w: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1,724,572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1,902,790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(178,218)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5280" w:type="dxa"/>
            <w:vAlign w:val="bottom"/>
            <w:gridSpan w:val="2"/>
          </w:tcPr>
          <w:p>
            <w:pPr>
              <w:ind w:left="600"/>
              <w:spacing w:after="0"/>
              <w:rPr>
                <w:sz w:val="20"/>
                <w:szCs w:val="20"/>
                <w:color w:val="auto"/>
              </w:rPr>
            </w:pPr>
            <w:r>
              <w:rPr>
                <w:rFonts w:ascii="Arial" w:cs="Arial" w:eastAsia="Arial" w:hAnsi="Arial"/>
                <w:sz w:val="18"/>
                <w:szCs w:val="18"/>
                <w:color w:val="auto"/>
              </w:rPr>
              <w:t>Slot machine win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78,085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83,771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(5,686)</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84"/>
        </w:trPr>
        <w:tc>
          <w:tcPr>
            <w:tcW w:w="10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Wynn Palace (1):</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380"/>
              <w:spacing w:after="0"/>
              <w:rPr>
                <w:sz w:val="20"/>
                <w:szCs w:val="20"/>
                <w:color w:val="auto"/>
              </w:rPr>
            </w:pPr>
            <w:r>
              <w:rPr>
                <w:rFonts w:ascii="Arial" w:cs="Arial" w:eastAsia="Arial" w:hAnsi="Arial"/>
                <w:sz w:val="18"/>
                <w:szCs w:val="18"/>
                <w:color w:val="auto"/>
              </w:rPr>
              <w:t>Total casino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802,194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802,194</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VIP:</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600"/>
              <w:spacing w:after="0"/>
              <w:rPr>
                <w:sz w:val="20"/>
                <w:szCs w:val="20"/>
                <w:color w:val="auto"/>
              </w:rPr>
            </w:pPr>
            <w:r>
              <w:rPr>
                <w:rFonts w:ascii="Arial" w:cs="Arial" w:eastAsia="Arial" w:hAnsi="Arial"/>
                <w:sz w:val="18"/>
                <w:szCs w:val="18"/>
                <w:color w:val="auto"/>
              </w:rPr>
              <w:t>Average number of table games</w:t>
            </w: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VIP turnover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22,646,354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22,646,354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80" w:type="dxa"/>
            <w:vAlign w:val="bottom"/>
            <w:gridSpan w:val="2"/>
          </w:tcPr>
          <w:p>
            <w:pPr>
              <w:ind w:left="600"/>
              <w:spacing w:after="0"/>
              <w:rPr>
                <w:sz w:val="20"/>
                <w:szCs w:val="20"/>
                <w:color w:val="auto"/>
              </w:rPr>
            </w:pPr>
            <w:r>
              <w:rPr>
                <w:rFonts w:ascii="Arial" w:cs="Arial" w:eastAsia="Arial" w:hAnsi="Arial"/>
                <w:sz w:val="18"/>
                <w:szCs w:val="18"/>
                <w:color w:val="auto"/>
              </w:rPr>
              <w:t>Table games win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587,383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587,383</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VIP win as a % of turnover</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600"/>
              <w:spacing w:after="0"/>
              <w:rPr>
                <w:sz w:val="20"/>
                <w:szCs w:val="20"/>
                <w:color w:val="auto"/>
              </w:rPr>
            </w:pPr>
            <w:r>
              <w:rPr>
                <w:rFonts w:ascii="Arial" w:cs="Arial" w:eastAsia="Arial" w:hAnsi="Arial"/>
                <w:sz w:val="18"/>
                <w:szCs w:val="18"/>
                <w:color w:val="auto"/>
              </w:rPr>
              <w:t>Table games win per unit per day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33,141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33,141</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Mass market: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600"/>
              <w:spacing w:after="0"/>
              <w:rPr>
                <w:sz w:val="20"/>
                <w:szCs w:val="20"/>
                <w:color w:val="auto"/>
              </w:rPr>
            </w:pPr>
            <w:r>
              <w:rPr>
                <w:rFonts w:ascii="Arial" w:cs="Arial" w:eastAsia="Arial" w:hAnsi="Arial"/>
                <w:sz w:val="18"/>
                <w:szCs w:val="18"/>
                <w:color w:val="auto"/>
              </w:rPr>
              <w:t>Average number of table games</w:t>
            </w: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drop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1,499,024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1,499,024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80" w:type="dxa"/>
            <w:vAlign w:val="bottom"/>
            <w:gridSpan w:val="2"/>
          </w:tcPr>
          <w:p>
            <w:pPr>
              <w:ind w:left="600"/>
              <w:spacing w:after="0"/>
              <w:rPr>
                <w:sz w:val="20"/>
                <w:szCs w:val="20"/>
                <w:color w:val="auto"/>
              </w:rPr>
            </w:pPr>
            <w:r>
              <w:rPr>
                <w:rFonts w:ascii="Arial" w:cs="Arial" w:eastAsia="Arial" w:hAnsi="Arial"/>
                <w:sz w:val="18"/>
                <w:szCs w:val="18"/>
                <w:color w:val="auto"/>
              </w:rPr>
              <w:t>Table games win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336,373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336,373</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600"/>
              <w:spacing w:after="0"/>
              <w:rPr>
                <w:sz w:val="20"/>
                <w:szCs w:val="20"/>
                <w:color w:val="auto"/>
              </w:rPr>
            </w:pPr>
            <w:r>
              <w:rPr>
                <w:rFonts w:ascii="Arial" w:cs="Arial" w:eastAsia="Arial" w:hAnsi="Arial"/>
                <w:sz w:val="18"/>
                <w:szCs w:val="18"/>
                <w:color w:val="auto"/>
              </w:rPr>
              <w:t>Table games win per unit per day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9,019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9,019</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80" w:type="dxa"/>
            <w:vAlign w:val="bottom"/>
            <w:gridSpan w:val="2"/>
          </w:tcPr>
          <w:p>
            <w:pPr>
              <w:ind w:left="600"/>
              <w:spacing w:after="0"/>
              <w:rPr>
                <w:sz w:val="20"/>
                <w:szCs w:val="20"/>
                <w:color w:val="auto"/>
              </w:rPr>
            </w:pPr>
            <w:r>
              <w:rPr>
                <w:rFonts w:ascii="Arial" w:cs="Arial" w:eastAsia="Arial" w:hAnsi="Arial"/>
                <w:sz w:val="18"/>
                <w:szCs w:val="18"/>
                <w:color w:val="auto"/>
              </w:rPr>
              <w:t>Slot machine handle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1,315,430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1,315,430</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Slot machine win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68,748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68,748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80" w:type="dxa"/>
            <w:vAlign w:val="bottom"/>
            <w:gridSpan w:val="2"/>
          </w:tcPr>
          <w:p>
            <w:pPr>
              <w:ind w:left="600"/>
              <w:spacing w:after="0"/>
              <w:rPr>
                <w:sz w:val="20"/>
                <w:szCs w:val="20"/>
                <w:color w:val="auto"/>
              </w:rPr>
            </w:pPr>
            <w:r>
              <w:rPr>
                <w:rFonts w:ascii="Arial" w:cs="Arial" w:eastAsia="Arial" w:hAnsi="Arial"/>
                <w:sz w:val="18"/>
                <w:szCs w:val="18"/>
                <w:color w:val="auto"/>
              </w:rPr>
              <w:t>Slot machine win per unit per day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(1) Wynn Palace opened on August 22, 2016.</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14"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61"/>
        </w:trPr>
        <w:tc>
          <w:tcPr>
            <w:tcW w:w="528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4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5"/>
          </w:tcPr>
          <w:p>
            <w:pPr>
              <w:ind w:left="340"/>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0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right"/>
              <w:ind w:right="49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Increase/(Decrease)</w:t>
            </w:r>
          </w:p>
        </w:tc>
        <w:tc>
          <w:tcPr>
            <w:tcW w:w="1460" w:type="dxa"/>
            <w:vAlign w:val="bottom"/>
          </w:tcPr>
          <w:p>
            <w:pPr>
              <w:jc w:val="right"/>
              <w:ind w:right="413"/>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60" w:type="dxa"/>
            <w:vAlign w:val="bottom"/>
          </w:tcPr>
          <w:p>
            <w:pPr>
              <w:jc w:val="right"/>
              <w:ind w:right="41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2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380"/>
              <w:spacing w:after="0"/>
              <w:rPr>
                <w:sz w:val="20"/>
                <w:szCs w:val="20"/>
                <w:color w:val="auto"/>
              </w:rPr>
            </w:pPr>
            <w:r>
              <w:rPr>
                <w:rFonts w:ascii="Arial" w:cs="Arial" w:eastAsia="Arial" w:hAnsi="Arial"/>
                <w:sz w:val="18"/>
                <w:szCs w:val="18"/>
                <w:color w:val="auto"/>
              </w:rPr>
              <w:t>Total casino 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305,624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293,864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11,760</w:t>
            </w:r>
          </w:p>
        </w:tc>
        <w:tc>
          <w:tcPr>
            <w:tcW w:w="10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5280" w:type="dxa"/>
            <w:vAlign w:val="bottom"/>
            <w:gridSpan w:val="2"/>
          </w:tcPr>
          <w:p>
            <w:pPr>
              <w:ind w:left="600"/>
              <w:spacing w:after="0"/>
              <w:rPr>
                <w:sz w:val="20"/>
                <w:szCs w:val="20"/>
                <w:color w:val="auto"/>
              </w:rPr>
            </w:pPr>
            <w:r>
              <w:rPr>
                <w:rFonts w:ascii="Arial" w:cs="Arial" w:eastAsia="Arial" w:hAnsi="Arial"/>
                <w:sz w:val="18"/>
                <w:szCs w:val="18"/>
                <w:color w:val="auto"/>
              </w:rPr>
              <w:t>Table drop</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877,935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902,580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(24,645)</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232,147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221,184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10,963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5280" w:type="dxa"/>
            <w:vAlign w:val="bottom"/>
            <w:gridSpan w:val="2"/>
          </w:tcPr>
          <w:p>
            <w:pPr>
              <w:ind w:left="600"/>
              <w:spacing w:after="0"/>
              <w:rPr>
                <w:sz w:val="20"/>
                <w:szCs w:val="20"/>
                <w:color w:val="auto"/>
              </w:rPr>
            </w:pPr>
            <w:r>
              <w:rPr>
                <w:rFonts w:ascii="Arial" w:cs="Arial" w:eastAsia="Arial" w:hAnsi="Arial"/>
                <w:sz w:val="18"/>
                <w:szCs w:val="18"/>
                <w:color w:val="auto"/>
              </w:rPr>
              <w:t>Table games win %</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5,448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5,121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5280" w:type="dxa"/>
            <w:vAlign w:val="bottom"/>
            <w:gridSpan w:val="2"/>
          </w:tcPr>
          <w:p>
            <w:pPr>
              <w:ind w:left="600"/>
              <w:spacing w:after="0"/>
              <w:rPr>
                <w:sz w:val="20"/>
                <w:szCs w:val="20"/>
                <w:color w:val="auto"/>
              </w:rPr>
            </w:pPr>
            <w:r>
              <w:rPr>
                <w:rFonts w:ascii="Arial" w:cs="Arial" w:eastAsia="Arial" w:hAnsi="Arial"/>
                <w:sz w:val="18"/>
                <w:szCs w:val="18"/>
                <w:color w:val="auto"/>
              </w:rPr>
              <w:t>Average number of slot machines</w:t>
            </w:r>
          </w:p>
        </w:tc>
        <w:tc>
          <w:tcPr>
            <w:tcW w:w="32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1,887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1,530,700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1,467,840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62,860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5280" w:type="dxa"/>
            <w:vAlign w:val="bottom"/>
            <w:gridSpan w:val="2"/>
          </w:tcPr>
          <w:p>
            <w:pPr>
              <w:ind w:left="600"/>
              <w:spacing w:after="0"/>
              <w:rPr>
                <w:sz w:val="20"/>
                <w:szCs w:val="20"/>
                <w:color w:val="auto"/>
              </w:rPr>
            </w:pPr>
            <w:r>
              <w:rPr>
                <w:rFonts w:ascii="Arial" w:cs="Arial" w:eastAsia="Arial" w:hAnsi="Arial"/>
                <w:sz w:val="18"/>
                <w:szCs w:val="18"/>
                <w:color w:val="auto"/>
              </w:rPr>
              <w:t>Slot machine win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102,735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98,327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4,408</w:t>
            </w:r>
          </w:p>
        </w:tc>
        <w:tc>
          <w:tcPr>
            <w:tcW w:w="10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42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Non-casino revenues</w:t>
      </w:r>
    </w:p>
    <w:p>
      <w:pPr>
        <w:spacing w:after="0" w:line="225"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Non-casino revenues increased 18.4%, or $106.8 million, to $687.5 million for the six months ended June 30, 2017, from $580.7 million for the same period of 2016, primarily due to $88.2 million from Wynn Palace and an increase of $24.5 million from our Las Vegas Operations, partially offset by a decrease of $5.9 million from Wynn Macau.</w:t>
      </w:r>
    </w:p>
    <w:p>
      <w:pPr>
        <w:spacing w:after="0" w:line="18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Room revenues increased 28.0%, or $78.0 million, to $356.5 million for the six months ended June 30, 2017, from $278.4 million for the same period of 2016, primarily due to $75.1 million from Wynn Palace and an increase of $11.4 million from our Las Vegas Operations, partially offset by a decrease of $8.5 million from Wynn Macau. The increase experienced by our Las Vegas Operations was driven by a 3.6 percentage point increase in occupancy and an ADR increase of 1.7% while the decrease from Wynn Macau was a result of an ADR decline of 18.9%, partially offset by a 3.5 percentage point increase in occupancy.</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sets forth our room revenues and associated key operating measures for our Macau and Las Vegas Operations: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400"/>
              <w:spacing w:after="0"/>
              <w:rPr>
                <w:sz w:val="20"/>
                <w:szCs w:val="20"/>
                <w:color w:val="auto"/>
              </w:rPr>
            </w:pPr>
            <w:r>
              <w:rPr>
                <w:rFonts w:ascii="Arial" w:cs="Arial" w:eastAsia="Arial" w:hAnsi="Arial"/>
                <w:sz w:val="14"/>
                <w:szCs w:val="14"/>
                <w:b w:val="1"/>
                <w:bCs w:val="1"/>
                <w:color w:val="auto"/>
              </w:rPr>
              <w:t>Six Months Ended June 30,</w:t>
            </w:r>
          </w:p>
        </w:tc>
        <w:tc>
          <w:tcPr>
            <w:tcW w:w="1240" w:type="dxa"/>
            <w:vAlign w:val="bottom"/>
          </w:tcPr>
          <w:p>
            <w:pPr>
              <w:spacing w:after="0"/>
              <w:rPr>
                <w:sz w:val="16"/>
                <w:szCs w:val="16"/>
                <w:color w:val="auto"/>
              </w:rPr>
            </w:pPr>
          </w:p>
        </w:tc>
      </w:tr>
      <w:tr>
        <w:trPr>
          <w:trHeight w:val="264"/>
        </w:trPr>
        <w:tc>
          <w:tcPr>
            <w:tcW w:w="686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Percent Change (1)</w:t>
            </w: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Wynn Macau:</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room revenues (dollars in thousands)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51,193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59,731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Occupancy</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93.1%</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3.5</w:t>
            </w: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Wynn Palace (2):</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Total room revenues (dollars in thousands)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75,145</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Occupancy</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ADR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REVPAR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324"/>
        </w:trPr>
        <w:tc>
          <w:tcPr>
            <w:tcW w:w="6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Total room revenues (dollars in thousands)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230,112</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218,708</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5.2</w:t>
            </w: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Occupancy</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ADR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1.7</w:t>
            </w:r>
          </w:p>
        </w:tc>
      </w:tr>
      <w:tr>
        <w:trPr>
          <w:trHeight w:val="270"/>
        </w:trPr>
        <w:tc>
          <w:tcPr>
            <w:tcW w:w="6860" w:type="dxa"/>
            <w:vAlign w:val="bottom"/>
          </w:tcPr>
          <w:p>
            <w:pPr>
              <w:ind w:left="38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(1) Except occupancy, which is presented as a percentage point change.</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14" w:right="239" w:bottom="1440" w:gutter="0" w:footer="0" w:header="0"/>
          <w:type w:val="continuous"/>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(2) Wynn Palace opened on August 22, 2016.</w:t>
      </w:r>
    </w:p>
    <w:p>
      <w:pPr>
        <w:spacing w:after="0" w:line="168"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Food and beverage revenues increased 15.2%, or $45.9 million, to $347.0 million for the six months ended June 30, 2017, from $301.1 million for the same period of 2016, primarily due to $39.9 million from Wynn Palace and an increase of $12.7 million from our Las Vegas Operations, partially offset by a decrease of $6.8 million from Wynn Macau.</w:t>
      </w:r>
    </w:p>
    <w:p>
      <w:pPr>
        <w:spacing w:after="0" w:line="181"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Entertainment, retail and other revenues increased 25.1%, or $41.1 million, to $205.1 million for the six months ended June 30, 2017, from $164.0 million for the same period of 2016. The increase was primarily due to $50.0 million from Wynn Palace, partially offset by decreases of $5.0 million and $3.9 million from our Las Vegas Operations and Wynn Macau, respectively.</w:t>
      </w:r>
    </w:p>
    <w:p>
      <w:pPr>
        <w:spacing w:after="0" w:line="18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Promotional allowances increased 35.7%, or $58.2 million, to $221.1 million for the six months ended June 30, 2017, from $162.9 million for the same period of 2016. The increase was primarily due to $76.9 million from Wynn Palace, partially offset by decreases of $13.3 million and $5.4 million from Wynn Macau and our Las Vegas Operations, respectively. The decreases from Wynn Macau and our Las Vegas Operations were primarily a result of a greater percentage of cash paying guests in our rooms and food and beverage outlets.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Operating expenses increased 43.3%, or $757.9 million, to $2.51 billion for the six months ended June 30, 2017, from $1.75 billion for the same period of 2016, primarily due to an increase in casino expenses of $580.5 million, depreciation and amortization of $119.8 million, and general and administrative expenses of $87.2 million, partially offset by a decrease of $67.2 million in pre-opening expenses, all mainly related to the opening of Wynn Palace.</w:t>
      </w:r>
    </w:p>
    <w:p>
      <w:pPr>
        <w:spacing w:after="0" w:line="147"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Casino expenses increased 62.9%, or $580.5 million, to $1.50 billion for the six months ended June 30, 2017, from $922.9 million for the same period of 2016, primarily due to $566.4 million from Wynn Palace.</w:t>
      </w:r>
    </w:p>
    <w:p>
      <w:pPr>
        <w:spacing w:after="0" w:line="170"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Room expenses increased 19.2%, or $14.6 million, to $90.3 million for the six months ended June 30, 2017, from $75.7 million for the same period of 2016. The increase was primarily due to $7.8 million from Wynn Palace and an increase of $6.6 million from our Las Vegas Operations mainly attributable to expenses associated with the increase in occupancy.</w:t>
      </w:r>
    </w:p>
    <w:p>
      <w:pPr>
        <w:spacing w:after="0" w:line="181"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Food and beverage expenses increased 13.6%, or $25.2 million, to $210.4 million for the six months ended June 30, 2017, from $185.1 million for the same period of 2016. The increase was commensurate with the 15.2% increase in food and beverage revenues.</w:t>
      </w:r>
    </w:p>
    <w:p>
      <w:pPr>
        <w:spacing w:after="0" w:line="170"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Entertainment, retail and other expenses increased 13.0%, or $9.9 million, to $85.8 million for the six months ended June 30, 2017, from $76.0 million for the same period of 2016, primarily related to Wynn Palace.</w:t>
      </w:r>
    </w:p>
    <w:p>
      <w:pPr>
        <w:spacing w:after="0" w:line="170"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General and administrative expenses increased 36.8%, or $87.2 million, to $324.1 million for the six months ended June 30, 2017, from $237.0 million for the same period of 2016, primarily related to Wynn Palace.</w:t>
      </w:r>
    </w:p>
    <w:p>
      <w:pPr>
        <w:spacing w:after="0" w:line="170" w:lineRule="exact"/>
        <w:rPr>
          <w:sz w:val="20"/>
          <w:szCs w:val="20"/>
          <w:color w:val="auto"/>
        </w:rPr>
      </w:pPr>
    </w:p>
    <w:p>
      <w:pPr>
        <w:jc w:val="both"/>
        <w:ind w:right="260" w:firstLine="405"/>
        <w:spacing w:after="0" w:line="264" w:lineRule="auto"/>
        <w:rPr>
          <w:sz w:val="20"/>
          <w:szCs w:val="20"/>
          <w:color w:val="auto"/>
        </w:rPr>
      </w:pPr>
      <w:r>
        <w:rPr>
          <w:rFonts w:ascii="Arial" w:cs="Arial" w:eastAsia="Arial" w:hAnsi="Arial"/>
          <w:sz w:val="18"/>
          <w:szCs w:val="18"/>
          <w:color w:val="auto"/>
        </w:rPr>
        <w:t>Provision for doubtful accounts was a benefit of $6.2 million for the six months ended June 30, 2017, compared to an expense of $3.2 million for the same period of 2016. The change was due to the collection of casino accounts receivable that resulted in the reversal of previously recorded allowance for doubtful accounts.</w:t>
      </w:r>
    </w:p>
    <w:p>
      <w:pPr>
        <w:spacing w:after="0" w:line="18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Pre-opening expenses were $12.5 million for the six months ended June 30, 2017, compared to $79.7 million for the same period of 2016. During the six months ended June 30, 2017, we incurred pre-opening expenses of $12.0 million related to Wynn Boston Harbor and $0.5 million related to our Las Vegas Operations. During the six months ended June 30, 2016, we incurred pre-opening costs of $65.6 million related to Wynn Palace, $12.0 million related to Wynn Boston Harbor and $2.1 million at our Las Vegas Operations.</w:t>
      </w:r>
    </w:p>
    <w:p>
      <w:pPr>
        <w:spacing w:after="0" w:line="187" w:lineRule="exact"/>
        <w:rPr>
          <w:sz w:val="20"/>
          <w:szCs w:val="20"/>
          <w:color w:val="auto"/>
        </w:rPr>
      </w:pPr>
    </w:p>
    <w:p>
      <w:pPr>
        <w:jc w:val="both"/>
        <w:ind w:right="220" w:firstLine="405"/>
        <w:spacing w:after="0" w:line="264" w:lineRule="auto"/>
        <w:rPr>
          <w:sz w:val="20"/>
          <w:szCs w:val="20"/>
          <w:color w:val="auto"/>
        </w:rPr>
      </w:pPr>
      <w:r>
        <w:rPr>
          <w:rFonts w:ascii="Arial" w:cs="Arial" w:eastAsia="Arial" w:hAnsi="Arial"/>
          <w:sz w:val="18"/>
          <w:szCs w:val="18"/>
          <w:color w:val="auto"/>
        </w:rPr>
        <w:t>Depreciation and amortization increased 75.9%, or $119.8 million, to $277.5 million for the six months ended June 30, 2017, from $157.7 million for the same period of 2016. The increase was primarily due to the opening of Wynn Palace with the associated building and furniture, fixtures and equipment being placed in service.</w:t>
      </w:r>
    </w:p>
    <w:p>
      <w:pPr>
        <w:spacing w:after="0" w:line="181"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Property charges and other were $10.2 million for the six months ended June 30, 2017, compared to $12.9 million for the same period of 2016. During the six months ended June 30, 2017, property charges and other primarily consisted of charges incurred from our Las Vegas Operations related to miscellaneous renovations and abandonments. During the six months ended</w:t>
      </w:r>
    </w:p>
    <w:p>
      <w:pPr>
        <w:spacing w:after="0" w:line="200" w:lineRule="exact"/>
        <w:rPr>
          <w:sz w:val="20"/>
          <w:szCs w:val="20"/>
          <w:color w:val="auto"/>
        </w:rPr>
      </w:pP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2" w:right="25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June 30, 2016, our Las Vegas Operations incurred $7.5 million in asset abandonment charges, primarily associated with the current construction of additional retail space and $2.6 million of losses from the sale of assets.</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 net of amounts capitalized</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information related to interest expense (dollars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66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64"/>
        </w:trPr>
        <w:tc>
          <w:tcPr>
            <w:tcW w:w="66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Percent Change</w:t>
            </w:r>
          </w:p>
        </w:tc>
      </w:tr>
      <w:tr>
        <w:trPr>
          <w:trHeight w:val="25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9"/>
        </w:trPr>
        <w:tc>
          <w:tcPr>
            <w:tcW w:w="6680" w:type="dxa"/>
            <w:vAlign w:val="bottom"/>
          </w:tcPr>
          <w:p>
            <w:pPr>
              <w:ind w:left="360"/>
              <w:spacing w:after="0"/>
              <w:rPr>
                <w:sz w:val="20"/>
                <w:szCs w:val="20"/>
                <w:color w:val="auto"/>
              </w:rPr>
            </w:pPr>
            <w:r>
              <w:rPr>
                <w:rFonts w:ascii="Arial" w:cs="Arial" w:eastAsia="Arial" w:hAnsi="Arial"/>
                <w:sz w:val="18"/>
                <w:szCs w:val="18"/>
                <w:color w:val="auto"/>
                <w:w w:val="97"/>
              </w:rPr>
              <w:t>Interest cost, including amortization of deferred financing costs and original issue</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6680" w:type="dxa"/>
            <w:vAlign w:val="bottom"/>
          </w:tcPr>
          <w:p>
            <w:pPr>
              <w:ind w:left="360"/>
              <w:spacing w:after="0"/>
              <w:rPr>
                <w:sz w:val="20"/>
                <w:szCs w:val="20"/>
                <w:color w:val="auto"/>
              </w:rPr>
            </w:pPr>
            <w:r>
              <w:rPr>
                <w:rFonts w:ascii="Arial" w:cs="Arial" w:eastAsia="Arial" w:hAnsi="Arial"/>
                <w:sz w:val="18"/>
                <w:szCs w:val="18"/>
                <w:color w:val="auto"/>
              </w:rPr>
              <w:t>discount and premium</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202,107</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189,231</w:t>
            </w:r>
          </w:p>
        </w:tc>
        <w:tc>
          <w:tcPr>
            <w:tcW w:w="1340" w:type="dxa"/>
            <w:vAlign w:val="bottom"/>
            <w:gridSpan w:val="2"/>
          </w:tcPr>
          <w:p>
            <w:pPr>
              <w:jc w:val="right"/>
              <w:ind w:right="28"/>
              <w:spacing w:after="0"/>
              <w:rPr>
                <w:sz w:val="20"/>
                <w:szCs w:val="20"/>
                <w:color w:val="auto"/>
              </w:rPr>
            </w:pPr>
            <w:r>
              <w:rPr>
                <w:rFonts w:ascii="Arial" w:cs="Arial" w:eastAsia="Arial" w:hAnsi="Arial"/>
                <w:sz w:val="18"/>
                <w:szCs w:val="18"/>
                <w:color w:val="auto"/>
              </w:rPr>
              <w:t>6.8</w:t>
            </w:r>
          </w:p>
        </w:tc>
      </w:tr>
      <w:tr>
        <w:trPr>
          <w:trHeight w:val="27"/>
        </w:trPr>
        <w:tc>
          <w:tcPr>
            <w:tcW w:w="6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Capitalized interest</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(6,106)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(75,202)</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(91.9)</w:t>
            </w:r>
          </w:p>
        </w:tc>
      </w:tr>
      <w:tr>
        <w:trPr>
          <w:trHeight w:val="297"/>
        </w:trPr>
        <w:tc>
          <w:tcPr>
            <w:tcW w:w="668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color w:val="auto"/>
              </w:rPr>
              <w:t>196,001</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114,029</w:t>
            </w:r>
          </w:p>
        </w:tc>
        <w:tc>
          <w:tcPr>
            <w:tcW w:w="1340" w:type="dxa"/>
            <w:vAlign w:val="bottom"/>
            <w:tcBorders>
              <w:bottom w:val="single" w:sz="8" w:color="CCEEFF"/>
            </w:tcBorders>
            <w:gridSpan w:val="2"/>
          </w:tcPr>
          <w:p>
            <w:pPr>
              <w:jc w:val="right"/>
              <w:ind w:right="28"/>
              <w:spacing w:after="0"/>
              <w:rPr>
                <w:sz w:val="20"/>
                <w:szCs w:val="20"/>
                <w:color w:val="auto"/>
              </w:rPr>
            </w:pPr>
            <w:r>
              <w:rPr>
                <w:rFonts w:ascii="Arial" w:cs="Arial" w:eastAsia="Arial" w:hAnsi="Arial"/>
                <w:sz w:val="18"/>
                <w:szCs w:val="18"/>
                <w:color w:val="auto"/>
              </w:rPr>
              <w:t>71.9</w:t>
            </w:r>
          </w:p>
        </w:tc>
      </w:tr>
      <w:tr>
        <w:trPr>
          <w:trHeight w:val="311"/>
        </w:trPr>
        <w:tc>
          <w:tcPr>
            <w:tcW w:w="66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color w:val="auto"/>
              </w:rPr>
              <w:t>Weighted average total debt balance</w:t>
            </w:r>
          </w:p>
        </w:tc>
        <w:tc>
          <w:tcPr>
            <w:tcW w:w="320" w:type="dxa"/>
            <w:vAlign w:val="bottom"/>
          </w:tcPr>
          <w:p>
            <w:pPr>
              <w:spacing w:after="0"/>
              <w:rPr>
                <w:sz w:val="21"/>
                <w:szCs w:val="21"/>
                <w:color w:val="auto"/>
              </w:rPr>
            </w:pP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10,059,491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9,476,120</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interest rate</w:t>
            </w: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7"/>
        </w:trPr>
        <w:tc>
          <w:tcPr>
            <w:tcW w:w="66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60" w:firstLine="405"/>
        <w:spacing w:after="0" w:line="297" w:lineRule="auto"/>
        <w:rPr>
          <w:sz w:val="20"/>
          <w:szCs w:val="20"/>
          <w:color w:val="auto"/>
        </w:rPr>
      </w:pPr>
      <w:r>
        <w:rPr>
          <w:rFonts w:ascii="Arial" w:cs="Arial" w:eastAsia="Arial" w:hAnsi="Arial"/>
          <w:sz w:val="16"/>
          <w:szCs w:val="16"/>
          <w:color w:val="auto"/>
        </w:rPr>
        <w:t>Interest cost increased $12.9 million for the six months ended June 30, 2017, compared to the same period of 2016, primarily due to an increase in our weighted average total debt balance from borrowings under the Wynn America credit facilities. Capitalized interest decreased $69.1 million for the six months ended June 30, 2017, compared to the same period of 2016, primarily due to the completion of Wynn Palace construction activities in August 2016 and a $25.6 million out-of-period adjustment recorded in the first quarter of 2016. During the first quarter of 2016, we corrected immaterial amounts of additional interest that should have been capitalized instead of being expensed during the years ended December 31, 2015 and 2014.</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non-operating income and expenses</w:t>
      </w:r>
    </w:p>
    <w:p>
      <w:pPr>
        <w:spacing w:after="0" w:line="22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incurred a loss of $28.3 million and a gain of $3.0 million for the six months ended June 30, 2017 and 2016, respectively, from the change in the fair value of the Redemption Note. The change in fair value is a result of changes in certain variables used to calculate the estimated fair value. For further information on the fair value of the Redemption Note, see Item 1—"Notes to Condensed Consolidated Financial Statements," Note 2 "Summary of Significant Accounting Policies."</w:t>
      </w:r>
    </w:p>
    <w:p>
      <w:pPr>
        <w:spacing w:after="0" w:line="187"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Interest income was $13.5 million for the six months ended June 30, 2017, compared to $6.3 million for the same period of 2016. During 2017 and 2016, our short-term investment strategy has been to preserve capital while retaining sufficient liquidity. The majority of our short-term investment securities were in time deposits, fixed deposits and money market accounts with a maturity of three months or less.</w:t>
      </w:r>
    </w:p>
    <w:p>
      <w:pPr>
        <w:spacing w:after="0" w:line="181"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We incurred losses on the extinguishment of debt of $22.3 million for the six months ended June 30, 2017. During the six months ended June 30, 2017, we completed a cash tender offer and subsequent redemption of our 2022 Notes and issued the 2027 Notes. In connection with this refinancing, we recorded a loss on extinguishment of debt of $20.8 million. In addition, in connection with an amendment of our Wynn America credit facilities, we recorded a loss on extinguishment of debt of $1.5 million. We incurred no losses from the extinguishment of debt for the same period of 2016.</w:t>
      </w:r>
    </w:p>
    <w:p>
      <w:pPr>
        <w:spacing w:after="0" w:line="171"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We incurred losses of $17.9 million and $1.9 million for the six months ended June 30, 2017 and 2016, respectively, from foreign currency remeasurements. The increased losses were primarily due to the impact of the exchange rate fluctuation of the Macau pataca, in relation to the U.S. dollar, on the remeasurements of U.S. dollar denominated debt and other obligations from our Macau-related entities.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We recorded income tax expense of $5.5 million and $1.0 million for the six months ended June 30, 2017 and 2016, respectively. These amounts are primarily related to changes in the domestic valuation allowance for FTCs.</w:t>
      </w: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2" w:right="25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225"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Net income attributable to noncontrolling interests was $63.6 million for the six months ended June 30, 2017, compared to $49.6 million for the same period of 2016. These amounts were primarily related to the noncontrolling interests' share of net income from WML.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Property EBITDA</w:t>
      </w:r>
    </w:p>
    <w:p>
      <w:pPr>
        <w:spacing w:after="0" w:line="229" w:lineRule="exact"/>
        <w:rPr>
          <w:sz w:val="20"/>
          <w:szCs w:val="20"/>
          <w:color w:val="auto"/>
        </w:rPr>
      </w:pPr>
    </w:p>
    <w:p>
      <w:pPr>
        <w:ind w:firstLine="432"/>
        <w:spacing w:after="0" w:line="267" w:lineRule="auto"/>
        <w:rPr>
          <w:sz w:val="20"/>
          <w:szCs w:val="20"/>
          <w:color w:val="auto"/>
        </w:rPr>
      </w:pPr>
      <w:r>
        <w:rPr>
          <w:rFonts w:ascii="Arial" w:cs="Arial" w:eastAsia="Arial" w:hAnsi="Arial"/>
          <w:sz w:val="17"/>
          <w:szCs w:val="17"/>
          <w:color w:val="auto"/>
        </w:rPr>
        <w:t>We use Adjusted Property EBITDA to manage the operating results of our segments. Adjusted Property EBITDA is net income before interest, taxes, depreciation and amortization, pre-opening expenses, property charges and other, management and license fees, corporate expenses and other (including intercompany golf course and water rights leases), stock-based compensation, change in interest rate swap fair value, change in Redemption Note fair value, loss on extinguishment of debt and other non-operating income and expenses, and includes equity in income from unconsolidated affiliates. Adjusted Property EBITDA is presented exclusively as a supplemental disclosure because we believe that it is widely used to measure the performance, and as a basis for valuation, of gaming companies. We use Adjusted Property EBITDA as a measure of the operating performance of our segments and to compare the operating performance of our properties with those of our competitors, as well as a basis for determining certain incentive compensation. We also present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measures of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191"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following table summarizes Adjusted Property EBITDA (in thousands) for our Macau and Las Vegas Operations as reviewed by management and summarized in Item 1—"Notes to Condensed Consolidated Financial Statements," Note 15 "Segment Information." That footnote also presents a reconciliation of Adjusted Property EBITDA to net income attributable to Wynn Resorts, Limited.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26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Wynn Macau</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210,398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190,389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391,504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381,634</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Wynn Palace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87,403</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199,259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Las Vegas Operations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132,210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122,290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266,787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231,314</w:t>
            </w:r>
          </w:p>
        </w:tc>
      </w:tr>
      <w:tr>
        <w:trPr>
          <w:trHeight w:val="27"/>
        </w:trPr>
        <w:tc>
          <w:tcPr>
            <w:tcW w:w="52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Adjusted Property EBITDA at Wynn Macau increased 10.5% and 2.6% for the three and six months ended June 30, 2017, respectively, compared to the same period of 2016, primarily due to improved VIP operations driven by year-over-year increases in VIP turnover.</w:t>
      </w:r>
    </w:p>
    <w:p>
      <w:pPr>
        <w:spacing w:after="0" w:line="170" w:lineRule="exact"/>
        <w:rPr>
          <w:sz w:val="20"/>
          <w:szCs w:val="20"/>
          <w:color w:val="auto"/>
        </w:rPr>
      </w:pPr>
    </w:p>
    <w:p>
      <w:pPr>
        <w:ind w:right="360" w:firstLine="432"/>
        <w:spacing w:after="0" w:line="312" w:lineRule="auto"/>
        <w:rPr>
          <w:sz w:val="20"/>
          <w:szCs w:val="20"/>
          <w:color w:val="auto"/>
        </w:rPr>
      </w:pPr>
      <w:r>
        <w:rPr>
          <w:rFonts w:ascii="Arial" w:cs="Arial" w:eastAsia="Arial" w:hAnsi="Arial"/>
          <w:sz w:val="16"/>
          <w:szCs w:val="16"/>
          <w:color w:val="auto"/>
        </w:rPr>
        <w:t>Adjusted Property EBITDA at Wynn Palace was $87.4 million and $199.3 million for the three and six months ended June 30, 2017 and 2016, respectively. Although the ramp up of Wynn Palace continues to be impacted by construction surrounding the property, business volumes increased when compared to the three months ended March 31, 2017 and December 31, 2016, with increases in VIP turnover of 5.1% and 12.3%, respectively.</w:t>
      </w:r>
    </w:p>
    <w:p>
      <w:pPr>
        <w:spacing w:after="0" w:line="147"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Adjusted Property EBITDA at our Las Vegas Operations increased 8.1% and 15.3% for the three and six months ended June 30, 2017, respectively, compared to the same period of 2016. The increases in Adjusted Property EBITDA were primarily due to improved casino operations and food and beverage operations.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Refer to the discussion above regarding the specific details of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Our operating cash flows primarily consist of our operating income generated by our Macau and Las Vegas Operations (excluding depreciation and other non-cash charges), interest paid and earned, and changes in working capital accounts, such as receivables, inventories, prepaid expenses and payables. Our table games play both in Macau and Las Vegas is a mix of cash and credit play, while our slot machine play is conducted primarily on a cash basis. A significant portion of our table games revenue is attributable to the play of a limited number of premium international customers that gamble on credit. The ability to collect these gaming receivables may impact our operating cash flows for the period. Our rooms, food and beverage, and entertainment, retail and other revenue is conducted primarily on a cash basis or as a trade receivable. Accordingly, operating cash flows will be impacted by changes in operating income and accounts receivable.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Net cash provided by operations for the six months ended June 30, 2017 was $803.6 million, compared to $369.9 million for the same period of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primarily due to the operations of Wynn Palace and the change in ordinary working capital accounts.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Net cash used in investing activities for the six months ended June 30, 2017 was $397.3 million, compared to $605.8 million for the same period of 2016 and was primarily attributable to capital expenditures, net of construction payables and retention. Capital expenditures, net of construction payables and retention, of $392.6 million for the six months ended June 30, 2017, were primarily for Wynn Boston Harbor and capital expenditures, net of construction payables and retention, of $548.9 million for the six months ended June 30, 2016, were primarily for Wynn Palace.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Net cash used in financing activities for the six months ended June 30, 2017 was $369.0 million, compared to net cash provided by financing activities of $59.2 million for the same the period of 2016. During the six months ended June 30, 2017, we used cash of $1.36 billion for the repayment of long-term debt and $179.6 million for the payment of dividends. Our repayments consisted of $900.0 million to redeem our 2022 Notes, $270.3 million for repayment of borrowings under our Wynn Macau credit facilities and $189.6 million for repayment of borrowings under our WML Finance Credit Facility (defined below). These uses of cash were partially offset by $900.0 million in proceeds from the issuance of our 2027 Notes, $130.1 million in proceeds from borrowings under our Wynn Macau Credit Facilities and $189.9 million of cash released from restriction as collateral associated with our WML Finance Credit Facility. During the six months ended June 30, 2016, our net cash provided by financing activities was mainly due to borrowings of $305.8 million under our Wynn Macau Credit Facilities and WA Senior Term Loan Facility I (defined below), partially offset by dividends paid of $212.8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As of June 30, 2017, we had $2.49 billion of cash and cash equivalents and $312.6 million of available-for-sale investments in domestic and foreign debt securities and commercial paper. Cash and cash equivalents include cash on hand, cash in bank and fixed deposits, investments in money market funds, domestic and foreign bank time deposits and commercial paper, all with original maturities of less than 90 days. Of these amounts, WML and its subsidiaries (of which we own approximately 72%) held $300.0 million in cash. If our portion of this cash was repatriated to the U.S. on June 30, 2017, it would be subject to minimal U.S. taxes in the year of repatriation. Wynn America, LLC and Wynn Las Vegas, LLC held cash balances of $473.4 million and $207.0 million, respectively. Wynn Resorts, Limited (including its subsidiaries other than WML, Wynn America, LLC and Wynn Las Vegas, LLC), which is not a guarantor of the debt of its subsidiaries, held $1.51 billion of cash and cash equivalents and $312.6 million of available-for-sale investments.</w:t>
      </w:r>
    </w:p>
    <w:p>
      <w:pPr>
        <w:spacing w:after="0" w:line="167"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The Wynn Macau credit facilities consist of a $2.30 billion equivalent fully funded senior secured term loan facility and a $750 million equivalent senior secured revolving credit facility (the "Wynn Macau Credit Facilities"). Borrowings under the Wynn Macau Credit Facilities consist of both United States dollar and Hong Kong dollar tranches and were used to refinance Wynn Resorts (Macau) S.A.'s ("Wynn Macau SA") existing indebtedness and fund the construction and development of Wynn Palace and will be used for general corporate purposes. As of June 30, 2017, we had $548.8 million of available borrowing capacity under the senior secured revolving credit facility.</w:t>
      </w:r>
    </w:p>
    <w:p>
      <w:pPr>
        <w:spacing w:after="0" w:line="200" w:lineRule="exact"/>
        <w:rPr>
          <w:sz w:val="20"/>
          <w:szCs w:val="20"/>
          <w:color w:val="auto"/>
        </w:rPr>
      </w:pP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40"/>
          </w:cols>
          <w:pgMar w:left="240" w:top="122" w:right="31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The Wynn America credit facilities consist of a $875 million fully funded senior secured term loan facility ("WA Senior Term Loan Facility I"), a $125 million fully funded senior term loan facility (the "WA Senior Term Loan Facility II") and a $375 million senior secured revolving credit facility ("WA Senior Revolving Credit Facility", collectively, the "Wynn America Credit Facilities"). Borrowings under the Wynn America Credit Facilities have been and will be used to fund the development, construction and pre-opening expenses of Wynn Boston Harbor and for general corporate purposes. As of June 30, 2017, we had available borrowing capacity of $358.0 million, net of $17.0 million in outstanding letters of credit, under the WA Senior Revolving Credit Facility.</w:t>
      </w:r>
    </w:p>
    <w:p>
      <w:pPr>
        <w:spacing w:after="0" w:line="158"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On April 24, 2017, we amended the Wynn America Credit Facilities to, among other things, extend the maturity of portions of the credit facilities. Pursuant to the amendment, (i) the maturity date with respect to $805.4 million in aggregate principal amount of the WA Senior Term Loan Facility I was extended from November 2020 to December 2021, with repayment in quarterly installments of $20.1 million commencing in March 2020 and a final installment of $664.5 million in December 2021; (ii) the maturity date of the $125.0 million in aggregate principal amount of the WA Senior Term Loan Facility II was extended from November 2020 to December 2021, with no required scheduled repayments until maturity in December 2021; (iii) the maturity date with respect to $333.0 million in aggregate principal amount of the WA Senior Revolving Credit Facility was extended from November 2019 to December 2021.</w:t>
      </w:r>
    </w:p>
    <w:p>
      <w:pPr>
        <w:spacing w:after="0" w:line="108" w:lineRule="exact"/>
        <w:rPr>
          <w:sz w:val="20"/>
          <w:szCs w:val="20"/>
          <w:color w:val="auto"/>
        </w:rPr>
      </w:pPr>
    </w:p>
    <w:p>
      <w:pPr>
        <w:ind w:right="200" w:firstLine="432"/>
        <w:spacing w:after="0" w:line="286" w:lineRule="auto"/>
        <w:rPr>
          <w:sz w:val="20"/>
          <w:szCs w:val="20"/>
          <w:color w:val="auto"/>
        </w:rPr>
      </w:pPr>
      <w:r>
        <w:rPr>
          <w:rFonts w:ascii="Arial" w:cs="Arial" w:eastAsia="Arial" w:hAnsi="Arial"/>
          <w:sz w:val="17"/>
          <w:szCs w:val="17"/>
          <w:color w:val="auto"/>
        </w:rPr>
        <w:t>The WML Finance I, Limited credit facility consists of a HK$3.87 billion (approximately $495.9 million) cash-collateralized revolving credit facility ("WML Finance Credit Facility"). Borrowings under the WML Finance Credit Facility are in Hong Kong dollars and are used for working capital requirements and general corporate purposes. As of June 30, 2017, we had no borrowings under the WML Finance Credit Facility.</w:t>
      </w:r>
    </w:p>
    <w:p>
      <w:pPr>
        <w:spacing w:after="0" w:line="166"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During the quarter, we completed a cash tender offer and subsequent redemption of the $900 million 2022 Notes. In connection with this transaction, we issued $900 million 2027 Notes and used the net proceeds to cover the cost of extinguishing the 2022 Notes resulting in an extension of our scheduled maturities of long-term debt.</w:t>
      </w:r>
    </w:p>
    <w:p>
      <w:pPr>
        <w:spacing w:after="0" w:line="181" w:lineRule="exact"/>
        <w:rPr>
          <w:sz w:val="20"/>
          <w:szCs w:val="20"/>
          <w:color w:val="auto"/>
        </w:rPr>
      </w:pPr>
    </w:p>
    <w:p>
      <w:pPr>
        <w:jc w:val="both"/>
        <w:ind w:right="260" w:firstLine="432"/>
        <w:spacing w:after="0" w:line="264" w:lineRule="auto"/>
        <w:rPr>
          <w:sz w:val="20"/>
          <w:szCs w:val="20"/>
          <w:color w:val="auto"/>
        </w:rPr>
      </w:pPr>
      <w:r>
        <w:rPr>
          <w:rFonts w:ascii="Arial" w:cs="Arial" w:eastAsia="Arial" w:hAnsi="Arial"/>
          <w:sz w:val="18"/>
          <w:szCs w:val="18"/>
          <w:color w:val="auto"/>
        </w:rPr>
        <w:t>We expect that our future cash needs will relate primarily to operations, funding of development projects and enhancements to our operating resorts, debt service and retirement and general corporate purposes. We expect to meet our cash needs including our contractual obligations with future anticipated cash flow from operations, availability under our bank credit facilities and our existing cash balances.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interest rate swaps and foreign currency forward contracts. We do not have any retained or contingent interest in assets transferred to an unconsolidated entity. As of June 30, 2017, we had outstanding letters of credit totaling $17.0 million.</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225"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During the six months ended June 30, 2017, there have been no material changes to the contractual obligations previously reported in our Annual Report on Form 10-K for the year ended December 31, 2016, other than the increase of $1.32 billion to our future construction contracts and commitments based on the agreement entered into by Wynn MA, LLC on April 28, 2017 concerning the construction of Wynn Boston Harbor. We expect to open Wynn Boston Harbor in mid-2019. For further information on the agreement, see Item 1—"Notes to Condensed Consolidated Financial Statements," Note 14 "Commitments and Contingencies."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Factors Affecting Liquidity</w:t>
      </w:r>
    </w:p>
    <w:p>
      <w:pPr>
        <w:spacing w:after="0" w:line="225" w:lineRule="exact"/>
        <w:rPr>
          <w:sz w:val="20"/>
          <w:szCs w:val="20"/>
          <w:color w:val="auto"/>
        </w:rPr>
      </w:pPr>
    </w:p>
    <w:p>
      <w:pPr>
        <w:ind w:right="180" w:firstLine="432"/>
        <w:spacing w:after="0" w:line="312" w:lineRule="auto"/>
        <w:rPr>
          <w:sz w:val="20"/>
          <w:szCs w:val="20"/>
          <w:color w:val="auto"/>
        </w:rPr>
      </w:pPr>
      <w:r>
        <w:rPr>
          <w:rFonts w:ascii="Arial" w:cs="Arial" w:eastAsia="Arial" w:hAnsi="Arial"/>
          <w:sz w:val="16"/>
          <w:szCs w:val="16"/>
          <w:color w:val="auto"/>
        </w:rPr>
        <w:t>Wynn Resorts, Limited is a holding company and, as a result, our ability to pay dividends is highly dependent on our ability to obtain funds and our subsidiaries' ability to provide funds to us. Wynn America, LLC and Wynn Macau SA debt instruments contain customary negative covenants and financial covenants, including, but not limited to, covenants that restrict our ability to pay dividends or distributions to any direct or indirect subsidiaries.</w:t>
      </w:r>
    </w:p>
    <w:p>
      <w:pPr>
        <w:spacing w:after="0" w:line="147"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Wynn Las Vegas, LLC intends to fund its operations and capital requirements from cash on hand and operating cash flows. We cannot assure you however, that our Las Vegas Operations will generate sufficient cash flows from operations or the availability of additional indebtedness will be sufficient to enable us to service and repay Wynn Las Vegas, LLC's indebtedness and to fund its other liquidity needs. Similarly, we expect that our Macau Operations will fund Wynn Macau SA and WML's debt service obligations with existing cash, operating cash flows and availability under the Wynn Macau Credit Facilities. However, we cannot assure you that operating cash flows will be sufficient to do so. We may refinance all or a portion of our</w:t>
      </w:r>
    </w:p>
    <w:p>
      <w:pPr>
        <w:spacing w:after="0" w:line="34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2" w:right="25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indebtedness on or before maturity. We cannot assure you that we will be able to refinance any of the indebtedness on acceptable terms or at all.</w:t>
      </w:r>
    </w:p>
    <w:p>
      <w:pPr>
        <w:spacing w:after="0" w:line="237"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Legal proceedings in which we are involved also may impact our liquidity. No assurance can be provided as to the outcome of such proceedings. In addition, litigation inherently involves significant costs. For information regarding legal proceedings, see Item 1—"Notes to Condensed Consolidated Financial Statements," Note 14 "Commitments and Contingencies."</w:t>
      </w:r>
    </w:p>
    <w:p>
      <w:pPr>
        <w:spacing w:after="0" w:line="181"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The Company's Board of Directors has authorized an equity repurchase program. Under the equity repurchase program, we may repurchase the Company's outstanding shares from time to time through open market purchases, in privately negotiated transactions, and under plans complying with Rules 10b5-1 and 10b-18 under the Exchange Act. As of June 30, 2017, we had $1.0 billion in repurchase authority under the program.</w:t>
      </w:r>
    </w:p>
    <w:p>
      <w:pPr>
        <w:spacing w:after="0" w:line="166"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We have in the past repurchased, and in the future, we may periodically consider repurchasing our outstanding notes for cash. The amount of any notes to be repurchased, as well as the timing of any repurchases, will be based on business, market and other conditions and factors, including price, contractual requirements or consents, and capital availability.</w:t>
      </w:r>
    </w:p>
    <w:p>
      <w:pPr>
        <w:spacing w:after="0" w:line="181"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would require us to obtain additional financing. We may decide to conduct any such development through Wynn Resorts, Limited or through subsidiaries separate from the Las Vegas or Macau-related entities.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2016. There have been no significant changes to these policies for the six months ended June 30,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Standards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See related disclosure at Item 1—"Notes to Condensed Consolidated Financial Statements," Note 2 "Summary of Significant Accounting Policies."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make forward-looking statements in this Quarterly Report on Form 10-Q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188"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Forward-looking statements are subject to a number of risks and uncertainties that could cause actual results to differ materially from those we express in these forward-looking statements, including the risks and uncertainties in Item 1A — "Risk Factors" of our Annual Report on Form 10-K for the year ended December 31, 2016 and other factors we describe from time to time in our periodic filings with the Securities and Exchange Commission ("SEC"), such as:</w:t>
      </w:r>
    </w:p>
    <w:p>
      <w:pPr>
        <w:spacing w:after="0" w:line="187"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dependence on Stephen A. Wynn;</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general global political and economic conditions, in the U.S. and China, which may impact levels of travel, leisure and consumer spending;</w:t>
      </w:r>
    </w:p>
    <w:p>
      <w:pPr>
        <w:spacing w:after="0" w:line="32" w:lineRule="exact"/>
        <w:rPr>
          <w:rFonts w:ascii="Arial" w:cs="Arial" w:eastAsia="Arial" w:hAnsi="Arial"/>
          <w:sz w:val="16"/>
          <w:szCs w:val="16"/>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or conditions on visitation by citizens of mainland China to Macau;</w:t>
      </w:r>
    </w:p>
    <w:p>
      <w:pPr>
        <w:spacing w:after="0" w:line="9" w:lineRule="exact"/>
        <w:rPr>
          <w:rFonts w:ascii="Arial" w:cs="Arial" w:eastAsia="Arial" w:hAnsi="Arial"/>
          <w:sz w:val="18"/>
          <w:szCs w:val="18"/>
          <w:color w:val="auto"/>
        </w:rPr>
      </w:pPr>
    </w:p>
    <w:p>
      <w:pPr>
        <w:ind w:left="1300" w:right="200" w:hanging="644"/>
        <w:spacing w:after="0" w:line="250"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on the travel and leisure industry from factors such as an outbreak of an infectious disease, extreme weather patterns or natural disasters, military conflicts and any future security alerts and/or terrorist attacks;</w:t>
      </w: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doing business in foreign locations such as Macau;</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our customer relationships and collect and enforce gaming receivables;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relationships with Macau gaming promoters;</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right="300" w:hanging="644"/>
        <w:spacing w:after="0" w:line="258"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dependence on a limited number of resorts and locations for all of our cash flow and our subsidiaries' ability to pay us dividends and distributions;</w:t>
      </w:r>
    </w:p>
    <w:p>
      <w:pPr>
        <w:spacing w:after="0" w:line="1" w:lineRule="exact"/>
        <w:rPr>
          <w:rFonts w:ascii="Arial" w:cs="Arial" w:eastAsia="Arial" w:hAnsi="Arial"/>
          <w:sz w:val="18"/>
          <w:szCs w:val="18"/>
          <w:color w:val="auto"/>
        </w:rPr>
      </w:pPr>
    </w:p>
    <w:p>
      <w:pPr>
        <w:ind w:left="1300" w:right="360" w:hanging="644"/>
        <w:spacing w:after="0" w:line="25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 including new development and construction activities of competitors;</w:t>
      </w:r>
    </w:p>
    <w:p>
      <w:pPr>
        <w:jc w:val="both"/>
        <w:ind w:left="1300" w:right="20" w:hanging="644"/>
        <w:spacing w:after="0" w:line="25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factors affecting the development and success of new gaming and resort properties (including limited labor resources, government labor and gaming policies and transportation infrastructure in Macau; and cost increases, environmental regulation, and our ability to secure necessary permits and approvals in Everett, Massachusetts);</w:t>
      </w:r>
    </w:p>
    <w:p>
      <w:pPr>
        <w:spacing w:after="0" w:line="1" w:lineRule="exact"/>
        <w:rPr>
          <w:rFonts w:ascii="Arial" w:cs="Arial" w:eastAsia="Arial" w:hAnsi="Arial"/>
          <w:sz w:val="18"/>
          <w:szCs w:val="18"/>
          <w:color w:val="auto"/>
        </w:rPr>
      </w:pPr>
    </w:p>
    <w:p>
      <w:pPr>
        <w:ind w:left="1300" w:right="280" w:hanging="644"/>
        <w:spacing w:after="0" w:line="265" w:lineRule="auto"/>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construction risks (including disputes with and defaults by contractors and subcontractors; construction, equipment or staffing problems; shortages of materials or skilled labor; environment, health and safety issues; and unanticipated cost increases);</w:t>
      </w: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legalization of gaming in other jurisdictions;</w:t>
      </w:r>
    </w:p>
    <w:p>
      <w:pPr>
        <w:spacing w:after="0" w:line="9" w:lineRule="exact"/>
        <w:rPr>
          <w:rFonts w:ascii="Arial" w:cs="Arial" w:eastAsia="Arial" w:hAnsi="Arial"/>
          <w:sz w:val="18"/>
          <w:szCs w:val="18"/>
          <w:color w:val="auto"/>
        </w:rPr>
      </w:pPr>
    </w:p>
    <w:p>
      <w:pPr>
        <w:ind w:left="1300" w:right="120" w:hanging="644"/>
        <w:spacing w:after="0" w:line="25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extensive regulation of our business (including the Chinese government's ongoing anti-corruption campaign) and the cost of compliance or failure to comply with applicable laws and regulations;</w:t>
      </w: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pending or future legal proceedings, regulatory or enforcement actions or probity investigations;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our gaming licenses and concessions;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violations by us of the anti-money laundering laws or Foreign Corrupt Practices Act;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gaming laws or regulations;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federal, foreign, or state tax laws or the administration of such laws;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violations of law by Mr. Kazuo Okada, a former shareholder of ours;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valuation of the promissory note we issued in connection with the redemption of Mr. Okada's shares;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continued compliance with all provisions in our debt agreements;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conditions precedent to funding under our credit facilities;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cybersecurity risk including misappropriation of customer information or other breaches of information security;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current and future insurance coverage levels.</w:t>
      </w:r>
    </w:p>
    <w:p>
      <w:pPr>
        <w:spacing w:after="0" w:line="21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Risks</w:t>
      </w:r>
    </w:p>
    <w:p>
      <w:pPr>
        <w:spacing w:after="0" w:line="225"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supplemented by hedging activities as believed by us to be appropriate. We cannot assure you that these risk management strategies will have the desired effect, and interest rate fluctuations could have a negative impact on our results of operations.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Swap Information</w:t>
      </w:r>
    </w:p>
    <w:p>
      <w:pPr>
        <w:spacing w:after="0" w:line="225"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We have entered into floating-for-fixed interest rate swap arrangements relating to certain of our floating-rate debt facilities. We measure the fair value of our interest rate swaps on a recurring basis. Changes in the fair values of our interest rate swaps for each reporting period are, and will continue to be, recognized as a change in interest rate swap fair value in our Condensed Consolidated Statements of Income, as the swaps do not qualify for hedge accounting.</w:t>
      </w:r>
    </w:p>
    <w:p>
      <w:pPr>
        <w:spacing w:after="0" w:line="187"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We had three interest rate swap agreements intended to hedge a portion of the underlying interest rate risk on borrowings under our Wynn Macau Credit Facilities. As of June 30, 2017, interest rate swaps of $0.1 million were included in prepaid expenses and other and $0.1 million was included in other accrued expenses. As of December 31, 2016, interest rate swaps of</w:t>
      </w:r>
    </w:p>
    <w:p>
      <w:pPr>
        <w:spacing w:after="0" w:line="3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$1.1 million were included in prepaid expenses and other in the accompanying Condensed Consolidated Balance Sheet. These interest rate swap agreements matured in July 2017.</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Sensitivity</w:t>
      </w:r>
    </w:p>
    <w:p>
      <w:pPr>
        <w:spacing w:after="0" w:line="225"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As of June 30, 2017, approximately 72.2% of our long-term debt was based on fixed rates, including the notional amounts related to interest rate swaps. Based on our borrowings as of June 30, 2017, an assumed 100 basis point change in the variable rates would cause our annual interest cost to change by $31.2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Risks</w:t>
      </w:r>
    </w:p>
    <w:p>
      <w:pPr>
        <w:spacing w:after="0" w:line="225"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7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If the Hong Kong dollar and the Macau pataca are not linked to the U.S. dollar in the future, severe fluctuations in the exchange rate for these currencies may result. We also cannot assure you that the current rate of exchange fixed by the applicable monetary authorities for these currencies will remain at the same level.</w:t>
      </w:r>
    </w:p>
    <w:p>
      <w:pPr>
        <w:spacing w:after="0" w:line="181"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We manage exposure to foreign currency risks associated with certain of our future scheduled interest payments through the use of foreign currency forward contracts. These contracts involve the exchange of one currency for a second currency at a future date and are with a counter-party, which is a major international financial institution.</w:t>
      </w:r>
    </w:p>
    <w:p>
      <w:pPr>
        <w:spacing w:after="0" w:line="181"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expect most of the revenues and expenses for any casino that we operate in Macau will be in Hong Kong dollars or Macau patacas. For any U.S. dollar-denominated debt or other obligations incurred by our Macau-related entities, fluctuations in the exchange rates of the Macau pataca or the Hong Kong dollar, in relation to the U.S. dollar, could have adverse effects on our results of operations, financial condition and ability to service debt. Based on our balances as of June 30, 2017, an assumed 1% change in the U.S. dollar/Hong Kong dollar exchange rate would cause a foreign currency transaction gain/loss of $27.7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40" w:firstLine="440"/>
        <w:spacing w:after="0" w:line="269" w:lineRule="auto"/>
        <w:tabs>
          <w:tab w:leader="none" w:pos="677"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Disclosure Controls and Procedures</w:t>
      </w:r>
      <w:r>
        <w:rPr>
          <w:rFonts w:ascii="Arial" w:cs="Arial" w:eastAsia="Arial" w:hAnsi="Arial"/>
          <w:sz w:val="17"/>
          <w:szCs w:val="17"/>
          <w:color w:val="auto"/>
        </w:rPr>
        <w:t>. The Company's management, with the participation of the Company's Chief Executive Officer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82" w:lineRule="exact"/>
        <w:rPr>
          <w:rFonts w:ascii="Arial" w:cs="Arial" w:eastAsia="Arial" w:hAnsi="Arial"/>
          <w:sz w:val="17"/>
          <w:szCs w:val="17"/>
          <w:color w:val="auto"/>
        </w:rPr>
      </w:pPr>
    </w:p>
    <w:p>
      <w:pPr>
        <w:jc w:val="both"/>
        <w:ind w:right="100" w:firstLine="440"/>
        <w:spacing w:after="0" w:line="264" w:lineRule="auto"/>
        <w:tabs>
          <w:tab w:leader="none" w:pos="687"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Internal Control Over Financial Reporting</w:t>
      </w:r>
      <w:r>
        <w:rPr>
          <w:rFonts w:ascii="Arial" w:cs="Arial" w:eastAsia="Arial" w:hAnsi="Arial"/>
          <w:sz w:val="18"/>
          <w:szCs w:val="18"/>
          <w:color w:val="auto"/>
        </w:rPr>
        <w:t>. There were no changes in our internal control over financial reporting (as such term is defined in Rules</w:t>
      </w:r>
      <w:r>
        <w:rPr>
          <w:rFonts w:ascii="Arial" w:cs="Arial" w:eastAsia="Arial" w:hAnsi="Arial"/>
          <w:sz w:val="18"/>
          <w:szCs w:val="18"/>
          <w:i w:val="1"/>
          <w:iCs w:val="1"/>
          <w:color w:val="auto"/>
        </w:rPr>
        <w:t xml:space="preserve"> </w:t>
      </w:r>
      <w:r>
        <w:rPr>
          <w:rFonts w:ascii="Arial" w:cs="Arial" w:eastAsia="Arial" w:hAnsi="Arial"/>
          <w:sz w:val="18"/>
          <w:szCs w:val="18"/>
          <w:color w:val="auto"/>
        </w:rPr>
        <w:t>13a-15(f) and 15d-15(f) under the Exchange Act) during the quarter to which this report relates that materially affected, or are reasonably likely to materially affect, our internal control over financial reporting.</w:t>
      </w: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For information regarding the Company's legal proceedings see Item 1—"Notes to Condensed Consolidated Financial Statements," Note 14 "Commitments and Contingencies" of Part I in this Quarterly Report on Form 10-Q.</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CCAC Information Request</w:t>
      </w:r>
    </w:p>
    <w:p>
      <w:pPr>
        <w:spacing w:after="0" w:line="225"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In July 2014, Wynn Resorts (Macau) S.A. ("Wynn Macau SA"), an indirect subsidiary of Wynn Macau, Limited, was contacted by the Commission Against Corruption of Macau ("CCAC") requesting certain information related to its land in the Cotai area of Macau. Wynn Macau SA has cooperated with CCAC's request.</w:t>
      </w:r>
    </w:p>
    <w:p>
      <w:pPr>
        <w:spacing w:after="0" w:line="17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 description of our risk factors can be found in Item 1A, Part I of our Annual Report on Form 10-K for the year ended December 31, 2016. There were no material changes to those risk factors during the six months ended June 30, 2017.</w:t>
      </w:r>
    </w:p>
    <w:p>
      <w:pPr>
        <w:spacing w:after="0" w:line="24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second quarter of 2017, we had no repurchases of our common stock.</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2" w:right="25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Frequency of Future Advisory Votes on Executive Compensation</w:t>
      </w:r>
    </w:p>
    <w:p>
      <w:pPr>
        <w:spacing w:after="0" w:line="22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At the Company’s 2017 Annual Meeting of Stockholders held on April 21, 2017, stockholders voted on an advisory (non-binding) proposal regarding the frequency of future advisory votes on executive compensation, and the Company reported the final results of the stockholder vote on a Form 8-K filed on April 26, 2017. Following consideration of the stockholder vote on the frequency proposal, the Company’s Board of Directors has determined to hold an advisory vote on executive compensation every three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p>
      <w:pPr>
        <w:ind w:left="820" w:hanging="650"/>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Exhibits</w:t>
      </w: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INDEX</w:t>
      </w:r>
    </w:p>
    <w:p>
      <w:pPr>
        <w:spacing w:after="0" w:line="35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360"/>
        <w:spacing w:after="0"/>
        <w:tabs>
          <w:tab w:leader="none" w:pos="10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5829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14" w:lineRule="exact"/>
        <w:rPr>
          <w:sz w:val="20"/>
          <w:szCs w:val="20"/>
          <w:color w:val="auto"/>
        </w:rPr>
      </w:pPr>
    </w:p>
    <w:p>
      <w:pPr>
        <w:ind w:left="1080" w:right="80" w:hanging="400"/>
        <w:spacing w:after="0" w:line="277" w:lineRule="auto"/>
        <w:tabs>
          <w:tab w:leader="none" w:pos="1060" w:val="left"/>
        </w:tabs>
        <w:rPr>
          <w:sz w:val="20"/>
          <w:szCs w:val="20"/>
          <w:color w:val="auto"/>
        </w:rPr>
      </w:pPr>
      <w:r>
        <w:rPr>
          <w:rFonts w:ascii="Arial" w:cs="Arial" w:eastAsia="Arial" w:hAnsi="Arial"/>
          <w:sz w:val="18"/>
          <w:szCs w:val="18"/>
          <w:color w:val="auto"/>
        </w:rPr>
        <w:t>3.1</w:t>
        <w:tab/>
        <w:t>Third Amended and Restated Articles of Incorporation of the Registrant. (Incorporated by reference from the Quarterly Report on Form 10-Q filed by the Registrant on May 8, 2015.)</w:t>
      </w:r>
    </w:p>
    <w:p>
      <w:pPr>
        <w:spacing w:after="0" w:line="8" w:lineRule="exact"/>
        <w:rPr>
          <w:sz w:val="20"/>
          <w:szCs w:val="20"/>
          <w:color w:val="auto"/>
        </w:rPr>
      </w:pPr>
    </w:p>
    <w:p>
      <w:pPr>
        <w:ind w:left="1080" w:right="380" w:hanging="400"/>
        <w:spacing w:after="0" w:line="277" w:lineRule="auto"/>
        <w:tabs>
          <w:tab w:leader="none" w:pos="1060" w:val="left"/>
        </w:tabs>
        <w:rPr>
          <w:sz w:val="20"/>
          <w:szCs w:val="20"/>
          <w:color w:val="auto"/>
        </w:rPr>
      </w:pPr>
      <w:r>
        <w:rPr>
          <w:rFonts w:ascii="Arial" w:cs="Arial" w:eastAsia="Arial" w:hAnsi="Arial"/>
          <w:sz w:val="18"/>
          <w:szCs w:val="18"/>
          <w:color w:val="auto"/>
        </w:rPr>
        <w:t>3.2</w:t>
        <w:tab/>
        <w:t>Eighth Amended and Restated Bylaws of the Registrant. (Incorporated by reference from the Quarterly Report on Form 10-Q filed by the Registrant on November 6, 2015.)</w:t>
      </w:r>
    </w:p>
    <w:p>
      <w:pPr>
        <w:spacing w:after="0" w:line="8" w:lineRule="exact"/>
        <w:rPr>
          <w:sz w:val="20"/>
          <w:szCs w:val="20"/>
          <w:color w:val="auto"/>
        </w:rPr>
      </w:pPr>
    </w:p>
    <w:p>
      <w:pPr>
        <w:ind w:left="1080" w:right="80" w:hanging="400"/>
        <w:spacing w:after="0" w:line="264" w:lineRule="auto"/>
        <w:tabs>
          <w:tab w:leader="none" w:pos="1060" w:val="left"/>
        </w:tabs>
        <w:rPr>
          <w:sz w:val="20"/>
          <w:szCs w:val="20"/>
          <w:color w:val="auto"/>
        </w:rPr>
      </w:pPr>
      <w:r>
        <w:rPr>
          <w:rFonts w:ascii="Arial" w:cs="Arial" w:eastAsia="Arial" w:hAnsi="Arial"/>
          <w:sz w:val="18"/>
          <w:szCs w:val="18"/>
          <w:color w:val="auto"/>
        </w:rPr>
        <w:t>4.1</w:t>
        <w:tab/>
        <w:t>Indenture, dated May 11, 2017, by and among Wynn Las Vegas, LLC, Wynn Las Vegas Capital Corp., the Guarantors named therein and U.S. Bank National Association, as trustee. (Incorporated by reference from the Current Report on Form 8-K filed by the Registrant on May 11, 2017.)</w:t>
      </w:r>
    </w:p>
    <w:p>
      <w:pPr>
        <w:spacing w:after="0" w:line="19" w:lineRule="exact"/>
        <w:rPr>
          <w:sz w:val="20"/>
          <w:szCs w:val="20"/>
          <w:color w:val="auto"/>
        </w:rPr>
      </w:pPr>
    </w:p>
    <w:p>
      <w:pPr>
        <w:ind w:left="1080" w:hanging="489"/>
        <w:spacing w:after="0" w:line="259" w:lineRule="auto"/>
        <w:tabs>
          <w:tab w:leader="none" w:pos="1060" w:val="left"/>
        </w:tabs>
        <w:rPr>
          <w:sz w:val="20"/>
          <w:szCs w:val="20"/>
          <w:color w:val="auto"/>
        </w:rPr>
      </w:pPr>
      <w:r>
        <w:rPr>
          <w:rFonts w:ascii="Arial" w:cs="Arial" w:eastAsia="Arial" w:hAnsi="Arial"/>
          <w:sz w:val="18"/>
          <w:szCs w:val="18"/>
          <w:color w:val="auto"/>
        </w:rPr>
        <w:t>10.1</w:t>
        <w:tab/>
        <w:t>Fifth Amendment to Credit Agreement, dated as of April 24, 2017, by and among Wynn America, LLC as borrower, the Guarantors named therein, Deutsche Bank AG New York Branch, as administrative agent on behalf of the several banks and other financial institutions or entities from time to time party to Wynn America, LLC's Credit Agreement, dated as of November 20, 2014. (Incorporated by reference from the Quarterly Report on Form 10-Q filed by the Registrant on May 5, 2017.)</w:t>
      </w:r>
    </w:p>
    <w:p>
      <w:pPr>
        <w:spacing w:after="0" w:line="25" w:lineRule="exact"/>
        <w:rPr>
          <w:sz w:val="20"/>
          <w:szCs w:val="20"/>
          <w:color w:val="auto"/>
        </w:rPr>
      </w:pPr>
    </w:p>
    <w:p>
      <w:pPr>
        <w:ind w:left="1080" w:right="3620" w:hanging="580"/>
        <w:spacing w:after="0" w:line="277" w:lineRule="auto"/>
        <w:tabs>
          <w:tab w:leader="none" w:pos="1060" w:val="left"/>
        </w:tabs>
        <w:rPr>
          <w:sz w:val="20"/>
          <w:szCs w:val="20"/>
          <w:color w:val="auto"/>
        </w:rPr>
      </w:pPr>
      <w:r>
        <w:rPr>
          <w:rFonts w:ascii="Arial" w:cs="Arial" w:eastAsia="Arial" w:hAnsi="Arial"/>
          <w:sz w:val="18"/>
          <w:szCs w:val="18"/>
          <w:color w:val="auto"/>
        </w:rPr>
        <w:t>*31.1</w:t>
        <w:tab/>
        <w:t>Certification of Chief Executive Officer of Periodic Report Pursuant to Rule 13a – 14(a) and Rule 15d – 14(a).</w:t>
      </w:r>
    </w:p>
    <w:p>
      <w:pPr>
        <w:spacing w:after="0" w:line="8" w:lineRule="exact"/>
        <w:rPr>
          <w:sz w:val="20"/>
          <w:szCs w:val="20"/>
          <w:color w:val="auto"/>
        </w:rPr>
      </w:pPr>
    </w:p>
    <w:p>
      <w:pPr>
        <w:ind w:left="1080" w:right="3680" w:hanging="580"/>
        <w:spacing w:after="0" w:line="277" w:lineRule="auto"/>
        <w:tabs>
          <w:tab w:leader="none" w:pos="1060" w:val="left"/>
        </w:tabs>
        <w:rPr>
          <w:sz w:val="20"/>
          <w:szCs w:val="20"/>
          <w:color w:val="auto"/>
        </w:rPr>
      </w:pPr>
      <w:r>
        <w:rPr>
          <w:rFonts w:ascii="Arial" w:cs="Arial" w:eastAsia="Arial" w:hAnsi="Arial"/>
          <w:sz w:val="18"/>
          <w:szCs w:val="18"/>
          <w:color w:val="auto"/>
        </w:rPr>
        <w:t>*31.2</w:t>
        <w:tab/>
        <w:t>Certification of Chief Financial Officer of Periodic Report Pursuant to Rule 13a – 14(a) and Rule 15d – 14(a).</w:t>
      </w:r>
    </w:p>
    <w:p>
      <w:pPr>
        <w:spacing w:after="0" w:line="8" w:lineRule="exact"/>
        <w:rPr>
          <w:sz w:val="20"/>
          <w:szCs w:val="20"/>
          <w:color w:val="auto"/>
        </w:rPr>
      </w:pPr>
    </w:p>
    <w:p>
      <w:pPr>
        <w:ind w:left="620"/>
        <w:spacing w:after="0"/>
        <w:tabs>
          <w:tab w:leader="none" w:pos="10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Certification of CEO and CFO Pursuant to 18 U.S.C. Section 1350.</w:t>
      </w:r>
    </w:p>
    <w:p>
      <w:pPr>
        <w:spacing w:after="0" w:line="63" w:lineRule="exact"/>
        <w:rPr>
          <w:sz w:val="20"/>
          <w:szCs w:val="20"/>
          <w:color w:val="auto"/>
        </w:rPr>
      </w:pPr>
    </w:p>
    <w:p>
      <w:pPr>
        <w:ind w:left="1080" w:right="80" w:hanging="539"/>
        <w:spacing w:after="0" w:line="293" w:lineRule="auto"/>
        <w:tabs>
          <w:tab w:leader="none" w:pos="1060" w:val="left"/>
        </w:tabs>
        <w:rPr>
          <w:sz w:val="20"/>
          <w:szCs w:val="20"/>
          <w:color w:val="auto"/>
        </w:rPr>
      </w:pPr>
      <w:r>
        <w:rPr>
          <w:rFonts w:ascii="Arial" w:cs="Arial" w:eastAsia="Arial" w:hAnsi="Arial"/>
          <w:sz w:val="16"/>
          <w:szCs w:val="16"/>
          <w:color w:val="auto"/>
        </w:rPr>
        <w:t>*101</w:t>
        <w:tab/>
        <w:t>The following financial information from the Company's Quarterly Report on Form 10-Q for the quarter ended June 30, 2017, filed with the SEC on August 4, 2017 formatted in Extensible Business Reporting Language (XBRL): (i) the Condensed Consolidated Balance Sheets as of June 30, 2017 and December 31, 2016, (ii) the Condensed Consolidated Statements of Income for the three and six months ended June 30, 2017 and 2016, (iii) the Condensed Consolidated Statements of Comprehensive Income for the three and six months ended June 30, 2017 and 2016, (iv) the Condensed Consolidated Statement of Stockholders' Equity as of June 30, 2017, (v) the Condensed Consolidated Statements of Cash Flows for the six months ended June 30, 2017 and 2016, and (vi) Notes to Condensed Consolidated Financial Statements.</w:t>
      </w:r>
    </w:p>
    <w:p>
      <w:pPr>
        <w:spacing w:after="0" w:line="19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Wynn Resorts, Limited agrees to furnish to the U.S. Securities and Exchange Commission, upon request, a copy of each agreement with respect to long-term debt not filed herewith in reliance upon the exemption from filing applicable to any series of debt which does not exceed 10% of the total consolidated assets of the company.</w:t>
      </w:r>
    </w:p>
    <w:p>
      <w:pPr>
        <w:spacing w:after="0" w:line="235"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4701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122" w:right="29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2"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August 4,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780"/>
          </w:cols>
          <w:pgMar w:left="240" w:top="122" w:right="87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Stephen A. Wynn, certify that:</w:t>
      </w:r>
    </w:p>
    <w:p>
      <w:pPr>
        <w:spacing w:after="0" w:line="171" w:lineRule="exact"/>
        <w:rPr>
          <w:sz w:val="20"/>
          <w:szCs w:val="20"/>
          <w:color w:val="auto"/>
        </w:rPr>
      </w:pPr>
    </w:p>
    <w:p>
      <w:pPr>
        <w:ind w:left="820" w:hanging="812"/>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171" w:lineRule="exact"/>
        <w:rPr>
          <w:rFonts w:ascii="Arial" w:cs="Arial" w:eastAsia="Arial" w:hAnsi="Arial"/>
          <w:sz w:val="18"/>
          <w:szCs w:val="18"/>
          <w:color w:val="auto"/>
        </w:rPr>
      </w:pPr>
    </w:p>
    <w:p>
      <w:pPr>
        <w:jc w:val="both"/>
        <w:ind w:left="820" w:right="140" w:hanging="812"/>
        <w:spacing w:after="0" w:line="264"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820" w:right="100" w:hanging="812"/>
        <w:spacing w:after="0" w:line="308" w:lineRule="auto"/>
        <w:tabs>
          <w:tab w:leader="none" w:pos="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820" w:right="120" w:hanging="812"/>
        <w:spacing w:after="0" w:line="264"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802"/>
        <w:spacing w:after="0" w:line="286" w:lineRule="auto"/>
        <w:tabs>
          <w:tab w:leader="none" w:pos="162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802"/>
        <w:spacing w:after="0" w:line="264" w:lineRule="auto"/>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802"/>
        <w:spacing w:after="0" w:line="342" w:lineRule="auto"/>
        <w:tabs>
          <w:tab w:leader="none" w:pos="16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802"/>
        <w:spacing w:after="0" w:line="264" w:lineRule="auto"/>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820" w:right="20" w:hanging="812"/>
        <w:spacing w:after="0" w:line="308" w:lineRule="auto"/>
        <w:tabs>
          <w:tab w:leader="none" w:pos="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620" w:right="300" w:hanging="802"/>
        <w:spacing w:after="0" w:line="342" w:lineRule="auto"/>
        <w:tabs>
          <w:tab w:leader="none" w:pos="16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802"/>
        <w:spacing w:after="0" w:line="277" w:lineRule="auto"/>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2017</w:t>
      </w:r>
    </w:p>
    <w:p>
      <w:pPr>
        <w:spacing w:after="0" w:line="252"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Stephen A. Wynn</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Chairman of the Board and</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66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Craig S. Billings, certify that:</w:t>
      </w:r>
    </w:p>
    <w:p>
      <w:pPr>
        <w:spacing w:after="0" w:line="171" w:lineRule="exact"/>
        <w:rPr>
          <w:sz w:val="20"/>
          <w:szCs w:val="20"/>
          <w:color w:val="auto"/>
        </w:rPr>
      </w:pPr>
    </w:p>
    <w:p>
      <w:pPr>
        <w:ind w:left="820" w:hanging="812"/>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171" w:lineRule="exact"/>
        <w:rPr>
          <w:rFonts w:ascii="Arial" w:cs="Arial" w:eastAsia="Arial" w:hAnsi="Arial"/>
          <w:sz w:val="18"/>
          <w:szCs w:val="18"/>
          <w:color w:val="auto"/>
        </w:rPr>
      </w:pPr>
    </w:p>
    <w:p>
      <w:pPr>
        <w:jc w:val="both"/>
        <w:ind w:left="820" w:right="140" w:hanging="812"/>
        <w:spacing w:after="0" w:line="264"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820" w:right="100" w:hanging="812"/>
        <w:spacing w:after="0" w:line="308" w:lineRule="auto"/>
        <w:tabs>
          <w:tab w:leader="none" w:pos="8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820" w:right="120" w:hanging="812"/>
        <w:spacing w:after="0" w:line="264"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802"/>
        <w:spacing w:after="0" w:line="286" w:lineRule="auto"/>
        <w:tabs>
          <w:tab w:leader="none" w:pos="162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802"/>
        <w:spacing w:after="0" w:line="264"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802"/>
        <w:spacing w:after="0" w:line="342" w:lineRule="auto"/>
        <w:tabs>
          <w:tab w:leader="none" w:pos="16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802"/>
        <w:spacing w:after="0" w:line="264"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820" w:right="20" w:hanging="812"/>
        <w:spacing w:after="0" w:line="308" w:lineRule="auto"/>
        <w:tabs>
          <w:tab w:leader="none" w:pos="8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620" w:right="300" w:hanging="802"/>
        <w:spacing w:after="0" w:line="342" w:lineRule="auto"/>
        <w:tabs>
          <w:tab w:leader="none" w:pos="16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802"/>
        <w:spacing w:after="0" w:line="277"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2017</w:t>
      </w:r>
    </w:p>
    <w:p>
      <w:pPr>
        <w:spacing w:after="0" w:line="252"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661"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17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connection with the Quarterly Report on Form 10-Q of Wynn Resorts, Limited (the “Company”) for the quarter ended June 30, 2017 as filed with the Securities and Exchange Commission on the date hereof (the “Report”), Stephen A. Wynn, as Chief Executive Officer of the Company and Craig S. Billings, as Chief Financial Officer of the Company, each hereby certifies, pursuant to 18 U.S.C. Section 1350, as adopted pursuant to Section 906 of the Sarbanes-Oxley Act of 2002, that, to the best of their knowledge:</w:t>
      </w:r>
    </w:p>
    <w:p>
      <w:pPr>
        <w:spacing w:after="0" w:line="133"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9878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ind w:left="40"/>
              <w:spacing w:after="0"/>
              <w:rPr>
                <w:sz w:val="20"/>
                <w:szCs w:val="20"/>
                <w:color w:val="auto"/>
              </w:rPr>
            </w:pPr>
            <w:r>
              <w:rPr>
                <w:rFonts w:ascii="Arial" w:cs="Arial" w:eastAsia="Arial" w:hAnsi="Arial"/>
                <w:sz w:val="18"/>
                <w:szCs w:val="18"/>
                <w:color w:val="auto"/>
              </w:rPr>
              <w:t>Name:</w:t>
            </w:r>
          </w:p>
        </w:tc>
        <w:tc>
          <w:tcPr>
            <w:tcW w:w="5440" w:type="dxa"/>
            <w:vAlign w:val="bottom"/>
          </w:tcPr>
          <w:p>
            <w:pPr>
              <w:ind w:left="340"/>
              <w:spacing w:after="0"/>
              <w:rPr>
                <w:sz w:val="20"/>
                <w:szCs w:val="20"/>
                <w:color w:val="auto"/>
              </w:rPr>
            </w:pPr>
            <w:r>
              <w:rPr>
                <w:rFonts w:ascii="Arial" w:cs="Arial" w:eastAsia="Arial" w:hAnsi="Arial"/>
                <w:sz w:val="18"/>
                <w:szCs w:val="18"/>
                <w:color w:val="auto"/>
              </w:rPr>
              <w:t>Stephen A. Wynn</w:t>
            </w: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Title:</w:t>
            </w:r>
          </w:p>
        </w:tc>
        <w:tc>
          <w:tcPr>
            <w:tcW w:w="5440" w:type="dxa"/>
            <w:vAlign w:val="bottom"/>
          </w:tcPr>
          <w:p>
            <w:pPr>
              <w:ind w:left="340"/>
              <w:spacing w:after="0"/>
              <w:rPr>
                <w:sz w:val="20"/>
                <w:szCs w:val="20"/>
                <w:color w:val="auto"/>
              </w:rPr>
            </w:pPr>
            <w:r>
              <w:rPr>
                <w:rFonts w:ascii="Arial" w:cs="Arial" w:eastAsia="Arial" w:hAnsi="Arial"/>
                <w:sz w:val="18"/>
                <w:szCs w:val="18"/>
                <w:color w:val="auto"/>
              </w:rPr>
              <w:t>Chairman of the Board and Chief Executive Officer</w:t>
            </w:r>
          </w:p>
        </w:tc>
      </w:tr>
      <w:tr>
        <w:trPr>
          <w:trHeight w:val="270"/>
        </w:trPr>
        <w:tc>
          <w:tcPr>
            <w:tcW w:w="840" w:type="dxa"/>
            <w:vAlign w:val="bottom"/>
          </w:tcPr>
          <w:p>
            <w:pPr>
              <w:spacing w:after="0"/>
              <w:rPr>
                <w:sz w:val="23"/>
                <w:szCs w:val="23"/>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(Principal Executive Officer)</w:t>
            </w: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Date:</w:t>
            </w:r>
          </w:p>
        </w:tc>
        <w:tc>
          <w:tcPr>
            <w:tcW w:w="5440" w:type="dxa"/>
            <w:vAlign w:val="bottom"/>
          </w:tcPr>
          <w:p>
            <w:pPr>
              <w:ind w:left="340"/>
              <w:spacing w:after="0"/>
              <w:rPr>
                <w:sz w:val="20"/>
                <w:szCs w:val="20"/>
                <w:color w:val="auto"/>
              </w:rPr>
            </w:pPr>
            <w:r>
              <w:rPr>
                <w:rFonts w:ascii="Arial" w:cs="Arial" w:eastAsia="Arial" w:hAnsi="Arial"/>
                <w:sz w:val="18"/>
                <w:szCs w:val="18"/>
                <w:color w:val="auto"/>
              </w:rPr>
              <w:t>August 4, 2017</w:t>
            </w:r>
          </w:p>
        </w:tc>
      </w:tr>
      <w:tr>
        <w:trPr>
          <w:trHeight w:val="405"/>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/s/ Craig S. Billings</w:t>
            </w:r>
          </w:p>
        </w:tc>
      </w:tr>
      <w:tr>
        <w:trPr>
          <w:trHeight w:val="27"/>
        </w:trPr>
        <w:tc>
          <w:tcPr>
            <w:tcW w:w="84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r>
      <w:tr>
        <w:trPr>
          <w:trHeight w:val="237"/>
        </w:trPr>
        <w:tc>
          <w:tcPr>
            <w:tcW w:w="840" w:type="dxa"/>
            <w:vAlign w:val="bottom"/>
          </w:tcPr>
          <w:p>
            <w:pPr>
              <w:ind w:left="40"/>
              <w:spacing w:after="0"/>
              <w:rPr>
                <w:sz w:val="20"/>
                <w:szCs w:val="20"/>
                <w:color w:val="auto"/>
              </w:rPr>
            </w:pPr>
            <w:r>
              <w:rPr>
                <w:rFonts w:ascii="Arial" w:cs="Arial" w:eastAsia="Arial" w:hAnsi="Arial"/>
                <w:sz w:val="18"/>
                <w:szCs w:val="18"/>
                <w:color w:val="auto"/>
              </w:rPr>
              <w:t>Name:</w:t>
            </w:r>
          </w:p>
        </w:tc>
        <w:tc>
          <w:tcPr>
            <w:tcW w:w="5440" w:type="dxa"/>
            <w:vAlign w:val="bottom"/>
          </w:tcPr>
          <w:p>
            <w:pPr>
              <w:ind w:left="340"/>
              <w:spacing w:after="0"/>
              <w:rPr>
                <w:sz w:val="20"/>
                <w:szCs w:val="20"/>
                <w:color w:val="auto"/>
              </w:rPr>
            </w:pPr>
            <w:r>
              <w:rPr>
                <w:rFonts w:ascii="Arial" w:cs="Arial" w:eastAsia="Arial" w:hAnsi="Arial"/>
                <w:sz w:val="18"/>
                <w:szCs w:val="18"/>
                <w:color w:val="auto"/>
              </w:rPr>
              <w:t>Craig S. Billings</w:t>
            </w: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Title:</w:t>
            </w:r>
          </w:p>
        </w:tc>
        <w:tc>
          <w:tcPr>
            <w:tcW w:w="5440" w:type="dxa"/>
            <w:vAlign w:val="bottom"/>
          </w:tcPr>
          <w:p>
            <w:pPr>
              <w:ind w:left="340"/>
              <w:spacing w:after="0"/>
              <w:rPr>
                <w:sz w:val="20"/>
                <w:szCs w:val="20"/>
                <w:color w:val="auto"/>
              </w:rPr>
            </w:pPr>
            <w:r>
              <w:rPr>
                <w:rFonts w:ascii="Arial" w:cs="Arial" w:eastAsia="Arial" w:hAnsi="Arial"/>
                <w:sz w:val="18"/>
                <w:szCs w:val="18"/>
                <w:color w:val="auto"/>
              </w:rPr>
              <w:t>Chief Financial Officer and Treasurer</w:t>
            </w:r>
          </w:p>
        </w:tc>
      </w:tr>
      <w:tr>
        <w:trPr>
          <w:trHeight w:val="270"/>
        </w:trPr>
        <w:tc>
          <w:tcPr>
            <w:tcW w:w="840" w:type="dxa"/>
            <w:vAlign w:val="bottom"/>
          </w:tcPr>
          <w:p>
            <w:pPr>
              <w:spacing w:after="0"/>
              <w:rPr>
                <w:sz w:val="23"/>
                <w:szCs w:val="23"/>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(Principal Financial and Accounting Officer)</w:t>
            </w: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Date:</w:t>
            </w:r>
          </w:p>
        </w:tc>
        <w:tc>
          <w:tcPr>
            <w:tcW w:w="5440" w:type="dxa"/>
            <w:vAlign w:val="bottom"/>
          </w:tcPr>
          <w:p>
            <w:pPr>
              <w:ind w:left="340"/>
              <w:spacing w:after="0"/>
              <w:rPr>
                <w:sz w:val="20"/>
                <w:szCs w:val="20"/>
                <w:color w:val="auto"/>
              </w:rPr>
            </w:pPr>
            <w:r>
              <w:rPr>
                <w:rFonts w:ascii="Arial" w:cs="Arial" w:eastAsia="Arial" w:hAnsi="Arial"/>
                <w:sz w:val="18"/>
                <w:szCs w:val="18"/>
                <w:color w:val="auto"/>
              </w:rPr>
              <w:t>August 4, 2017</w:t>
            </w:r>
          </w:p>
        </w:tc>
      </w:tr>
    </w:tbl>
    <w:p>
      <w:pPr>
        <w:spacing w:after="0" w:line="94"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2019-12-29T05:53:11Z</dcterms:created>
  <dcterms:modified xsi:type="dcterms:W3CDTF">2019-12-29T05:53:11Z</dcterms:modified>
</cp:coreProperties>
</file>