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174625</wp:posOffset>
            </wp:positionV>
            <wp:extent cx="2891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59690</wp:posOffset>
            </wp:positionV>
            <wp:extent cx="2891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August 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81280</wp:posOffset>
            </wp:positionV>
            <wp:extent cx="2891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WYNN RESORTS, LIMITED</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73"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860" w:type="dxa"/>
            <w:vAlign w:val="bottom"/>
          </w:tcPr>
          <w:p>
            <w:pPr>
              <w:spacing w:after="0"/>
              <w:rPr>
                <w:sz w:val="19"/>
                <w:szCs w:val="19"/>
                <w:color w:val="auto"/>
              </w:rPr>
            </w:pPr>
          </w:p>
        </w:tc>
        <w:tc>
          <w:tcPr>
            <w:tcW w:w="248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7"/>
              </w:rPr>
              <w:t>Nevada</w:t>
            </w:r>
          </w:p>
        </w:tc>
        <w:tc>
          <w:tcPr>
            <w:tcW w:w="3720" w:type="dxa"/>
            <w:vAlign w:val="bottom"/>
            <w:gridSpan w:val="3"/>
          </w:tcPr>
          <w:p>
            <w:pPr>
              <w:ind w:left="1780"/>
              <w:spacing w:after="0"/>
              <w:rPr>
                <w:sz w:val="20"/>
                <w:szCs w:val="20"/>
                <w:color w:val="auto"/>
              </w:rPr>
            </w:pPr>
            <w:r>
              <w:rPr>
                <w:rFonts w:ascii="Arial" w:cs="Arial" w:eastAsia="Arial" w:hAnsi="Arial"/>
                <w:sz w:val="18"/>
                <w:szCs w:val="18"/>
                <w:b w:val="1"/>
                <w:bCs w:val="1"/>
                <w:color w:val="auto"/>
              </w:rPr>
              <w:t>000-50028</w:t>
            </w:r>
          </w:p>
        </w:tc>
        <w:tc>
          <w:tcPr>
            <w:tcW w:w="326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46-0484987</w:t>
            </w:r>
          </w:p>
        </w:tc>
        <w:tc>
          <w:tcPr>
            <w:tcW w:w="920" w:type="dxa"/>
            <w:vAlign w:val="bottom"/>
          </w:tcPr>
          <w:p>
            <w:pPr>
              <w:spacing w:after="0"/>
              <w:rPr>
                <w:sz w:val="19"/>
                <w:szCs w:val="19"/>
                <w:color w:val="auto"/>
              </w:rPr>
            </w:pPr>
          </w:p>
        </w:tc>
      </w:tr>
      <w:tr>
        <w:trPr>
          <w:trHeight w:val="141"/>
        </w:trPr>
        <w:tc>
          <w:tcPr>
            <w:tcW w:w="860" w:type="dxa"/>
            <w:vAlign w:val="bottom"/>
          </w:tcPr>
          <w:p>
            <w:pPr>
              <w:spacing w:after="0"/>
              <w:rPr>
                <w:sz w:val="12"/>
                <w:szCs w:val="12"/>
                <w:color w:val="auto"/>
              </w:rPr>
            </w:pPr>
          </w:p>
        </w:tc>
        <w:tc>
          <w:tcPr>
            <w:tcW w:w="2480" w:type="dxa"/>
            <w:vAlign w:val="bottom"/>
            <w:gridSpan w:val="2"/>
          </w:tcPr>
          <w:p>
            <w:pPr>
              <w:jc w:val="center"/>
              <w:ind w:right="600"/>
              <w:spacing w:after="0" w:line="141" w:lineRule="exact"/>
              <w:rPr>
                <w:sz w:val="20"/>
                <w:szCs w:val="20"/>
                <w:color w:val="auto"/>
              </w:rPr>
            </w:pPr>
            <w:r>
              <w:rPr>
                <w:rFonts w:ascii="Arial" w:cs="Arial" w:eastAsia="Arial" w:hAnsi="Arial"/>
                <w:sz w:val="14"/>
                <w:szCs w:val="14"/>
                <w:b w:val="1"/>
                <w:bCs w:val="1"/>
                <w:color w:val="auto"/>
                <w:w w:val="91"/>
              </w:rPr>
              <w:t>(State or other jurisdiction</w:t>
            </w:r>
          </w:p>
        </w:tc>
        <w:tc>
          <w:tcPr>
            <w:tcW w:w="520" w:type="dxa"/>
            <w:vAlign w:val="bottom"/>
          </w:tcPr>
          <w:p>
            <w:pPr>
              <w:spacing w:after="0"/>
              <w:rPr>
                <w:sz w:val="12"/>
                <w:szCs w:val="12"/>
                <w:color w:val="auto"/>
              </w:rPr>
            </w:pPr>
          </w:p>
        </w:tc>
        <w:tc>
          <w:tcPr>
            <w:tcW w:w="3200" w:type="dxa"/>
            <w:vAlign w:val="bottom"/>
            <w:gridSpan w:val="2"/>
          </w:tcPr>
          <w:p>
            <w:pPr>
              <w:ind w:left="1260"/>
              <w:spacing w:after="0" w:line="141" w:lineRule="exact"/>
              <w:rPr>
                <w:sz w:val="20"/>
                <w:szCs w:val="20"/>
                <w:color w:val="auto"/>
              </w:rPr>
            </w:pPr>
            <w:r>
              <w:rPr>
                <w:rFonts w:ascii="Arial" w:cs="Arial" w:eastAsia="Arial" w:hAnsi="Arial"/>
                <w:sz w:val="14"/>
                <w:szCs w:val="14"/>
                <w:b w:val="1"/>
                <w:bCs w:val="1"/>
                <w:color w:val="auto"/>
              </w:rPr>
              <w:t>(Commission</w:t>
            </w:r>
          </w:p>
        </w:tc>
        <w:tc>
          <w:tcPr>
            <w:tcW w:w="840" w:type="dxa"/>
            <w:vAlign w:val="bottom"/>
          </w:tcPr>
          <w:p>
            <w:pPr>
              <w:spacing w:after="0"/>
              <w:rPr>
                <w:sz w:val="12"/>
                <w:szCs w:val="12"/>
                <w:color w:val="auto"/>
              </w:rPr>
            </w:pPr>
          </w:p>
        </w:tc>
        <w:tc>
          <w:tcPr>
            <w:tcW w:w="3340" w:type="dxa"/>
            <w:vAlign w:val="bottom"/>
            <w:gridSpan w:val="2"/>
          </w:tcPr>
          <w:p>
            <w:pPr>
              <w:jc w:val="center"/>
              <w:ind w:right="480"/>
              <w:spacing w:after="0" w:line="141" w:lineRule="exact"/>
              <w:rPr>
                <w:sz w:val="20"/>
                <w:szCs w:val="20"/>
                <w:color w:val="auto"/>
              </w:rPr>
            </w:pPr>
            <w:r>
              <w:rPr>
                <w:rFonts w:ascii="Arial" w:cs="Arial" w:eastAsia="Arial" w:hAnsi="Arial"/>
                <w:sz w:val="14"/>
                <w:szCs w:val="14"/>
                <w:b w:val="1"/>
                <w:bCs w:val="1"/>
                <w:color w:val="auto"/>
                <w:w w:val="94"/>
              </w:rPr>
              <w:t>(I.R.S. Employer</w:t>
            </w:r>
          </w:p>
        </w:tc>
      </w:tr>
      <w:tr>
        <w:trPr>
          <w:trHeight w:val="179"/>
        </w:trPr>
        <w:tc>
          <w:tcPr>
            <w:tcW w:w="860" w:type="dxa"/>
            <w:vAlign w:val="bottom"/>
          </w:tcPr>
          <w:p>
            <w:pPr>
              <w:spacing w:after="0"/>
              <w:rPr>
                <w:sz w:val="15"/>
                <w:szCs w:val="15"/>
                <w:color w:val="auto"/>
              </w:rPr>
            </w:pPr>
          </w:p>
        </w:tc>
        <w:tc>
          <w:tcPr>
            <w:tcW w:w="24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of incorporation)</w:t>
            </w:r>
          </w:p>
        </w:tc>
        <w:tc>
          <w:tcPr>
            <w:tcW w:w="520" w:type="dxa"/>
            <w:vAlign w:val="bottom"/>
          </w:tcPr>
          <w:p>
            <w:pPr>
              <w:spacing w:after="0"/>
              <w:rPr>
                <w:sz w:val="15"/>
                <w:szCs w:val="15"/>
                <w:color w:val="auto"/>
              </w:rPr>
            </w:pPr>
          </w:p>
        </w:tc>
        <w:tc>
          <w:tcPr>
            <w:tcW w:w="3200" w:type="dxa"/>
            <w:vAlign w:val="bottom"/>
            <w:gridSpan w:val="2"/>
          </w:tcPr>
          <w:p>
            <w:pPr>
              <w:ind w:left="1240"/>
              <w:spacing w:after="0"/>
              <w:rPr>
                <w:sz w:val="20"/>
                <w:szCs w:val="20"/>
                <w:color w:val="auto"/>
              </w:rPr>
            </w:pPr>
            <w:r>
              <w:rPr>
                <w:rFonts w:ascii="Arial" w:cs="Arial" w:eastAsia="Arial" w:hAnsi="Arial"/>
                <w:sz w:val="14"/>
                <w:szCs w:val="14"/>
                <w:b w:val="1"/>
                <w:bCs w:val="1"/>
                <w:color w:val="auto"/>
              </w:rPr>
              <w:t>File Number)</w:t>
            </w:r>
          </w:p>
        </w:tc>
        <w:tc>
          <w:tcPr>
            <w:tcW w:w="840" w:type="dxa"/>
            <w:vAlign w:val="bottom"/>
          </w:tcPr>
          <w:p>
            <w:pPr>
              <w:spacing w:after="0"/>
              <w:rPr>
                <w:sz w:val="15"/>
                <w:szCs w:val="15"/>
                <w:color w:val="auto"/>
              </w:rPr>
            </w:pPr>
          </w:p>
        </w:tc>
        <w:tc>
          <w:tcPr>
            <w:tcW w:w="3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Identification No.)</w:t>
            </w:r>
          </w:p>
        </w:tc>
      </w:tr>
      <w:tr>
        <w:trPr>
          <w:trHeight w:val="224"/>
        </w:trPr>
        <w:tc>
          <w:tcPr>
            <w:tcW w:w="3340" w:type="dxa"/>
            <w:vAlign w:val="bottom"/>
            <w:gridSpan w:val="3"/>
          </w:tcPr>
          <w:p>
            <w:pPr>
              <w:jc w:val="center"/>
              <w:ind w:left="177"/>
              <w:spacing w:after="0"/>
              <w:rPr>
                <w:sz w:val="20"/>
                <w:szCs w:val="20"/>
                <w:color w:val="auto"/>
              </w:rPr>
            </w:pPr>
            <w:r>
              <w:rPr>
                <w:rFonts w:ascii="Arial" w:cs="Arial" w:eastAsia="Arial" w:hAnsi="Arial"/>
                <w:sz w:val="18"/>
                <w:szCs w:val="18"/>
                <w:b w:val="1"/>
                <w:bCs w:val="1"/>
                <w:color w:val="auto"/>
                <w:w w:val="86"/>
              </w:rPr>
              <w:t>3131 Las Vegas Boulevard South</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860" w:type="dxa"/>
            <w:vAlign w:val="bottom"/>
          </w:tcPr>
          <w:p>
            <w:pPr>
              <w:spacing w:after="0"/>
              <w:rPr>
                <w:sz w:val="19"/>
                <w:szCs w:val="19"/>
                <w:color w:val="auto"/>
              </w:rPr>
            </w:pPr>
          </w:p>
        </w:tc>
        <w:tc>
          <w:tcPr>
            <w:tcW w:w="2480" w:type="dxa"/>
            <w:vAlign w:val="bottom"/>
            <w:gridSpan w:val="2"/>
          </w:tcPr>
          <w:p>
            <w:pPr>
              <w:ind w:left="120"/>
              <w:spacing w:after="0"/>
              <w:rPr>
                <w:sz w:val="20"/>
                <w:szCs w:val="20"/>
                <w:color w:val="auto"/>
              </w:rPr>
            </w:pPr>
            <w:r>
              <w:rPr>
                <w:rFonts w:ascii="Arial" w:cs="Arial" w:eastAsia="Arial" w:hAnsi="Arial"/>
                <w:sz w:val="18"/>
                <w:szCs w:val="18"/>
                <w:b w:val="1"/>
                <w:bCs w:val="1"/>
                <w:color w:val="auto"/>
              </w:rPr>
              <w:t>Las Vegas, Nevada</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26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89109</w:t>
            </w:r>
          </w:p>
        </w:tc>
        <w:tc>
          <w:tcPr>
            <w:tcW w:w="920" w:type="dxa"/>
            <w:vAlign w:val="bottom"/>
          </w:tcPr>
          <w:p>
            <w:pPr>
              <w:spacing w:after="0"/>
              <w:rPr>
                <w:sz w:val="19"/>
                <w:szCs w:val="19"/>
                <w:color w:val="auto"/>
              </w:rPr>
            </w:pPr>
          </w:p>
        </w:tc>
      </w:tr>
      <w:tr>
        <w:trPr>
          <w:trHeight w:val="183"/>
        </w:trPr>
        <w:tc>
          <w:tcPr>
            <w:tcW w:w="3340" w:type="dxa"/>
            <w:vAlign w:val="bottom"/>
            <w:gridSpan w:val="3"/>
          </w:tcPr>
          <w:p>
            <w:pPr>
              <w:jc w:val="center"/>
              <w:ind w:left="177"/>
              <w:spacing w:after="0"/>
              <w:rPr>
                <w:sz w:val="20"/>
                <w:szCs w:val="20"/>
                <w:color w:val="auto"/>
              </w:rPr>
            </w:pPr>
            <w:r>
              <w:rPr>
                <w:rFonts w:ascii="Arial" w:cs="Arial" w:eastAsia="Arial" w:hAnsi="Arial"/>
                <w:sz w:val="14"/>
                <w:szCs w:val="14"/>
                <w:b w:val="1"/>
                <w:bCs w:val="1"/>
                <w:color w:val="auto"/>
                <w:w w:val="88"/>
              </w:rPr>
              <w:t>(Address of principal executive offices)</w:t>
            </w:r>
          </w:p>
        </w:tc>
        <w:tc>
          <w:tcPr>
            <w:tcW w:w="5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(Zip Code)</w:t>
            </w:r>
          </w:p>
        </w:tc>
      </w:tr>
      <w:tr>
        <w:trPr>
          <w:trHeight w:val="659"/>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720" w:type="dxa"/>
            <w:vAlign w:val="bottom"/>
            <w:gridSpan w:val="3"/>
          </w:tcPr>
          <w:p>
            <w:pPr>
              <w:jc w:val="center"/>
              <w:ind w:left="778"/>
              <w:spacing w:after="0"/>
              <w:rPr>
                <w:sz w:val="20"/>
                <w:szCs w:val="20"/>
                <w:color w:val="auto"/>
              </w:rPr>
            </w:pPr>
            <w:r>
              <w:rPr>
                <w:rFonts w:ascii="Arial" w:cs="Arial" w:eastAsia="Arial" w:hAnsi="Arial"/>
                <w:sz w:val="18"/>
                <w:szCs w:val="18"/>
                <w:b w:val="1"/>
                <w:bCs w:val="1"/>
                <w:color w:val="auto"/>
                <w:w w:val="89"/>
              </w:rPr>
              <w:t>(702) 770-7555</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3"/>
        </w:trPr>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380" w:type="dxa"/>
            <w:vAlign w:val="bottom"/>
            <w:gridSpan w:val="5"/>
          </w:tcPr>
          <w:p>
            <w:pPr>
              <w:jc w:val="center"/>
              <w:ind w:right="3860"/>
              <w:spacing w:after="0"/>
              <w:rPr>
                <w:sz w:val="20"/>
                <w:szCs w:val="20"/>
                <w:color w:val="auto"/>
              </w:rPr>
            </w:pPr>
            <w:r>
              <w:rPr>
                <w:rFonts w:ascii="Arial" w:cs="Arial" w:eastAsia="Arial" w:hAnsi="Arial"/>
                <w:sz w:val="14"/>
                <w:szCs w:val="14"/>
                <w:b w:val="1"/>
                <w:bCs w:val="1"/>
                <w:color w:val="auto"/>
                <w:w w:val="89"/>
              </w:rPr>
              <w:t>(Registrant’s telephone number, including area code)</w:t>
            </w:r>
          </w:p>
        </w:tc>
      </w:tr>
      <w:tr>
        <w:trPr>
          <w:trHeight w:val="396"/>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0" w:type="dxa"/>
            <w:vAlign w:val="bottom"/>
            <w:gridSpan w:val="2"/>
          </w:tcPr>
          <w:p>
            <w:pPr>
              <w:jc w:val="center"/>
              <w:ind w:left="241"/>
              <w:spacing w:after="0"/>
              <w:rPr>
                <w:sz w:val="20"/>
                <w:szCs w:val="20"/>
                <w:color w:val="auto"/>
              </w:rPr>
            </w:pPr>
            <w:r>
              <w:rPr>
                <w:rFonts w:ascii="Arial" w:cs="Arial" w:eastAsia="Arial" w:hAnsi="Arial"/>
                <w:sz w:val="18"/>
                <w:szCs w:val="18"/>
                <w:b w:val="1"/>
                <w:bCs w:val="1"/>
                <w:color w:val="auto"/>
                <w:w w:val="88"/>
              </w:rPr>
              <w:t>Not Applicable</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3"/>
        </w:trPr>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900" w:type="dxa"/>
            <w:vAlign w:val="bottom"/>
            <w:gridSpan w:val="6"/>
          </w:tcPr>
          <w:p>
            <w:pPr>
              <w:jc w:val="center"/>
              <w:ind w:right="3340"/>
              <w:spacing w:after="0"/>
              <w:rPr>
                <w:sz w:val="20"/>
                <w:szCs w:val="20"/>
                <w:color w:val="auto"/>
              </w:rPr>
            </w:pPr>
            <w:r>
              <w:rPr>
                <w:rFonts w:ascii="Arial" w:cs="Arial" w:eastAsia="Arial" w:hAnsi="Arial"/>
                <w:sz w:val="14"/>
                <w:szCs w:val="14"/>
                <w:b w:val="1"/>
                <w:bCs w:val="1"/>
                <w:color w:val="auto"/>
                <w:w w:val="90"/>
              </w:rPr>
              <w:t>(Former name or former address, if changed since last report)</w:t>
            </w:r>
          </w:p>
        </w:tc>
      </w:tr>
      <w:tr>
        <w:trPr>
          <w:trHeight w:val="24"/>
        </w:trPr>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572"/>
        </w:trPr>
        <w:tc>
          <w:tcPr>
            <w:tcW w:w="7060" w:type="dxa"/>
            <w:vAlign w:val="bottom"/>
            <w:gridSpan w:val="6"/>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1"/>
        </w:trPr>
        <w:tc>
          <w:tcPr>
            <w:tcW w:w="8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5"/>
              </w:rPr>
              <w:t>Title of each class</w:t>
            </w: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0" w:type="dxa"/>
            <w:vAlign w:val="bottom"/>
            <w:gridSpan w:val="2"/>
          </w:tcPr>
          <w:p>
            <w:pPr>
              <w:jc w:val="center"/>
              <w:ind w:right="1800"/>
              <w:spacing w:after="0"/>
              <w:rPr>
                <w:sz w:val="20"/>
                <w:szCs w:val="20"/>
                <w:color w:val="auto"/>
              </w:rPr>
            </w:pPr>
            <w:r>
              <w:rPr>
                <w:rFonts w:ascii="Arial" w:cs="Arial" w:eastAsia="Arial" w:hAnsi="Arial"/>
                <w:sz w:val="18"/>
                <w:szCs w:val="18"/>
                <w:b w:val="1"/>
                <w:bCs w:val="1"/>
                <w:color w:val="auto"/>
                <w:w w:val="88"/>
              </w:rPr>
              <w:t>Trading Symbol(s)</w:t>
            </w:r>
          </w:p>
        </w:tc>
        <w:tc>
          <w:tcPr>
            <w:tcW w:w="418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85"/>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60" w:type="dxa"/>
            <w:vAlign w:val="bottom"/>
            <w:gridSpan w:val="2"/>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43"/>
        </w:trPr>
        <w:tc>
          <w:tcPr>
            <w:tcW w:w="3340" w:type="dxa"/>
            <w:vAlign w:val="bottom"/>
            <w:gridSpan w:val="3"/>
          </w:tcPr>
          <w:p>
            <w:pPr>
              <w:jc w:val="center"/>
              <w:ind w:right="300"/>
              <w:spacing w:after="0"/>
              <w:rPr>
                <w:sz w:val="20"/>
                <w:szCs w:val="20"/>
                <w:color w:val="auto"/>
              </w:rPr>
            </w:pPr>
            <w:r>
              <w:rPr>
                <w:rFonts w:ascii="Arial" w:cs="Arial" w:eastAsia="Arial" w:hAnsi="Arial"/>
                <w:sz w:val="18"/>
                <w:szCs w:val="18"/>
                <w:color w:val="auto"/>
                <w:w w:val="88"/>
              </w:rPr>
              <w:t>Common stock, par value $0.01</w:t>
            </w:r>
          </w:p>
        </w:tc>
        <w:tc>
          <w:tcPr>
            <w:tcW w:w="520" w:type="dxa"/>
            <w:vAlign w:val="bottom"/>
          </w:tcPr>
          <w:p>
            <w:pPr>
              <w:spacing w:after="0"/>
              <w:rPr>
                <w:sz w:val="21"/>
                <w:szCs w:val="21"/>
                <w:color w:val="auto"/>
              </w:rPr>
            </w:pPr>
          </w:p>
        </w:tc>
        <w:tc>
          <w:tcPr>
            <w:tcW w:w="3200" w:type="dxa"/>
            <w:vAlign w:val="bottom"/>
            <w:gridSpan w:val="2"/>
          </w:tcPr>
          <w:p>
            <w:pPr>
              <w:jc w:val="center"/>
              <w:ind w:right="1780"/>
              <w:spacing w:after="0"/>
              <w:rPr>
                <w:sz w:val="20"/>
                <w:szCs w:val="20"/>
                <w:color w:val="auto"/>
              </w:rPr>
            </w:pPr>
            <w:r>
              <w:rPr>
                <w:rFonts w:ascii="Arial" w:cs="Arial" w:eastAsia="Arial" w:hAnsi="Arial"/>
                <w:sz w:val="18"/>
                <w:szCs w:val="18"/>
                <w:color w:val="auto"/>
                <w:w w:val="98"/>
              </w:rPr>
              <w:t>WYNN</w:t>
            </w:r>
          </w:p>
        </w:tc>
        <w:tc>
          <w:tcPr>
            <w:tcW w:w="4180" w:type="dxa"/>
            <w:vAlign w:val="bottom"/>
            <w:gridSpan w:val="3"/>
          </w:tcPr>
          <w:p>
            <w:pPr>
              <w:jc w:val="center"/>
              <w:ind w:right="940"/>
              <w:spacing w:after="0"/>
              <w:rPr>
                <w:sz w:val="20"/>
                <w:szCs w:val="20"/>
                <w:color w:val="auto"/>
              </w:rPr>
            </w:pPr>
            <w:r>
              <w:rPr>
                <w:rFonts w:ascii="Arial" w:cs="Arial" w:eastAsia="Arial" w:hAnsi="Arial"/>
                <w:sz w:val="18"/>
                <w:szCs w:val="18"/>
                <w:color w:val="auto"/>
                <w:w w:val="88"/>
              </w:rPr>
              <w:t>Nasdaq Global Select Market</w:t>
            </w:r>
          </w:p>
        </w:tc>
      </w:tr>
      <w:tr>
        <w:trPr>
          <w:trHeight w:val="191"/>
        </w:trPr>
        <w:tc>
          <w:tcPr>
            <w:tcW w:w="8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bl>
    <w:p>
      <w:pPr>
        <w:spacing w:after="0" w:line="330" w:lineRule="exact"/>
        <w:rPr>
          <w:sz w:val="24"/>
          <w:szCs w:val="24"/>
          <w:color w:val="auto"/>
        </w:rPr>
      </w:pPr>
    </w:p>
    <w:p>
      <w:pPr>
        <w:jc w:val="both"/>
        <w:spacing w:after="0" w:line="25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0"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6"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 w:lineRule="exact"/>
        <w:rPr>
          <w:sz w:val="24"/>
          <w:szCs w:val="24"/>
          <w:color w:val="auto"/>
        </w:rPr>
      </w:pPr>
    </w:p>
    <w:p>
      <w:pPr>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677545</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1" w:name="page2"/>
    <w:bookmarkEnd w:id="1"/>
    <w:p>
      <w:pPr>
        <w:ind w:left="20"/>
        <w:spacing w:after="0"/>
        <w:tabs>
          <w:tab w:leader="none" w:pos="13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207" w:lineRule="exact"/>
        <w:rPr>
          <w:sz w:val="20"/>
          <w:szCs w:val="20"/>
          <w:color w:val="auto"/>
        </w:rPr>
      </w:pPr>
    </w:p>
    <w:p>
      <w:pPr>
        <w:jc w:val="both"/>
        <w:ind w:firstLine="434"/>
        <w:spacing w:after="0" w:line="291" w:lineRule="auto"/>
        <w:rPr>
          <w:sz w:val="20"/>
          <w:szCs w:val="20"/>
          <w:color w:val="auto"/>
        </w:rPr>
      </w:pPr>
      <w:r>
        <w:rPr>
          <w:rFonts w:ascii="Arial" w:cs="Arial" w:eastAsia="Arial" w:hAnsi="Arial"/>
          <w:sz w:val="16"/>
          <w:szCs w:val="16"/>
          <w:color w:val="auto"/>
        </w:rPr>
        <w:t>On August 4, 2021, Wynn Resorts, Limited issued a press release announcing its results of operations for the quarter ended June 30, 2021. The press release is furnished herewith as Exhibit 99.1. The information furnished under Items 2.02, 7.01 and 9.01 of this Current Report on Form 8-K,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20"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under Item 2.02 of this report is incorporated herein by reference.</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880" w:type="dxa"/>
            <w:vAlign w:val="bottom"/>
            <w:gridSpan w:val="3"/>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303"/>
        </w:trPr>
        <w:tc>
          <w:tcPr>
            <w:tcW w:w="20" w:type="dxa"/>
            <w:vAlign w:val="bottom"/>
          </w:tcPr>
          <w:p>
            <w:pPr>
              <w:spacing w:after="0"/>
              <w:rPr>
                <w:sz w:val="24"/>
                <w:szCs w:val="24"/>
                <w:color w:val="auto"/>
              </w:rPr>
            </w:pPr>
          </w:p>
        </w:tc>
        <w:tc>
          <w:tcPr>
            <w:tcW w:w="1340" w:type="dxa"/>
            <w:vAlign w:val="bottom"/>
            <w:gridSpan w:val="2"/>
          </w:tcPr>
          <w:p>
            <w:pPr>
              <w:ind w:left="220"/>
              <w:spacing w:after="0"/>
              <w:rPr>
                <w:sz w:val="20"/>
                <w:szCs w:val="20"/>
                <w:color w:val="auto"/>
              </w:rPr>
            </w:pPr>
            <w:r>
              <w:rPr>
                <w:rFonts w:ascii="Arial" w:cs="Arial" w:eastAsia="Arial" w:hAnsi="Arial"/>
                <w:sz w:val="18"/>
                <w:szCs w:val="18"/>
                <w:color w:val="auto"/>
              </w:rPr>
              <w:t>(d) Exhibits.</w:t>
            </w:r>
          </w:p>
        </w:tc>
        <w:tc>
          <w:tcPr>
            <w:tcW w:w="6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172"/>
        </w:trPr>
        <w:tc>
          <w:tcPr>
            <w:tcW w:w="2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88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99.1</w:t>
            </w:r>
          </w:p>
        </w:tc>
        <w:tc>
          <w:tcPr>
            <w:tcW w:w="660" w:type="dxa"/>
            <w:vAlign w:val="bottom"/>
          </w:tcPr>
          <w:p>
            <w:pPr>
              <w:spacing w:after="0"/>
              <w:rPr>
                <w:sz w:val="22"/>
                <w:szCs w:val="22"/>
                <w:color w:val="auto"/>
              </w:rPr>
            </w:pPr>
          </w:p>
        </w:tc>
        <w:tc>
          <w:tcPr>
            <w:tcW w:w="4440" w:type="dxa"/>
            <w:vAlign w:val="bottom"/>
            <w:tcBorders>
              <w:bottom w:val="single" w:sz="8" w:color="0000FF"/>
            </w:tcBorders>
            <w:gridSpan w:val="2"/>
          </w:tcPr>
          <w:p>
            <w:pPr>
              <w:spacing w:after="0"/>
              <w:rPr>
                <w:rFonts w:ascii="Arial" w:cs="Arial" w:eastAsia="Arial" w:hAnsi="Arial"/>
                <w:sz w:val="18"/>
                <w:szCs w:val="18"/>
                <w:color w:val="0000FF"/>
                <w:w w:val="87"/>
              </w:rPr>
            </w:pPr>
            <w:hyperlink w:anchor="page4">
              <w:r>
                <w:rPr>
                  <w:rFonts w:ascii="Arial" w:cs="Arial" w:eastAsia="Arial" w:hAnsi="Arial"/>
                  <w:sz w:val="18"/>
                  <w:szCs w:val="18"/>
                  <w:color w:val="0000FF"/>
                  <w:w w:val="87"/>
                </w:rPr>
                <w:t>Press release, dated August 4, 2021, of Wynn Resorts, Limited.</w:t>
              </w:r>
            </w:hyperlink>
          </w:p>
        </w:tc>
        <w:tc>
          <w:tcPr>
            <w:tcW w:w="5440" w:type="dxa"/>
            <w:vAlign w:val="bottom"/>
          </w:tcPr>
          <w:p>
            <w:pPr>
              <w:spacing w:after="0"/>
              <w:rPr>
                <w:sz w:val="22"/>
                <w:szCs w:val="22"/>
                <w:color w:val="auto"/>
              </w:rPr>
            </w:pPr>
          </w:p>
        </w:tc>
      </w:tr>
      <w:tr>
        <w:trPr>
          <w:trHeight w:val="243"/>
        </w:trPr>
        <w:tc>
          <w:tcPr>
            <w:tcW w:w="70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660" w:type="dxa"/>
            <w:vAlign w:val="bottom"/>
          </w:tcPr>
          <w:p>
            <w:pPr>
              <w:spacing w:after="0"/>
              <w:rPr>
                <w:sz w:val="21"/>
                <w:szCs w:val="21"/>
                <w:color w:val="auto"/>
              </w:rPr>
            </w:pPr>
          </w:p>
        </w:tc>
        <w:tc>
          <w:tcPr>
            <w:tcW w:w="9880" w:type="dxa"/>
            <w:vAlign w:val="bottom"/>
            <w:gridSpan w:val="3"/>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1191"/>
        </w:trPr>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5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firstLine="434"/>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WYNN RESORTS, LIMITED</w:t>
      </w:r>
    </w:p>
    <w:p>
      <w:pPr>
        <w:sectPr>
          <w:pgSz w:w="11900" w:h="16838" w:orient="portrait"/>
          <w:cols w:equalWidth="0" w:num="1">
            <w:col w:w="11240"/>
          </w:cols>
          <w:pgMar w:left="320" w:top="871" w:right="339" w:bottom="1440" w:gutter="0" w:footer="0" w:header="0"/>
        </w:sectPr>
      </w:pPr>
    </w:p>
    <w:p>
      <w:pPr>
        <w:spacing w:after="0" w:line="75" w:lineRule="exact"/>
        <w:rPr>
          <w:sz w:val="20"/>
          <w:szCs w:val="20"/>
          <w:color w:val="auto"/>
        </w:rPr>
      </w:pPr>
    </w:p>
    <w:p>
      <w:pPr>
        <w:ind w:left="900"/>
        <w:spacing w:after="0"/>
        <w:rPr>
          <w:sz w:val="20"/>
          <w:szCs w:val="20"/>
          <w:color w:val="auto"/>
        </w:rPr>
      </w:pPr>
      <w:r>
        <w:rPr>
          <w:rFonts w:ascii="Arial" w:cs="Arial" w:eastAsia="Arial" w:hAnsi="Arial"/>
          <w:sz w:val="15"/>
          <w:szCs w:val="15"/>
          <w:color w:val="auto"/>
        </w:rPr>
        <w:t>Dated: August 4, 2021</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24765</wp:posOffset>
            </wp:positionV>
            <wp:extent cx="23012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01240" cy="8255"/>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3">
            <w:col w:w="6240" w:space="720"/>
            <w:col w:w="600" w:space="720"/>
            <w:col w:w="2960"/>
          </w:cols>
          <w:pgMar w:left="320" w:top="871" w:right="339" w:bottom="1440" w:gutter="0" w:footer="0" w:header="0"/>
          <w:type w:val="continuous"/>
        </w:sectPr>
      </w:pPr>
    </w:p>
    <w:p>
      <w:pPr>
        <w:ind w:left="7080"/>
        <w:spacing w:after="0"/>
        <w:rPr>
          <w:sz w:val="20"/>
          <w:szCs w:val="20"/>
          <w:color w:val="auto"/>
        </w:rPr>
      </w:pPr>
      <w:r>
        <w:rPr>
          <w:rFonts w:ascii="Arial" w:cs="Arial" w:eastAsia="Arial" w:hAnsi="Arial"/>
          <w:sz w:val="18"/>
          <w:szCs w:val="18"/>
          <w:color w:val="auto"/>
        </w:rPr>
        <w:t>Craig S. Billings</w:t>
      </w:r>
    </w:p>
    <w:p>
      <w:pPr>
        <w:spacing w:after="0" w:line="17"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Chief Financial Officer</w:t>
      </w:r>
    </w:p>
    <w:p>
      <w:pPr>
        <w:spacing w:after="0" w:line="17" w:lineRule="exact"/>
        <w:rPr>
          <w:sz w:val="20"/>
          <w:szCs w:val="20"/>
          <w:color w:val="auto"/>
        </w:rPr>
      </w:pPr>
    </w:p>
    <w:p>
      <w:pPr>
        <w:ind w:left="7080"/>
        <w:spacing w:after="0"/>
        <w:rPr>
          <w:sz w:val="20"/>
          <w:szCs w:val="20"/>
          <w:color w:val="auto"/>
        </w:rPr>
      </w:pPr>
      <w:r>
        <w:rPr>
          <w:rFonts w:ascii="Arial" w:cs="Arial" w:eastAsia="Arial" w:hAnsi="Arial"/>
          <w:sz w:val="16"/>
          <w:szCs w:val="16"/>
          <w:color w:val="auto"/>
        </w:rPr>
        <w:t>(Principal Financial and Accounting Officer)</w:t>
      </w:r>
    </w:p>
    <w:p>
      <w:pPr>
        <w:sectPr>
          <w:pgSz w:w="11900" w:h="16838" w:orient="portrait"/>
          <w:cols w:equalWidth="0" w:num="1">
            <w:col w:w="11240"/>
          </w:cols>
          <w:pgMar w:left="320" w:top="871" w:right="339" w:bottom="1440" w:gutter="0" w:footer="0" w:header="0"/>
          <w:type w:val="continuous"/>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Reports Second Quarter 2021 Results</w:t>
      </w:r>
    </w:p>
    <w:p>
      <w:pPr>
        <w:spacing w:after="0" w:line="24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LAS VEGAS, August 4, 2021 — Wynn Resorts, Limited (NASDAQ: WYNN) (the "Company") today reported financial results for the quarter ended June 30, 2021.</w:t>
      </w:r>
    </w:p>
    <w:p>
      <w:pPr>
        <w:spacing w:after="0" w:line="20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Operating revenues were $990.1 million for the second quarter of 2021, an increase of $904.4 million, from $85.7 million for the second quarter of 2020. Net loss attributable to Wynn Resorts, Limited was $131.4 million, or $1.15 per diluted share, for the second quarter of 2021, compared to net loss attributable to Wynn Resorts, Limited of $637.6 million, or $5.97 per diluted share, in the second quarter of 2020. Net loss attributable to Wynn Resorts, Limited for the second quarter of 2020 excluded the impact of $75.7 million of expense related to our commitment to pay salary, tips, and benefits continuation for all of our U.S. employees for the period from April 1 through May 15, 2020, which we accrued during the first quarter of 2020. Adjusted Property EBITDA (1) at our integrated resort properties increased $164.5 million, $96.7 million, $208.8 million, and $100.7 million at Wynn Palace, Wynn Macau, our Las Vegas Operations, and Encore Boston Harbor, respectively, when compared with the second quarter of 2020.</w:t>
      </w:r>
    </w:p>
    <w:p>
      <w:pPr>
        <w:spacing w:after="0" w:line="196"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"We were pleased to see the strong return of our guests at both Wynn Las Vegas and Encore Boston Harbor during the second quarter with Adjusted Property EBITDA at our U.S. operations well above pre-pandemic levels, highlighting the significant pent-up demand for travel and leisure experiences," said Matt Maddox, CEO of Wynn Resorts, Limited. "While there have been some fits and starts along the road to recovery in Macau, we were encouraged by the strong demand we experienced during the May holiday period, particularly in our premium mass casino and luxury retail segments. On the development front, our WynnBET online casino and sports betting app is currently available in six states with additional launches planned over the coming months. We continue to enhance our product with frequent new feature releases and are advancing our marketing and branding strategy as we approach the upcoming NFL 2021 season."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3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Operating revenues were $990.1 million for the second quarter of 2021, an increase of $904.4 million, from $85.7 million for the second quarter of 2020. Operating revenues increased $261.7 million, $172.1 million, $290.2 million, and $165.0 million at Wynn Palace, Wynn Macau, our Las Vegas Operations, and Encore Boston Harbor, respectively, from the second quarter of 2020.</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On a U.S. generally accepted accounting principles ("GAAP") basis, net loss attributable to Wynn Resorts, Limited was $131.4 million, or $1.15 per diluted share, for the second quarter of 2021, compared to net loss attributable to Wynn Resorts, Limited of $637.6 million, or $5.97 per diluted share, in the second quarter of 2020. Adjusted net loss attributable to Wynn Resorts, Limited (2) was $128.7 million, or $1.12 per diluted share, for the second quarter of 2021, compared to adjusted net loss attributable to Wynn Resorts, Limited of $655.7 million, or $6.14 per diluted share, for the second quarter of 2020.</w:t>
      </w:r>
    </w:p>
    <w:p>
      <w:pPr>
        <w:spacing w:after="0" w:line="186"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Adjusted Property EBITDA was $206.9 million for the second quarter of 2021. Adjusted Property EBITDA was $(322.9) million for the second quarter of 2020, which excluded the impact of $75.7 million of expense related to our commitment to pay salary, tips and benefits continuation for all of our U.S. employees for the period from April 1 through May 15, 2020, which was accrued during the first quarter of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Results</w:t>
      </w:r>
    </w:p>
    <w:p>
      <w:pPr>
        <w:spacing w:after="0" w:line="246"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In response to the initial outbreak of COVID-19 in early 2020, each of our properties was subject to partial or full closure for varying lengths of time during 2020, and each has since reopened with certain COVID-19 specific protective measures in place. On August 3, 2021, in response to a risk of a community outbreak, the government of Macau has announced enhanced measures including tighter border control and strict mandatory COVID-19 testing requirements. We are currently unable to determine when and what additional measures may be introduced. On May 3, 2021, the Company's Las Vegas Operations were permitted by the Nevada Gaming Control Board to reopen all gaming areas to 100% of capacity, with no continuing table game or slot machine spacing restrictions. On July 27, 2021, the Governor of Nevada issued an emergency directive, in accordance with new recommendations from the Centers for Disease Control, re-imposing mask protection requirements in all public indoor areas effective July 30, 2021. On April 27, 2021, the Governor of Massachusetts announced a phased plan for further reopening and on May 28, 2021 signed an executive order rescinding the COVID-related restrictions and limitations on businesses as of May 29, 2021. The Encore Boston Harbor property continues to operate its hotel tower Thursday through Sunday.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7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Macau Operations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Palace</w:t>
      </w:r>
    </w:p>
    <w:p>
      <w:pPr>
        <w:spacing w:after="0" w:line="22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Operating revenues from Wynn Palace were $270.4 million for the second quarter of 2021, an increase of $261.7 million from $8.7 million for the second quarter of 2020. Adjusted Property EBITDA from Wynn Palace was $53.6 million for the second quarter of 2021, compared with $(110.9) million for the second quarter of 2020. VIP table games win as a percentage of turnover was 3.95%, above the property's expected range of 2.7% to 3.0% and above the (1.73)% experienced in the second quarter of 2020. Table games win percentage in mass market operations was 23.1%, below the 32.5% experienced in the second quarter of 2020.</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Macau</w:t>
      </w:r>
    </w:p>
    <w:p>
      <w:pPr>
        <w:spacing w:after="0" w:line="24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Operating revenues from Wynn Macau were $184.0 million for the second quarter of 2021, an increase of $172.1 million from $11.9 million for the second quarter of 2020. Adjusted Property EBITDA was $14.1 million for the second quarter of 2021, compared with $(82.6) million for the second quarter of 2020. VIP table games win as a percentage of turnover was 2.64%, below the property's expected range of 2.7% to 3.0% and above the (2.00)% experienced in the second quarter of 2020. Table games win percentage in mass market operations was 19.2%, above the 8.3% experienced in the second quarter of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Las Vegas Operations</w:t>
      </w:r>
    </w:p>
    <w:p>
      <w:pPr>
        <w:spacing w:after="0" w:line="24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Operating revenues from our Las Vegas Operations were $355.1 million for the second quarter of 2021, an increase of $290.2 million from $64.9 million for the second quarter of 2020. Adjusted Property EBITDA from our Las Vegas Operations for the second quarter of 2021 was $133.2 million. Adjusted Property EBITDA from our Las Vegas Operations for the second quarter of 2020 was $(75.6) million, which excluded the impact of $56.4 million of expense related to our commitment to pay salary, tips, and benefits continuation for all of our U.S. employees for the period from April 1 through May 15, 2020, which we accrued within operating expenses during the first quarter of 2020. Table games win percentage for the second quarter of 2021 was 23.2%, within the property's expected range of 22% to 26% and above the 19.7% experienced in the second quarter of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Encore Boston Harbor</w:t>
      </w:r>
    </w:p>
    <w:p>
      <w:pPr>
        <w:spacing w:after="0" w:line="24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Operating revenues from Encore Boston Harbor were $165.2 million for the second quarter of 2021. Adjusted Property EBITDA from Encore Boston Harbor for the second quarter of 2021 was $46.9 million. Adjusted Property EBITDA from Encore Boston Harbor for the second quarter of 2020 was $(53.8) million, which excluded the impact of $19.3 million of expense related to our commitment to pay salary, tips, and benefits continuation for all of our U.S. employees for the period from April 1 through May 15, 2020, which we accrued within operating expenses during the first quarter of 2020. Table games win percentage for the second quarter of 2021 was 21.2%, within the property's expected range of 18% to 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246"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Our cash and cash equivalents as of June 30, 2021 totaled $2.80 billion, comprised of approximately $1.72 billion held by Wynn Macau, Limited ("WML") and subsidiaries, approximately $272.3 million held by Wynn Resorts Finance excluding WML, and approximately $808.2 million at Corporate and other.</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June 30, 2021, the available borrowing capacity under the Wynn Resorts Finance Revolver and Wynn Macau Revolver was $834.2 million and $293.2 million, respectively.</w:t>
      </w:r>
    </w:p>
    <w:p>
      <w:pPr>
        <w:spacing w:after="0" w:line="208"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Total current and long-term debt outstanding at June 30, 2021 was $11.92 billion, comprised of $5.94 billion of Macau related debt, $3.13 billion of Wynn Las Vegas debt, $2.24 billion of Wynn Resorts Finance debt, and $612.6 million of debt held by the retail joint venture which we consolidate.</w:t>
      </w:r>
    </w:p>
    <w:p>
      <w:pPr>
        <w:spacing w:after="0" w:line="16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August 2021, a subsidiary of WML received lender commitments for a senior unsecured revolving credit facility in an aggregate principal amount of up to $1.50 billion with a final maturity four years from inception. The Company expects to enter into the facility during the third quarter of 2021, and to use a portion of the proceeds from borrowings under the new facility to facilitate the repayment of the outstanding $1.26 billion of borrowings under the existing Wynn Macau Credit Facilities at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87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Conference Call and Other Information</w:t>
      </w:r>
    </w:p>
    <w:p>
      <w:pPr>
        <w:spacing w:after="0" w:line="246"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The Company will hold a conference call to discuss its results, including the results of Wynn Resorts Finance, LLC and Wynn Las Vegas, LLC, on August 4, 2021 at 1:15 p.m. PT (4:15 p.m. ET). Interested parties are invited to join the call by accessing a live audio webcast at http://www.wynnresorts.com.</w:t>
      </w:r>
    </w:p>
    <w:p>
      <w:pPr>
        <w:spacing w:after="0" w:line="1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or before August 13, 2021, the Company will make Wynn Resorts Finance, LLC and Wynn Las Vegas, LLC financial information for the quarter ended June 30, 2021 available to noteholders, prospective investors, broker-dealers and securities analysts. Please contact our investor relations office at 702-770-7555 or at investorrelations@wynnresorts.com, to obtain access to such financial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46"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the recent global pandemic of COVID-19, caused by a novel strain of the coronavirus, and the continued impact of its consequences, extensive regulation of our business, pending or future legal proceedings, ability to maintain gaming licenses and concessions, dependence on key employees, general global political and economic conditions, adverse tourism trends, dependence on a limited number of resorts, competition in the casino/hotel and resort industries, uncertainties over the development, and success of new gaming and resort properties, construction risks, cybersecurity risk and our leverage and debt service. Additional information concerning potential factors that could affect the Company's financial results is included in the Company's Annual Report on Form 10-K for the year ended December 31, 2020 and the Company's other periodic reports filed with the Securities and Exchange Commission. The Company is under no obligation to (and expressly disclaims any such obligation to) update or revise its forward-looking statements as a result of new information, future events or otherwise, except as required by law.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46" w:lineRule="exact"/>
        <w:rPr>
          <w:sz w:val="20"/>
          <w:szCs w:val="20"/>
          <w:color w:val="auto"/>
        </w:rPr>
      </w:pPr>
    </w:p>
    <w:p>
      <w:pPr>
        <w:jc w:val="both"/>
        <w:ind w:firstLine="5"/>
        <w:spacing w:after="0" w:line="277" w:lineRule="auto"/>
        <w:tabs>
          <w:tab w:leader="none" w:pos="264" w:val="left"/>
        </w:tabs>
        <w:numPr>
          <w:ilvl w:val="0"/>
          <w:numId w:val="2"/>
        </w:numPr>
        <w:rPr>
          <w:rFonts w:ascii="Arial" w:cs="Arial" w:eastAsia="Arial" w:hAnsi="Arial"/>
          <w:sz w:val="16"/>
          <w:szCs w:val="16"/>
          <w:color w:val="auto"/>
        </w:rPr>
      </w:pPr>
      <w:r>
        <w:rPr>
          <w:rFonts w:ascii="Arial" w:cs="Arial" w:eastAsia="Arial" w:hAnsi="Arial"/>
          <w:sz w:val="16"/>
          <w:szCs w:val="16"/>
          <w:color w:val="auto"/>
        </w:rPr>
        <w:t>"Adjusted Property EBITDA" is net loss before interest, income taxes, depreciation and amortization, pre-opening expenses, property charges and other, management and license fees, corporate expenses and other (including intercompany golf course, meeting and convention, and water rights leases), stock-based compensation, change in derivatives fair value, loss on extinguishment of debt, and other 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We also present Adjusted Property EBITDA because it is used by some investors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income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207" w:lineRule="exact"/>
        <w:rPr>
          <w:rFonts w:ascii="Arial" w:cs="Arial" w:eastAsia="Arial" w:hAnsi="Arial"/>
          <w:sz w:val="16"/>
          <w:szCs w:val="16"/>
          <w:color w:val="auto"/>
        </w:rPr>
      </w:pPr>
    </w:p>
    <w:p>
      <w:pPr>
        <w:jc w:val="both"/>
        <w:ind w:firstLine="5"/>
        <w:spacing w:after="0" w:line="304" w:lineRule="auto"/>
        <w:tabs>
          <w:tab w:leader="none" w:pos="257" w:val="left"/>
        </w:tabs>
        <w:numPr>
          <w:ilvl w:val="0"/>
          <w:numId w:val="2"/>
        </w:numPr>
        <w:rPr>
          <w:rFonts w:ascii="Arial" w:cs="Arial" w:eastAsia="Arial" w:hAnsi="Arial"/>
          <w:sz w:val="15"/>
          <w:szCs w:val="15"/>
          <w:color w:val="auto"/>
        </w:rPr>
      </w:pPr>
      <w:r>
        <w:rPr>
          <w:rFonts w:ascii="Arial" w:cs="Arial" w:eastAsia="Arial" w:hAnsi="Arial"/>
          <w:sz w:val="15"/>
          <w:szCs w:val="15"/>
          <w:color w:val="auto"/>
        </w:rPr>
        <w:t>"Adjusted net loss attributable to Wynn Resorts, Limited" is net loss attributable to Wynn Resorts, Limited before pre-opening expenses, property charges and other, change in derivatives fair value, loss on extinguishment of debt, and foreign currency remeasurement and other, net of noncontrolling interests and income taxes calculated using the specific tax treatment applicable to the adjustments based on their respective jurisdictions. Adjusted net loss attributable to Wynn Resorts, Limited and adjusted net loss attributable to Wynn Resorts, Limited per diluted share are presented as supplemental disclosures to financial measures in accordance with GAAP because management believes that these non-GAAP financial measures are widely used to measure the performance, and as a principal basis for valuation, of gaming companies. These measures are used by management and/or evaluated by some investors, in addition to net income (loss) and earnings per share computed in accordance with GAAP, as an additional basis for assessing period-to-period results of our business. Adjusted net loss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871" w:right="339" w:bottom="1440" w:gutter="0" w:footer="0" w:header="0"/>
        </w:sectPr>
      </w:pPr>
    </w:p>
    <w:bookmarkStart w:id="6" w:name="page7"/>
    <w:bookmarkEnd w:id="6"/>
    <w:p>
      <w:pPr>
        <w:jc w:val="both"/>
        <w:spacing w:after="0" w:line="261" w:lineRule="auto"/>
        <w:rPr>
          <w:sz w:val="20"/>
          <w:szCs w:val="20"/>
          <w:color w:val="auto"/>
        </w:rPr>
      </w:pPr>
      <w:r>
        <w:rPr>
          <w:rFonts w:ascii="Arial" w:cs="Arial" w:eastAsia="Arial" w:hAnsi="Arial"/>
          <w:sz w:val="18"/>
          <w:szCs w:val="18"/>
          <w:color w:val="auto"/>
        </w:rPr>
        <w:t>attributable to Wynn Resorts, Limited and adjusted net loss attributable to Wynn Resorts, Limited per diluted share may be different from the calculation methods used by other companies and, therefore, comparability may be limited.</w:t>
      </w:r>
    </w:p>
    <w:p>
      <w:pPr>
        <w:spacing w:after="0" w:line="20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has included schedules in the tables that accompany this release that reconcile (i) net loss attributable to Wynn Resorts, Limited to adjusted net loss attributable to Wynn Resorts, Limited, (ii) operating income (loss) to Adjusted Property EBITDA, and (iii) net loss attributable to Wynn Resorts, Limited to Adjusted Property EBITDA.</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87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32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Six Months Ended June 30,</w:t>
            </w:r>
          </w:p>
        </w:tc>
      </w:tr>
      <w:tr>
        <w:trPr>
          <w:trHeight w:val="182"/>
        </w:trPr>
        <w:tc>
          <w:tcPr>
            <w:tcW w:w="59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r>
      <w:tr>
        <w:trPr>
          <w:trHeight w:val="204"/>
        </w:trPr>
        <w:tc>
          <w:tcPr>
            <w:tcW w:w="590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Operating revenues:</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3"/>
        </w:trPr>
        <w:tc>
          <w:tcPr>
            <w:tcW w:w="5900" w:type="dxa"/>
            <w:vAlign w:val="bottom"/>
          </w:tcPr>
          <w:p>
            <w:pPr>
              <w:ind w:left="340"/>
              <w:spacing w:after="0"/>
              <w:rPr>
                <w:sz w:val="20"/>
                <w:szCs w:val="20"/>
                <w:color w:val="auto"/>
              </w:rPr>
            </w:pPr>
            <w:r>
              <w:rPr>
                <w:rFonts w:ascii="Arial" w:cs="Arial" w:eastAsia="Arial" w:hAnsi="Arial"/>
                <w:sz w:val="18"/>
                <w:szCs w:val="18"/>
                <w:color w:val="auto"/>
              </w:rPr>
              <w:t>Casino</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602,746</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9,413</w:t>
            </w:r>
          </w:p>
        </w:tc>
        <w:tc>
          <w:tcPr>
            <w:tcW w:w="8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1,118,964</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580,202</w:t>
            </w:r>
          </w:p>
        </w:tc>
      </w:tr>
      <w:tr>
        <w:trPr>
          <w:trHeight w:val="224"/>
        </w:trPr>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Rooms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170,096</w:t>
            </w:r>
          </w:p>
        </w:tc>
      </w:tr>
      <w:tr>
        <w:trPr>
          <w:trHeight w:val="223"/>
        </w:trPr>
        <w:tc>
          <w:tcPr>
            <w:tcW w:w="5900" w:type="dxa"/>
            <w:vAlign w:val="bottom"/>
          </w:tcPr>
          <w:p>
            <w:pPr>
              <w:ind w:left="340"/>
              <w:spacing w:after="0"/>
              <w:rPr>
                <w:sz w:val="20"/>
                <w:szCs w:val="20"/>
                <w:color w:val="auto"/>
              </w:rPr>
            </w:pPr>
            <w:r>
              <w:rPr>
                <w:rFonts w:ascii="Arial" w:cs="Arial" w:eastAsia="Arial" w:hAnsi="Arial"/>
                <w:sz w:val="18"/>
                <w:szCs w:val="18"/>
                <w:color w:val="auto"/>
              </w:rPr>
              <w:t>Food and beverage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149,142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24,007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217,651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173,421</w:t>
            </w:r>
          </w:p>
        </w:tc>
      </w:tr>
      <w:tr>
        <w:trPr>
          <w:trHeight w:val="224"/>
        </w:trPr>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Entertainment, retail and other</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100,460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34,863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176,225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115,695</w:t>
            </w:r>
          </w:p>
        </w:tc>
      </w:tr>
      <w:tr>
        <w:trPr>
          <w:trHeight w:val="217"/>
        </w:trPr>
        <w:tc>
          <w:tcPr>
            <w:tcW w:w="5900" w:type="dxa"/>
            <w:vAlign w:val="bottom"/>
            <w:tcBorders>
              <w:bottom w:val="single" w:sz="8" w:color="CCEEFF"/>
            </w:tcBorders>
          </w:tcPr>
          <w:p>
            <w:pPr>
              <w:ind w:left="660"/>
              <w:spacing w:after="0"/>
              <w:rPr>
                <w:sz w:val="20"/>
                <w:szCs w:val="20"/>
                <w:color w:val="auto"/>
              </w:rPr>
            </w:pPr>
            <w:r>
              <w:rPr>
                <w:rFonts w:ascii="Arial" w:cs="Arial" w:eastAsia="Arial" w:hAnsi="Arial"/>
                <w:sz w:val="18"/>
                <w:szCs w:val="18"/>
                <w:b w:val="1"/>
                <w:bCs w:val="1"/>
                <w:color w:val="auto"/>
              </w:rPr>
              <w:t>Total operating revenues</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990,113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85,698</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1,726,795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1,039,414</w:t>
            </w:r>
          </w:p>
        </w:tc>
      </w:tr>
      <w:tr>
        <w:trPr>
          <w:trHeight w:val="204"/>
        </w:trPr>
        <w:tc>
          <w:tcPr>
            <w:tcW w:w="590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Operating expenses:</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3"/>
        </w:trPr>
        <w:tc>
          <w:tcPr>
            <w:tcW w:w="5900" w:type="dxa"/>
            <w:vAlign w:val="bottom"/>
          </w:tcPr>
          <w:p>
            <w:pPr>
              <w:ind w:left="340"/>
              <w:spacing w:after="0"/>
              <w:rPr>
                <w:sz w:val="20"/>
                <w:szCs w:val="20"/>
                <w:color w:val="auto"/>
              </w:rPr>
            </w:pPr>
            <w:r>
              <w:rPr>
                <w:rFonts w:ascii="Arial" w:cs="Arial" w:eastAsia="Arial" w:hAnsi="Arial"/>
                <w:sz w:val="18"/>
                <w:szCs w:val="18"/>
                <w:color w:val="auto"/>
              </w:rPr>
              <w:t>Casino</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381,615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131,138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733,581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573,828</w:t>
            </w:r>
          </w:p>
        </w:tc>
      </w:tr>
      <w:tr>
        <w:trPr>
          <w:trHeight w:val="224"/>
        </w:trPr>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Rooms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103,847</w:t>
            </w:r>
          </w:p>
        </w:tc>
      </w:tr>
      <w:tr>
        <w:trPr>
          <w:trHeight w:val="223"/>
        </w:trPr>
        <w:tc>
          <w:tcPr>
            <w:tcW w:w="5900" w:type="dxa"/>
            <w:vAlign w:val="bottom"/>
          </w:tcPr>
          <w:p>
            <w:pPr>
              <w:ind w:left="340"/>
              <w:spacing w:after="0"/>
              <w:rPr>
                <w:sz w:val="20"/>
                <w:szCs w:val="20"/>
                <w:color w:val="auto"/>
              </w:rPr>
            </w:pPr>
            <w:r>
              <w:rPr>
                <w:rFonts w:ascii="Arial" w:cs="Arial" w:eastAsia="Arial" w:hAnsi="Arial"/>
                <w:sz w:val="18"/>
                <w:szCs w:val="18"/>
                <w:color w:val="auto"/>
              </w:rPr>
              <w:t>Food and beverage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117,106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61,889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191,054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237,799</w:t>
            </w:r>
          </w:p>
        </w:tc>
      </w:tr>
      <w:tr>
        <w:trPr>
          <w:trHeight w:val="224"/>
        </w:trPr>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Entertainment, retail and other</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62,453</w:t>
            </w:r>
          </w:p>
        </w:tc>
      </w:tr>
      <w:tr>
        <w:trPr>
          <w:trHeight w:val="223"/>
        </w:trPr>
        <w:tc>
          <w:tcPr>
            <w:tcW w:w="59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197,545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152,081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377,319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386,409</w:t>
            </w:r>
          </w:p>
        </w:tc>
      </w:tr>
      <w:tr>
        <w:trPr>
          <w:trHeight w:val="224"/>
        </w:trPr>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credit losses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28,347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48,960</w:t>
            </w:r>
          </w:p>
        </w:tc>
      </w:tr>
      <w:tr>
        <w:trPr>
          <w:trHeight w:val="223"/>
        </w:trPr>
        <w:tc>
          <w:tcPr>
            <w:tcW w:w="5900" w:type="dxa"/>
            <w:vAlign w:val="bottom"/>
          </w:tcPr>
          <w:p>
            <w:pPr>
              <w:ind w:left="340"/>
              <w:spacing w:after="0"/>
              <w:rPr>
                <w:sz w:val="20"/>
                <w:szCs w:val="20"/>
                <w:color w:val="auto"/>
              </w:rPr>
            </w:pPr>
            <w:r>
              <w:rPr>
                <w:rFonts w:ascii="Arial" w:cs="Arial" w:eastAsia="Arial" w:hAnsi="Arial"/>
                <w:sz w:val="18"/>
                <w:szCs w:val="18"/>
                <w:color w:val="auto"/>
              </w:rPr>
              <w:t>Pre-opening</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2,186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4,737</w:t>
            </w:r>
          </w:p>
        </w:tc>
      </w:tr>
      <w:tr>
        <w:trPr>
          <w:trHeight w:val="224"/>
        </w:trPr>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179,266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358,012</w:t>
            </w:r>
          </w:p>
        </w:tc>
      </w:tr>
      <w:tr>
        <w:trPr>
          <w:trHeight w:val="223"/>
        </w:trPr>
        <w:tc>
          <w:tcPr>
            <w:tcW w:w="59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Property charges and other</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6,567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33,796</w:t>
            </w:r>
          </w:p>
        </w:tc>
      </w:tr>
      <w:tr>
        <w:trPr>
          <w:trHeight w:val="217"/>
        </w:trPr>
        <w:tc>
          <w:tcPr>
            <w:tcW w:w="590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1,019,634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608,714</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1,932,048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1,809,841</w:t>
            </w:r>
          </w:p>
        </w:tc>
      </w:tr>
      <w:tr>
        <w:trPr>
          <w:trHeight w:val="217"/>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Operating loss</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(29,521)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(523,016)</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(205,253)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(770,427)</w:t>
            </w:r>
          </w:p>
        </w:tc>
      </w:tr>
      <w:tr>
        <w:trPr>
          <w:trHeight w:val="204"/>
        </w:trPr>
        <w:tc>
          <w:tcPr>
            <w:tcW w:w="590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Other income (expense):</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3"/>
        </w:trPr>
        <w:tc>
          <w:tcPr>
            <w:tcW w:w="590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3,983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11,936</w:t>
            </w:r>
          </w:p>
        </w:tc>
      </w:tr>
      <w:tr>
        <w:trPr>
          <w:trHeight w:val="224"/>
        </w:trPr>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 of amounts capitalized</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(133,218)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(262,045)</w:t>
            </w:r>
          </w:p>
        </w:tc>
      </w:tr>
      <w:tr>
        <w:trPr>
          <w:trHeight w:val="223"/>
        </w:trPr>
        <w:tc>
          <w:tcPr>
            <w:tcW w:w="5900" w:type="dxa"/>
            <w:vAlign w:val="bottom"/>
          </w:tcPr>
          <w:p>
            <w:pPr>
              <w:ind w:left="340"/>
              <w:spacing w:after="0"/>
              <w:rPr>
                <w:sz w:val="20"/>
                <w:szCs w:val="20"/>
                <w:color w:val="auto"/>
              </w:rPr>
            </w:pPr>
            <w:r>
              <w:rPr>
                <w:rFonts w:ascii="Arial" w:cs="Arial" w:eastAsia="Arial" w:hAnsi="Arial"/>
                <w:sz w:val="18"/>
                <w:szCs w:val="18"/>
                <w:color w:val="auto"/>
              </w:rPr>
              <w:t>Change in derivatives fair value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(3,294)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(18,954)</w:t>
            </w:r>
          </w:p>
        </w:tc>
      </w:tr>
      <w:tr>
        <w:trPr>
          <w:trHeight w:val="224"/>
        </w:trPr>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r>
      <w:tr>
        <w:trPr>
          <w:trHeight w:val="223"/>
        </w:trPr>
        <w:tc>
          <w:tcPr>
            <w:tcW w:w="59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12,568</w:t>
            </w:r>
          </w:p>
        </w:tc>
      </w:tr>
      <w:tr>
        <w:trPr>
          <w:trHeight w:val="217"/>
        </w:trPr>
        <w:tc>
          <w:tcPr>
            <w:tcW w:w="590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Other income (expense), net</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(143,179)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(130,915)</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(303,133)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(257,957)</w:t>
            </w:r>
          </w:p>
        </w:tc>
      </w:tr>
      <w:tr>
        <w:trPr>
          <w:trHeight w:val="217"/>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(172,700)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(653,931)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(508,386)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(1,028,384)</w:t>
            </w:r>
          </w:p>
        </w:tc>
      </w:tr>
      <w:tr>
        <w:trPr>
          <w:trHeight w:val="224"/>
        </w:trPr>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(80,938)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(156,738)</w:t>
            </w:r>
          </w:p>
        </w:tc>
      </w:tr>
      <w:tr>
        <w:trPr>
          <w:trHeight w:val="217"/>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(173,397)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(734,869)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(509,576)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(1,185,122)</w:t>
            </w:r>
          </w:p>
        </w:tc>
      </w:tr>
      <w:tr>
        <w:trPr>
          <w:trHeight w:val="224"/>
        </w:trPr>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net loss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42,028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97,305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97,229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145,521</w:t>
            </w:r>
          </w:p>
        </w:tc>
      </w:tr>
      <w:tr>
        <w:trPr>
          <w:trHeight w:val="217"/>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Net loss attributable to Wynn Resorts, Limited</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(131,369)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(637,564)</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(412,347)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(1,039,601)</w:t>
            </w: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0"/>
        </w:trPr>
        <w:tc>
          <w:tcPr>
            <w:tcW w:w="590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Basic and diluted net loss per common share:</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23"/>
        </w:trPr>
        <w:tc>
          <w:tcPr>
            <w:tcW w:w="5900" w:type="dxa"/>
            <w:vAlign w:val="bottom"/>
          </w:tcPr>
          <w:p>
            <w:pPr>
              <w:ind w:left="340"/>
              <w:spacing w:after="0"/>
              <w:rPr>
                <w:sz w:val="20"/>
                <w:szCs w:val="20"/>
                <w:color w:val="auto"/>
              </w:rPr>
            </w:pPr>
            <w:r>
              <w:rPr>
                <w:rFonts w:ascii="Arial" w:cs="Arial" w:eastAsia="Arial" w:hAnsi="Arial"/>
                <w:sz w:val="18"/>
                <w:szCs w:val="18"/>
                <w:color w:val="auto"/>
              </w:rPr>
              <w:t>Net loss attributable to Wynn Resorts, Limited:</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4"/>
        </w:trPr>
        <w:tc>
          <w:tcPr>
            <w:tcW w:w="5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r>
      <w:tr>
        <w:trPr>
          <w:trHeight w:val="223"/>
        </w:trPr>
        <w:tc>
          <w:tcPr>
            <w:tcW w:w="5900" w:type="dxa"/>
            <w:vAlign w:val="bottom"/>
          </w:tcPr>
          <w:p>
            <w:pPr>
              <w:ind w:left="66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(5.97)</w:t>
            </w:r>
          </w:p>
        </w:tc>
        <w:tc>
          <w:tcPr>
            <w:tcW w:w="8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(9.74)</w:t>
            </w:r>
          </w:p>
        </w:tc>
      </w:tr>
      <w:tr>
        <w:trPr>
          <w:trHeight w:val="224"/>
        </w:trPr>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common shares outstanding:</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3"/>
        </w:trPr>
        <w:tc>
          <w:tcPr>
            <w:tcW w:w="5900" w:type="dxa"/>
            <w:vAlign w:val="bottom"/>
          </w:tcPr>
          <w:p>
            <w:pPr>
              <w:ind w:left="66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114,545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106,713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112,792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106,688</w:t>
            </w:r>
          </w:p>
        </w:tc>
      </w:tr>
      <w:tr>
        <w:trPr>
          <w:trHeight w:val="224"/>
        </w:trPr>
        <w:tc>
          <w:tcPr>
            <w:tcW w:w="5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106,713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106,688</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Dividends declared per common share:</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87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LOSS ATTRIBUTABLE TO WYNN RESORTS, LIMITED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ADJUSTED NET LOSS ATTRIBUTABLE TO WYNN RESORTS, LIMITED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200" w:type="dxa"/>
            <w:vAlign w:val="bottom"/>
            <w:gridSpan w:val="4"/>
          </w:tcPr>
          <w:p>
            <w:pPr>
              <w:jc w:val="right"/>
              <w:ind w:right="314"/>
              <w:spacing w:after="0"/>
              <w:rPr>
                <w:sz w:val="20"/>
                <w:szCs w:val="20"/>
                <w:color w:val="auto"/>
              </w:rPr>
            </w:pPr>
            <w:r>
              <w:rPr>
                <w:rFonts w:ascii="Arial" w:cs="Arial" w:eastAsia="Arial" w:hAnsi="Arial"/>
                <w:sz w:val="14"/>
                <w:szCs w:val="14"/>
                <w:b w:val="1"/>
                <w:bCs w:val="1"/>
                <w:color w:val="auto"/>
                <w:w w:val="98"/>
              </w:rPr>
              <w:t>Six Months Ended June 30,</w:t>
            </w:r>
          </w:p>
        </w:tc>
      </w:tr>
      <w:tr>
        <w:trPr>
          <w:trHeight w:val="182"/>
        </w:trPr>
        <w:tc>
          <w:tcPr>
            <w:tcW w:w="622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r>
      <w:tr>
        <w:trPr>
          <w:trHeight w:val="217"/>
        </w:trPr>
        <w:tc>
          <w:tcPr>
            <w:tcW w:w="622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 xml:space="preserve">Net loss attributable to Wynn Resorts, Limited </w:t>
            </w:r>
            <w:r>
              <w:rPr>
                <w:rFonts w:ascii="Arial" w:cs="Arial" w:eastAsia="Arial" w:hAnsi="Arial"/>
                <w:sz w:val="14"/>
                <w:szCs w:val="14"/>
                <w:color w:val="auto"/>
              </w:rPr>
              <w:t>(1)</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(131,369)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(412,347)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(1,039,601)</w:t>
            </w:r>
          </w:p>
        </w:tc>
      </w:tr>
      <w:tr>
        <w:trPr>
          <w:trHeight w:val="223"/>
        </w:trPr>
        <w:tc>
          <w:tcPr>
            <w:tcW w:w="6220" w:type="dxa"/>
            <w:vAlign w:val="bottom"/>
          </w:tcPr>
          <w:p>
            <w:pPr>
              <w:ind w:left="340"/>
              <w:spacing w:after="0"/>
              <w:rPr>
                <w:sz w:val="20"/>
                <w:szCs w:val="20"/>
                <w:color w:val="auto"/>
              </w:rPr>
            </w:pPr>
            <w:r>
              <w:rPr>
                <w:rFonts w:ascii="Arial" w:cs="Arial" w:eastAsia="Arial" w:hAnsi="Arial"/>
                <w:sz w:val="18"/>
                <w:szCs w:val="18"/>
                <w:color w:val="auto"/>
              </w:rPr>
              <w:t>Litigation settlement net gain</w:t>
            </w: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(27,700)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(27,700)</w:t>
            </w:r>
          </w:p>
        </w:tc>
      </w:tr>
      <w:tr>
        <w:trPr>
          <w:trHeight w:val="224"/>
        </w:trPr>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Pre-opening expenses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4,737</w:t>
            </w:r>
          </w:p>
        </w:tc>
      </w:tr>
      <w:tr>
        <w:trPr>
          <w:trHeight w:val="223"/>
        </w:trPr>
        <w:tc>
          <w:tcPr>
            <w:tcW w:w="6220" w:type="dxa"/>
            <w:vAlign w:val="bottom"/>
          </w:tcPr>
          <w:p>
            <w:pPr>
              <w:ind w:left="340"/>
              <w:spacing w:after="0"/>
              <w:rPr>
                <w:sz w:val="20"/>
                <w:szCs w:val="20"/>
                <w:color w:val="auto"/>
              </w:rPr>
            </w:pPr>
            <w:r>
              <w:rPr>
                <w:rFonts w:ascii="Arial" w:cs="Arial" w:eastAsia="Arial" w:hAnsi="Arial"/>
                <w:sz w:val="18"/>
                <w:szCs w:val="18"/>
                <w:color w:val="auto"/>
              </w:rPr>
              <w:t>Property charges and other</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33,796</w:t>
            </w:r>
          </w:p>
        </w:tc>
      </w:tr>
      <w:tr>
        <w:trPr>
          <w:trHeight w:val="224"/>
        </w:trPr>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derivatives fair value</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18,954</w:t>
            </w:r>
          </w:p>
        </w:tc>
      </w:tr>
      <w:tr>
        <w:trPr>
          <w:trHeight w:val="223"/>
        </w:trPr>
        <w:tc>
          <w:tcPr>
            <w:tcW w:w="6220" w:type="dxa"/>
            <w:vAlign w:val="bottom"/>
          </w:tcPr>
          <w:p>
            <w:pPr>
              <w:ind w:left="34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1,462</w:t>
            </w:r>
          </w:p>
        </w:tc>
      </w:tr>
      <w:tr>
        <w:trPr>
          <w:trHeight w:val="224"/>
        </w:trPr>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remeasurement (gain) loss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(12,568)</w:t>
            </w:r>
          </w:p>
        </w:tc>
      </w:tr>
      <w:tr>
        <w:trPr>
          <w:trHeight w:val="223"/>
        </w:trPr>
        <w:tc>
          <w:tcPr>
            <w:tcW w:w="6220" w:type="dxa"/>
            <w:vAlign w:val="bottom"/>
          </w:tcPr>
          <w:p>
            <w:pPr>
              <w:ind w:left="340"/>
              <w:spacing w:after="0"/>
              <w:rPr>
                <w:sz w:val="20"/>
                <w:szCs w:val="20"/>
                <w:color w:val="auto"/>
              </w:rPr>
            </w:pPr>
            <w:r>
              <w:rPr>
                <w:rFonts w:ascii="Arial" w:cs="Arial" w:eastAsia="Arial" w:hAnsi="Arial"/>
                <w:sz w:val="18"/>
                <w:szCs w:val="18"/>
                <w:color w:val="auto"/>
              </w:rPr>
              <w:t>Income tax impact on adjustments</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832</w:t>
            </w:r>
          </w:p>
        </w:tc>
      </w:tr>
      <w:tr>
        <w:trPr>
          <w:trHeight w:val="224"/>
        </w:trPr>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interests impact on adjustments</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(13,498)</w:t>
            </w:r>
          </w:p>
        </w:tc>
      </w:tr>
      <w:tr>
        <w:trPr>
          <w:trHeight w:val="217"/>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Adjusted net loss attributable to Wynn Resorts, Limited</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(128,730)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(655,666)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(396,726)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(1,033,586)</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1"/>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8"/>
              </w:rPr>
              <w:t>Adjusted net loss attributable to Wynn Resorts, Limited per diluted share</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(9.69)</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9"/>
        </w:trPr>
        <w:tc>
          <w:tcPr>
            <w:tcW w:w="6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4"/>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diluted</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106,688</w:t>
            </w:r>
          </w:p>
        </w:tc>
      </w:tr>
    </w:tbl>
    <w:p>
      <w:pPr>
        <w:spacing w:after="0" w:line="74" w:lineRule="exact"/>
        <w:rPr>
          <w:sz w:val="20"/>
          <w:szCs w:val="20"/>
          <w:color w:val="auto"/>
        </w:rPr>
      </w:pPr>
    </w:p>
    <w:p>
      <w:pPr>
        <w:ind w:left="240" w:hanging="235"/>
        <w:spacing w:after="0" w:line="262" w:lineRule="auto"/>
        <w:tabs>
          <w:tab w:leader="none" w:pos="201" w:val="left"/>
        </w:tabs>
        <w:numPr>
          <w:ilvl w:val="0"/>
          <w:numId w:val="3"/>
        </w:numPr>
        <w:rPr>
          <w:rFonts w:ascii="Arial" w:cs="Arial" w:eastAsia="Arial" w:hAnsi="Arial"/>
          <w:sz w:val="14"/>
          <w:szCs w:val="14"/>
          <w:color w:val="auto"/>
        </w:rPr>
      </w:pPr>
      <w:r>
        <w:rPr>
          <w:rFonts w:ascii="Arial" w:cs="Arial" w:eastAsia="Arial" w:hAnsi="Arial"/>
          <w:sz w:val="14"/>
          <w:szCs w:val="14"/>
          <w:color w:val="auto"/>
        </w:rPr>
        <w:t>For the three months ended June 30, 2020, excludes $75.7 million of expense accrued during the first quarter of 2020 related to our commitment to pay salary, tips, and benefits continuation for all of our U.S. employees for the period from April 1 through May 15,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7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(LOSS) TO ADJUSTED PROPERTY EBITDA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5"/>
              </w:rPr>
              <w:t>Three Months Ended June 30, 2021</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Operating</w:t>
            </w:r>
          </w:p>
        </w:tc>
        <w:tc>
          <w:tcPr>
            <w:tcW w:w="120" w:type="dxa"/>
            <w:vAlign w:val="bottom"/>
          </w:tcPr>
          <w:p>
            <w:pPr>
              <w:spacing w:after="0"/>
              <w:rPr>
                <w:sz w:val="11"/>
                <w:szCs w:val="11"/>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Pre-opening</w:t>
            </w:r>
          </w:p>
        </w:tc>
        <w:tc>
          <w:tcPr>
            <w:tcW w:w="1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Depreciation and</w:t>
            </w:r>
          </w:p>
        </w:tc>
        <w:tc>
          <w:tcPr>
            <w:tcW w:w="11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7"/>
              </w:rPr>
              <w:t>Property charges</w:t>
            </w:r>
          </w:p>
        </w:tc>
        <w:tc>
          <w:tcPr>
            <w:tcW w:w="1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Management and</w:t>
            </w:r>
          </w:p>
        </w:tc>
        <w:tc>
          <w:tcPr>
            <w:tcW w:w="120" w:type="dxa"/>
            <w:vAlign w:val="bottom"/>
          </w:tcPr>
          <w:p>
            <w:pPr>
              <w:spacing w:after="0"/>
              <w:rPr>
                <w:sz w:val="11"/>
                <w:szCs w:val="11"/>
                <w:color w:val="auto"/>
              </w:rPr>
            </w:pPr>
          </w:p>
        </w:tc>
        <w:tc>
          <w:tcPr>
            <w:tcW w:w="1060" w:type="dxa"/>
            <w:vAlign w:val="bottom"/>
            <w:gridSpan w:val="2"/>
          </w:tcPr>
          <w:p>
            <w:pPr>
              <w:jc w:val="center"/>
              <w:ind w:right="200"/>
              <w:spacing w:after="0" w:line="130" w:lineRule="exact"/>
              <w:rPr>
                <w:sz w:val="20"/>
                <w:szCs w:val="20"/>
                <w:color w:val="auto"/>
              </w:rPr>
            </w:pPr>
            <w:r>
              <w:rPr>
                <w:rFonts w:ascii="Arial" w:cs="Arial" w:eastAsia="Arial" w:hAnsi="Arial"/>
                <w:sz w:val="14"/>
                <w:szCs w:val="14"/>
                <w:b w:val="1"/>
                <w:bCs w:val="1"/>
                <w:color w:val="auto"/>
                <w:w w:val="92"/>
              </w:rPr>
              <w:t>Corporate</w:t>
            </w:r>
          </w:p>
        </w:tc>
        <w:tc>
          <w:tcPr>
            <w:tcW w:w="140" w:type="dxa"/>
            <w:vAlign w:val="bottom"/>
          </w:tcPr>
          <w:p>
            <w:pPr>
              <w:spacing w:after="0"/>
              <w:rPr>
                <w:sz w:val="11"/>
                <w:szCs w:val="11"/>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Stock-based</w:t>
            </w:r>
          </w:p>
        </w:tc>
        <w:tc>
          <w:tcPr>
            <w:tcW w:w="160" w:type="dxa"/>
            <w:vAlign w:val="bottom"/>
          </w:tcPr>
          <w:p>
            <w:pPr>
              <w:spacing w:after="0"/>
              <w:rPr>
                <w:sz w:val="11"/>
                <w:szCs w:val="11"/>
                <w:color w:val="auto"/>
              </w:rPr>
            </w:pPr>
          </w:p>
        </w:tc>
        <w:tc>
          <w:tcPr>
            <w:tcW w:w="820" w:type="dxa"/>
            <w:vAlign w:val="bottom"/>
          </w:tcPr>
          <w:p>
            <w:pPr>
              <w:jc w:val="right"/>
              <w:ind w:right="150"/>
              <w:spacing w:after="0" w:line="130" w:lineRule="exact"/>
              <w:rPr>
                <w:sz w:val="20"/>
                <w:szCs w:val="20"/>
                <w:color w:val="auto"/>
              </w:rPr>
            </w:pPr>
            <w:r>
              <w:rPr>
                <w:rFonts w:ascii="Arial" w:cs="Arial" w:eastAsia="Arial" w:hAnsi="Arial"/>
                <w:sz w:val="14"/>
                <w:szCs w:val="14"/>
                <w:b w:val="1"/>
                <w:bCs w:val="1"/>
                <w:color w:val="auto"/>
                <w:w w:val="96"/>
              </w:rPr>
              <w:t>Adjusted</w:t>
            </w:r>
          </w:p>
        </w:tc>
        <w:tc>
          <w:tcPr>
            <w:tcW w:w="0" w:type="dxa"/>
            <w:vAlign w:val="bottom"/>
          </w:tcPr>
          <w:p>
            <w:pPr>
              <w:spacing w:after="0"/>
              <w:rPr>
                <w:sz w:val="1"/>
                <w:szCs w:val="1"/>
                <w:color w:val="auto"/>
              </w:rPr>
            </w:pPr>
          </w:p>
        </w:tc>
      </w:tr>
      <w:tr>
        <w:trPr>
          <w:trHeight w:val="132"/>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00"/>
              <w:spacing w:after="0" w:line="132" w:lineRule="exact"/>
              <w:rPr>
                <w:sz w:val="20"/>
                <w:szCs w:val="20"/>
                <w:color w:val="auto"/>
              </w:rPr>
            </w:pPr>
            <w:r>
              <w:rPr>
                <w:rFonts w:ascii="Arial" w:cs="Arial" w:eastAsia="Arial" w:hAnsi="Arial"/>
                <w:sz w:val="14"/>
                <w:szCs w:val="14"/>
                <w:b w:val="1"/>
                <w:bCs w:val="1"/>
                <w:color w:val="auto"/>
                <w:w w:val="84"/>
              </w:rPr>
              <w:t>expenses and</w:t>
            </w: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ind w:right="150"/>
              <w:spacing w:after="0" w:line="132"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84"/>
        </w:trPr>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income (loss)</w:t>
            </w: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expenses</w:t>
            </w:r>
          </w:p>
        </w:tc>
        <w:tc>
          <w:tcPr>
            <w:tcW w:w="120" w:type="dxa"/>
            <w:vAlign w:val="bottom"/>
          </w:tcPr>
          <w:p>
            <w:pPr>
              <w:spacing w:after="0"/>
              <w:rPr>
                <w:sz w:val="15"/>
                <w:szCs w:val="15"/>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5"/>
                <w:szCs w:val="15"/>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and other</w:t>
            </w:r>
          </w:p>
        </w:tc>
        <w:tc>
          <w:tcPr>
            <w:tcW w:w="160" w:type="dxa"/>
            <w:vAlign w:val="bottom"/>
          </w:tcPr>
          <w:p>
            <w:pPr>
              <w:spacing w:after="0"/>
              <w:rPr>
                <w:sz w:val="15"/>
                <w:szCs w:val="15"/>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license fees</w:t>
            </w: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compensation</w:t>
            </w:r>
          </w:p>
        </w:tc>
        <w:tc>
          <w:tcPr>
            <w:tcW w:w="160" w:type="dxa"/>
            <w:vAlign w:val="bottom"/>
          </w:tcPr>
          <w:p>
            <w:pPr>
              <w:spacing w:after="0"/>
              <w:rPr>
                <w:sz w:val="15"/>
                <w:szCs w:val="15"/>
                <w:color w:val="auto"/>
              </w:rPr>
            </w:pPr>
          </w:p>
        </w:tc>
        <w:tc>
          <w:tcPr>
            <w:tcW w:w="820" w:type="dxa"/>
            <w:vAlign w:val="bottom"/>
          </w:tcPr>
          <w:p>
            <w:pPr>
              <w:jc w:val="right"/>
              <w:ind w:right="15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65"/>
        </w:trPr>
        <w:tc>
          <w:tcPr>
            <w:tcW w:w="200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color w:val="auto"/>
              </w:rPr>
              <w:t>Macau Operations:</w:t>
            </w: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00" w:type="dxa"/>
            <w:vAlign w:val="bottom"/>
          </w:tcPr>
          <w:p>
            <w:pPr>
              <w:ind w:left="120"/>
              <w:spacing w:after="0"/>
              <w:rPr>
                <w:sz w:val="20"/>
                <w:szCs w:val="20"/>
                <w:color w:val="auto"/>
              </w:rPr>
            </w:pPr>
            <w:r>
              <w:rPr>
                <w:rFonts w:ascii="Arial" w:cs="Arial" w:eastAsia="Arial" w:hAnsi="Arial"/>
                <w:sz w:val="14"/>
                <w:szCs w:val="14"/>
                <w:color w:val="auto"/>
              </w:rPr>
              <w:t>Wynn Palace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(26,231)</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422</w:t>
            </w:r>
          </w:p>
        </w:tc>
        <w:tc>
          <w:tcPr>
            <w:tcW w:w="10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66,062</w:t>
            </w:r>
          </w:p>
        </w:tc>
        <w:tc>
          <w:tcPr>
            <w:tcW w:w="10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980</w:t>
            </w:r>
          </w:p>
        </w:tc>
        <w:tc>
          <w:tcPr>
            <w:tcW w:w="8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8,648</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1,177</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2,497</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53,555</w:t>
            </w:r>
          </w:p>
        </w:tc>
        <w:tc>
          <w:tcPr>
            <w:tcW w:w="0" w:type="dxa"/>
            <w:vAlign w:val="bottom"/>
          </w:tcPr>
          <w:p>
            <w:pPr>
              <w:spacing w:after="0"/>
              <w:rPr>
                <w:sz w:val="1"/>
                <w:szCs w:val="1"/>
                <w:color w:val="auto"/>
              </w:rPr>
            </w:pPr>
          </w:p>
        </w:tc>
      </w:tr>
      <w:tr>
        <w:trPr>
          <w:trHeight w:val="187"/>
        </w:trPr>
        <w:tc>
          <w:tcPr>
            <w:tcW w:w="2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Wynn Macau</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(20,334)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20,782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14,086</w:t>
            </w:r>
          </w:p>
        </w:tc>
        <w:tc>
          <w:tcPr>
            <w:tcW w:w="0" w:type="dxa"/>
            <w:vAlign w:val="bottom"/>
          </w:tcPr>
          <w:p>
            <w:pPr>
              <w:spacing w:after="0"/>
              <w:rPr>
                <w:sz w:val="1"/>
                <w:szCs w:val="1"/>
                <w:color w:val="auto"/>
              </w:rPr>
            </w:pPr>
          </w:p>
        </w:tc>
      </w:tr>
      <w:tr>
        <w:trPr>
          <w:trHeight w:val="182"/>
        </w:trPr>
        <w:tc>
          <w:tcPr>
            <w:tcW w:w="2000" w:type="dxa"/>
            <w:vAlign w:val="bottom"/>
          </w:tcPr>
          <w:p>
            <w:pPr>
              <w:ind w:left="120"/>
              <w:spacing w:after="0"/>
              <w:rPr>
                <w:sz w:val="20"/>
                <w:szCs w:val="20"/>
                <w:color w:val="auto"/>
              </w:rPr>
            </w:pPr>
            <w:r>
              <w:rPr>
                <w:rFonts w:ascii="Arial" w:cs="Arial" w:eastAsia="Arial" w:hAnsi="Arial"/>
                <w:sz w:val="14"/>
                <w:szCs w:val="14"/>
                <w:color w:val="auto"/>
              </w:rPr>
              <w:t>Other Macau</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(3,052)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1,095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1,410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545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Macau Operations</w:t>
            </w: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(49,617)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87,939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2,927</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14,647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3,853</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7,470</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67,641</w:t>
            </w:r>
          </w:p>
        </w:tc>
        <w:tc>
          <w:tcPr>
            <w:tcW w:w="0" w:type="dxa"/>
            <w:vAlign w:val="bottom"/>
          </w:tcPr>
          <w:p>
            <w:pPr>
              <w:spacing w:after="0"/>
              <w:rPr>
                <w:sz w:val="1"/>
                <w:szCs w:val="1"/>
                <w:color w:val="auto"/>
              </w:rPr>
            </w:pPr>
          </w:p>
        </w:tc>
      </w:tr>
      <w:tr>
        <w:trPr>
          <w:trHeight w:val="182"/>
        </w:trPr>
        <w:tc>
          <w:tcPr>
            <w:tcW w:w="2000" w:type="dxa"/>
            <w:vAlign w:val="bottom"/>
          </w:tcPr>
          <w:p>
            <w:pPr>
              <w:ind w:left="20"/>
              <w:spacing w:after="0"/>
              <w:rPr>
                <w:sz w:val="20"/>
                <w:szCs w:val="20"/>
                <w:color w:val="auto"/>
              </w:rPr>
            </w:pPr>
            <w:r>
              <w:rPr>
                <w:rFonts w:ascii="Arial" w:cs="Arial" w:eastAsia="Arial" w:hAnsi="Arial"/>
                <w:sz w:val="14"/>
                <w:szCs w:val="14"/>
                <w:color w:val="auto"/>
              </w:rPr>
              <w:t>Las Vegas Operations</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54,985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48,078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2,724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16,907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5,635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2,961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133,222</w:t>
            </w:r>
          </w:p>
        </w:tc>
        <w:tc>
          <w:tcPr>
            <w:tcW w:w="0" w:type="dxa"/>
            <w:vAlign w:val="bottom"/>
          </w:tcPr>
          <w:p>
            <w:pPr>
              <w:spacing w:after="0"/>
              <w:rPr>
                <w:sz w:val="1"/>
                <w:szCs w:val="1"/>
                <w:color w:val="auto"/>
              </w:rPr>
            </w:pPr>
          </w:p>
        </w:tc>
      </w:tr>
      <w:tr>
        <w:trPr>
          <w:trHeight w:val="187"/>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Encore Boston Harbor</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39,155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7,997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46,916</w:t>
            </w:r>
          </w:p>
        </w:tc>
        <w:tc>
          <w:tcPr>
            <w:tcW w:w="0" w:type="dxa"/>
            <w:vAlign w:val="bottom"/>
          </w:tcPr>
          <w:p>
            <w:pPr>
              <w:spacing w:after="0"/>
              <w:rPr>
                <w:sz w:val="1"/>
                <w:szCs w:val="1"/>
                <w:color w:val="auto"/>
              </w:rPr>
            </w:pPr>
          </w:p>
        </w:tc>
      </w:tr>
      <w:tr>
        <w:trPr>
          <w:trHeight w:val="182"/>
        </w:trPr>
        <w:tc>
          <w:tcPr>
            <w:tcW w:w="2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Corporate and other</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(31,269)</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8,135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(39,551)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8,095</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14,057</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(40,899)</w:t>
            </w:r>
          </w:p>
        </w:tc>
        <w:tc>
          <w:tcPr>
            <w:tcW w:w="0" w:type="dxa"/>
            <w:vAlign w:val="bottom"/>
          </w:tcPr>
          <w:p>
            <w:pPr>
              <w:spacing w:after="0"/>
              <w:rPr>
                <w:sz w:val="1"/>
                <w:szCs w:val="1"/>
                <w:color w:val="auto"/>
              </w:rPr>
            </w:pPr>
          </w:p>
        </w:tc>
      </w:tr>
      <w:tr>
        <w:trPr>
          <w:trHeight w:val="205"/>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(29,521)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2,495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183,307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5,651</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19,841</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25,107</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206,880</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5"/>
              </w:rPr>
              <w:t>Three Months Ended June 30, 2020</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Operating</w:t>
            </w:r>
          </w:p>
        </w:tc>
        <w:tc>
          <w:tcPr>
            <w:tcW w:w="120" w:type="dxa"/>
            <w:vAlign w:val="bottom"/>
          </w:tcPr>
          <w:p>
            <w:pPr>
              <w:spacing w:after="0"/>
              <w:rPr>
                <w:sz w:val="11"/>
                <w:szCs w:val="11"/>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Pre-opening</w:t>
            </w:r>
          </w:p>
        </w:tc>
        <w:tc>
          <w:tcPr>
            <w:tcW w:w="1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Depreciation and</w:t>
            </w:r>
          </w:p>
        </w:tc>
        <w:tc>
          <w:tcPr>
            <w:tcW w:w="1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Property charges</w:t>
            </w:r>
          </w:p>
        </w:tc>
        <w:tc>
          <w:tcPr>
            <w:tcW w:w="1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9"/>
              </w:rPr>
              <w:t>Management and</w:t>
            </w:r>
          </w:p>
        </w:tc>
        <w:tc>
          <w:tcPr>
            <w:tcW w:w="140" w:type="dxa"/>
            <w:vAlign w:val="bottom"/>
          </w:tcPr>
          <w:p>
            <w:pPr>
              <w:spacing w:after="0"/>
              <w:rPr>
                <w:sz w:val="11"/>
                <w:szCs w:val="11"/>
                <w:color w:val="auto"/>
              </w:rPr>
            </w:pPr>
          </w:p>
        </w:tc>
        <w:tc>
          <w:tcPr>
            <w:tcW w:w="1080" w:type="dxa"/>
            <w:vAlign w:val="bottom"/>
            <w:gridSpan w:val="2"/>
          </w:tcPr>
          <w:p>
            <w:pPr>
              <w:jc w:val="center"/>
              <w:ind w:right="220"/>
              <w:spacing w:after="0" w:line="130" w:lineRule="exact"/>
              <w:rPr>
                <w:sz w:val="20"/>
                <w:szCs w:val="20"/>
                <w:color w:val="auto"/>
              </w:rPr>
            </w:pPr>
            <w:r>
              <w:rPr>
                <w:rFonts w:ascii="Arial" w:cs="Arial" w:eastAsia="Arial" w:hAnsi="Arial"/>
                <w:sz w:val="14"/>
                <w:szCs w:val="14"/>
                <w:b w:val="1"/>
                <w:bCs w:val="1"/>
                <w:color w:val="auto"/>
                <w:w w:val="92"/>
              </w:rPr>
              <w:t>Corporate</w:t>
            </w:r>
          </w:p>
        </w:tc>
        <w:tc>
          <w:tcPr>
            <w:tcW w:w="120" w:type="dxa"/>
            <w:vAlign w:val="bottom"/>
          </w:tcPr>
          <w:p>
            <w:pPr>
              <w:spacing w:after="0"/>
              <w:rPr>
                <w:sz w:val="11"/>
                <w:szCs w:val="11"/>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6"/>
              </w:rPr>
              <w:t>Stock-based</w:t>
            </w:r>
          </w:p>
        </w:tc>
        <w:tc>
          <w:tcPr>
            <w:tcW w:w="140" w:type="dxa"/>
            <w:vAlign w:val="bottom"/>
          </w:tcPr>
          <w:p>
            <w:pPr>
              <w:spacing w:after="0"/>
              <w:rPr>
                <w:sz w:val="11"/>
                <w:szCs w:val="11"/>
                <w:color w:val="auto"/>
              </w:rPr>
            </w:pPr>
          </w:p>
        </w:tc>
        <w:tc>
          <w:tcPr>
            <w:tcW w:w="820" w:type="dxa"/>
            <w:vAlign w:val="bottom"/>
          </w:tcPr>
          <w:p>
            <w:pPr>
              <w:jc w:val="right"/>
              <w:ind w:right="130"/>
              <w:spacing w:after="0" w:line="130"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32"/>
        </w:trPr>
        <w:tc>
          <w:tcPr>
            <w:tcW w:w="2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20"/>
              <w:spacing w:after="0" w:line="132" w:lineRule="exact"/>
              <w:rPr>
                <w:sz w:val="20"/>
                <w:szCs w:val="20"/>
                <w:color w:val="auto"/>
              </w:rPr>
            </w:pPr>
            <w:r>
              <w:rPr>
                <w:rFonts w:ascii="Arial" w:cs="Arial" w:eastAsia="Arial" w:hAnsi="Arial"/>
                <w:sz w:val="14"/>
                <w:szCs w:val="14"/>
                <w:b w:val="1"/>
                <w:bCs w:val="1"/>
                <w:color w:val="auto"/>
                <w:w w:val="84"/>
              </w:rPr>
              <w:t>expenses and</w:t>
            </w: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ind w:right="130"/>
              <w:spacing w:after="0" w:line="132"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84"/>
        </w:trPr>
        <w:tc>
          <w:tcPr>
            <w:tcW w:w="2000" w:type="dxa"/>
            <w:vAlign w:val="bottom"/>
          </w:tcPr>
          <w:p>
            <w:pPr>
              <w:spacing w:after="0"/>
              <w:rPr>
                <w:sz w:val="15"/>
                <w:szCs w:val="15"/>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 xml:space="preserve">income (loss) </w:t>
            </w:r>
            <w:r>
              <w:rPr>
                <w:rFonts w:ascii="Arial" w:cs="Arial" w:eastAsia="Arial" w:hAnsi="Arial"/>
                <w:sz w:val="10"/>
                <w:szCs w:val="10"/>
                <w:b w:val="1"/>
                <w:bCs w:val="1"/>
                <w:color w:val="auto"/>
                <w:w w:val="88"/>
              </w:rPr>
              <w:t>(1)</w:t>
            </w: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expenses</w:t>
            </w:r>
          </w:p>
        </w:tc>
        <w:tc>
          <w:tcPr>
            <w:tcW w:w="120" w:type="dxa"/>
            <w:vAlign w:val="bottom"/>
          </w:tcPr>
          <w:p>
            <w:pPr>
              <w:spacing w:after="0"/>
              <w:rPr>
                <w:sz w:val="15"/>
                <w:szCs w:val="15"/>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5"/>
                <w:szCs w:val="15"/>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and other</w:t>
            </w:r>
          </w:p>
        </w:tc>
        <w:tc>
          <w:tcPr>
            <w:tcW w:w="140" w:type="dxa"/>
            <w:vAlign w:val="bottom"/>
          </w:tcPr>
          <w:p>
            <w:pPr>
              <w:spacing w:after="0"/>
              <w:rPr>
                <w:sz w:val="15"/>
                <w:szCs w:val="15"/>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license fees</w:t>
            </w: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 xml:space="preserve">other </w:t>
            </w:r>
            <w:r>
              <w:rPr>
                <w:rFonts w:ascii="Arial" w:cs="Arial" w:eastAsia="Arial" w:hAnsi="Arial"/>
                <w:sz w:val="10"/>
                <w:szCs w:val="10"/>
                <w:b w:val="1"/>
                <w:bCs w:val="1"/>
                <w:color w:val="auto"/>
                <w:w w:val="93"/>
              </w:rPr>
              <w:t>(2)</w:t>
            </w:r>
          </w:p>
        </w:tc>
        <w:tc>
          <w:tcPr>
            <w:tcW w:w="12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compensation</w:t>
            </w:r>
          </w:p>
        </w:tc>
        <w:tc>
          <w:tcPr>
            <w:tcW w:w="140" w:type="dxa"/>
            <w:vAlign w:val="bottom"/>
          </w:tcPr>
          <w:p>
            <w:pPr>
              <w:spacing w:after="0"/>
              <w:rPr>
                <w:sz w:val="15"/>
                <w:szCs w:val="15"/>
                <w:color w:val="auto"/>
              </w:rPr>
            </w:pPr>
          </w:p>
        </w:tc>
        <w:tc>
          <w:tcPr>
            <w:tcW w:w="820" w:type="dxa"/>
            <w:vAlign w:val="bottom"/>
          </w:tcPr>
          <w:p>
            <w:pPr>
              <w:jc w:val="right"/>
              <w:ind w:right="13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65"/>
        </w:trPr>
        <w:tc>
          <w:tcPr>
            <w:tcW w:w="200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color w:val="auto"/>
              </w:rPr>
              <w:t>Macau Operations:</w:t>
            </w: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00" w:type="dxa"/>
            <w:vAlign w:val="bottom"/>
          </w:tcPr>
          <w:p>
            <w:pPr>
              <w:ind w:left="120"/>
              <w:spacing w:after="0"/>
              <w:rPr>
                <w:sz w:val="20"/>
                <w:szCs w:val="20"/>
                <w:color w:val="auto"/>
              </w:rPr>
            </w:pPr>
            <w:r>
              <w:rPr>
                <w:rFonts w:ascii="Arial" w:cs="Arial" w:eastAsia="Arial" w:hAnsi="Arial"/>
                <w:sz w:val="14"/>
                <w:szCs w:val="14"/>
                <w:color w:val="auto"/>
              </w:rPr>
              <w:t>Wynn Palace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(185,342)</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615</w:t>
            </w:r>
          </w:p>
        </w:tc>
        <w:tc>
          <w:tcPr>
            <w:tcW w:w="10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67,222</w:t>
            </w:r>
          </w:p>
        </w:tc>
        <w:tc>
          <w:tcPr>
            <w:tcW w:w="10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993</w:t>
            </w:r>
          </w:p>
        </w:tc>
        <w:tc>
          <w:tcPr>
            <w:tcW w:w="1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2,250</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1,360</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1,994</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(110,908)</w:t>
            </w:r>
          </w:p>
        </w:tc>
        <w:tc>
          <w:tcPr>
            <w:tcW w:w="0" w:type="dxa"/>
            <w:vAlign w:val="bottom"/>
          </w:tcPr>
          <w:p>
            <w:pPr>
              <w:spacing w:after="0"/>
              <w:rPr>
                <w:sz w:val="1"/>
                <w:szCs w:val="1"/>
                <w:color w:val="auto"/>
              </w:rPr>
            </w:pPr>
          </w:p>
        </w:tc>
      </w:tr>
      <w:tr>
        <w:trPr>
          <w:trHeight w:val="187"/>
        </w:trPr>
        <w:tc>
          <w:tcPr>
            <w:tcW w:w="2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Wynn Macau</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(114,156)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23,007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4,288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(82,646)</w:t>
            </w:r>
          </w:p>
        </w:tc>
        <w:tc>
          <w:tcPr>
            <w:tcW w:w="0" w:type="dxa"/>
            <w:vAlign w:val="bottom"/>
          </w:tcPr>
          <w:p>
            <w:pPr>
              <w:spacing w:after="0"/>
              <w:rPr>
                <w:sz w:val="1"/>
                <w:szCs w:val="1"/>
                <w:color w:val="auto"/>
              </w:rPr>
            </w:pPr>
          </w:p>
        </w:tc>
      </w:tr>
      <w:tr>
        <w:trPr>
          <w:trHeight w:val="182"/>
        </w:trPr>
        <w:tc>
          <w:tcPr>
            <w:tcW w:w="2000" w:type="dxa"/>
            <w:vAlign w:val="bottom"/>
          </w:tcPr>
          <w:p>
            <w:pPr>
              <w:ind w:left="120"/>
              <w:spacing w:after="0"/>
              <w:rPr>
                <w:sz w:val="20"/>
                <w:szCs w:val="20"/>
                <w:color w:val="auto"/>
              </w:rPr>
            </w:pPr>
            <w:r>
              <w:rPr>
                <w:rFonts w:ascii="Arial" w:cs="Arial" w:eastAsia="Arial" w:hAnsi="Arial"/>
                <w:sz w:val="14"/>
                <w:szCs w:val="14"/>
                <w:color w:val="auto"/>
              </w:rPr>
              <w:t>Other Macau</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(2,870)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1,108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1,364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395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Macau Operations</w:t>
            </w: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(302,368)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615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91,337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1,476</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4,500</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4,209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6,677</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(193,554)</w:t>
            </w:r>
          </w:p>
        </w:tc>
        <w:tc>
          <w:tcPr>
            <w:tcW w:w="0" w:type="dxa"/>
            <w:vAlign w:val="bottom"/>
          </w:tcPr>
          <w:p>
            <w:pPr>
              <w:spacing w:after="0"/>
              <w:rPr>
                <w:sz w:val="1"/>
                <w:szCs w:val="1"/>
                <w:color w:val="auto"/>
              </w:rPr>
            </w:pPr>
          </w:p>
        </w:tc>
      </w:tr>
      <w:tr>
        <w:trPr>
          <w:trHeight w:val="182"/>
        </w:trPr>
        <w:tc>
          <w:tcPr>
            <w:tcW w:w="2000" w:type="dxa"/>
            <w:vAlign w:val="bottom"/>
          </w:tcPr>
          <w:p>
            <w:pPr>
              <w:ind w:left="20"/>
              <w:spacing w:after="0"/>
              <w:rPr>
                <w:sz w:val="20"/>
                <w:szCs w:val="20"/>
                <w:color w:val="auto"/>
              </w:rPr>
            </w:pPr>
            <w:r>
              <w:rPr>
                <w:rFonts w:ascii="Arial" w:cs="Arial" w:eastAsia="Arial" w:hAnsi="Arial"/>
                <w:sz w:val="14"/>
                <w:szCs w:val="14"/>
                <w:color w:val="auto"/>
              </w:rPr>
              <w:t>Las Vegas Operations</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(136,790)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1,037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48,395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2,850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6,945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2,303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(75,564)</w:t>
            </w:r>
          </w:p>
        </w:tc>
        <w:tc>
          <w:tcPr>
            <w:tcW w:w="0" w:type="dxa"/>
            <w:vAlign w:val="bottom"/>
          </w:tcPr>
          <w:p>
            <w:pPr>
              <w:spacing w:after="0"/>
              <w:rPr>
                <w:sz w:val="1"/>
                <w:szCs w:val="1"/>
                <w:color w:val="auto"/>
              </w:rPr>
            </w:pPr>
          </w:p>
        </w:tc>
      </w:tr>
      <w:tr>
        <w:trPr>
          <w:trHeight w:val="187"/>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Encore Boston Harbor</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(99,430)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36,894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898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(53,779)</w:t>
            </w:r>
          </w:p>
        </w:tc>
        <w:tc>
          <w:tcPr>
            <w:tcW w:w="0" w:type="dxa"/>
            <w:vAlign w:val="bottom"/>
          </w:tcPr>
          <w:p>
            <w:pPr>
              <w:spacing w:after="0"/>
              <w:rPr>
                <w:sz w:val="1"/>
                <w:szCs w:val="1"/>
                <w:color w:val="auto"/>
              </w:rPr>
            </w:pPr>
          </w:p>
        </w:tc>
      </w:tr>
      <w:tr>
        <w:trPr>
          <w:trHeight w:val="182"/>
        </w:trPr>
        <w:tc>
          <w:tcPr>
            <w:tcW w:w="2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Corporate and other</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15,572</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1,778</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(7,359)</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(24,371)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11,206</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(523,016)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2,186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179,266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6,567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(8,984)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21,084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(322,897)</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ind w:left="240" w:right="140" w:hanging="235"/>
        <w:spacing w:after="0" w:line="244" w:lineRule="auto"/>
        <w:tabs>
          <w:tab w:leader="none" w:pos="201" w:val="left"/>
        </w:tabs>
        <w:numPr>
          <w:ilvl w:val="0"/>
          <w:numId w:val="4"/>
        </w:numPr>
        <w:rPr>
          <w:rFonts w:ascii="Arial" w:cs="Arial" w:eastAsia="Arial" w:hAnsi="Arial"/>
          <w:sz w:val="14"/>
          <w:szCs w:val="14"/>
          <w:color w:val="auto"/>
        </w:rPr>
      </w:pPr>
      <w:r>
        <w:rPr>
          <w:rFonts w:ascii="Arial" w:cs="Arial" w:eastAsia="Arial" w:hAnsi="Arial"/>
          <w:sz w:val="14"/>
          <w:szCs w:val="14"/>
          <w:color w:val="auto"/>
        </w:rPr>
        <w:t>Excludes $56.4 million and $19.3 million of expense accrued during the first quarter of 2020 related to our commitment to pay salary, tips, and benefits continuation for all of our U.S. employees for the period from April 1 through May 15, 2020, for our Las Vegas Operations and Encore Boston Harbor, respectively.</w:t>
      </w:r>
    </w:p>
    <w:p>
      <w:pPr>
        <w:ind w:left="200" w:hanging="195"/>
        <w:spacing w:after="0"/>
        <w:tabs>
          <w:tab w:leader="none" w:pos="20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Corporate and other includes a $27.7 million net gain recorded in relation to a derivative litigation settlement.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871" w:right="339" w:bottom="1440" w:gutter="0" w:footer="0" w:header="0"/>
        </w:sectPr>
      </w:pPr>
    </w:p>
    <w:bookmarkStart w:id="10" w:name="page11"/>
    <w:bookmarkEnd w:id="10"/>
    <w:p>
      <w:pPr>
        <w:ind w:left="35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1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RECONCILIATION OF OPERATING INCOME (LOSS) TO ADJUSTED PROPERTY EBITDA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9"/>
              </w:rPr>
              <w:t>Six Months Ended June 30, 2021</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Operating</w:t>
            </w:r>
          </w:p>
        </w:tc>
        <w:tc>
          <w:tcPr>
            <w:tcW w:w="120" w:type="dxa"/>
            <w:vAlign w:val="bottom"/>
          </w:tcPr>
          <w:p>
            <w:pPr>
              <w:spacing w:after="0"/>
              <w:rPr>
                <w:sz w:val="11"/>
                <w:szCs w:val="11"/>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Pre-opening</w:t>
            </w:r>
          </w:p>
        </w:tc>
        <w:tc>
          <w:tcPr>
            <w:tcW w:w="1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Depreciation and</w:t>
            </w:r>
          </w:p>
        </w:tc>
        <w:tc>
          <w:tcPr>
            <w:tcW w:w="11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7"/>
              </w:rPr>
              <w:t>Property charges</w:t>
            </w:r>
          </w:p>
        </w:tc>
        <w:tc>
          <w:tcPr>
            <w:tcW w:w="1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Management and</w:t>
            </w:r>
          </w:p>
        </w:tc>
        <w:tc>
          <w:tcPr>
            <w:tcW w:w="120" w:type="dxa"/>
            <w:vAlign w:val="bottom"/>
          </w:tcPr>
          <w:p>
            <w:pPr>
              <w:spacing w:after="0"/>
              <w:rPr>
                <w:sz w:val="11"/>
                <w:szCs w:val="11"/>
                <w:color w:val="auto"/>
              </w:rPr>
            </w:pPr>
          </w:p>
        </w:tc>
        <w:tc>
          <w:tcPr>
            <w:tcW w:w="1060" w:type="dxa"/>
            <w:vAlign w:val="bottom"/>
            <w:gridSpan w:val="2"/>
          </w:tcPr>
          <w:p>
            <w:pPr>
              <w:jc w:val="center"/>
              <w:ind w:right="200"/>
              <w:spacing w:after="0" w:line="130" w:lineRule="exact"/>
              <w:rPr>
                <w:sz w:val="20"/>
                <w:szCs w:val="20"/>
                <w:color w:val="auto"/>
              </w:rPr>
            </w:pPr>
            <w:r>
              <w:rPr>
                <w:rFonts w:ascii="Arial" w:cs="Arial" w:eastAsia="Arial" w:hAnsi="Arial"/>
                <w:sz w:val="14"/>
                <w:szCs w:val="14"/>
                <w:b w:val="1"/>
                <w:bCs w:val="1"/>
                <w:color w:val="auto"/>
                <w:w w:val="92"/>
              </w:rPr>
              <w:t>Corporate</w:t>
            </w:r>
          </w:p>
        </w:tc>
        <w:tc>
          <w:tcPr>
            <w:tcW w:w="140" w:type="dxa"/>
            <w:vAlign w:val="bottom"/>
          </w:tcPr>
          <w:p>
            <w:pPr>
              <w:spacing w:after="0"/>
              <w:rPr>
                <w:sz w:val="11"/>
                <w:szCs w:val="11"/>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Stock-based</w:t>
            </w:r>
          </w:p>
        </w:tc>
        <w:tc>
          <w:tcPr>
            <w:tcW w:w="160" w:type="dxa"/>
            <w:vAlign w:val="bottom"/>
          </w:tcPr>
          <w:p>
            <w:pPr>
              <w:spacing w:after="0"/>
              <w:rPr>
                <w:sz w:val="11"/>
                <w:szCs w:val="11"/>
                <w:color w:val="auto"/>
              </w:rPr>
            </w:pPr>
          </w:p>
        </w:tc>
        <w:tc>
          <w:tcPr>
            <w:tcW w:w="820" w:type="dxa"/>
            <w:vAlign w:val="bottom"/>
          </w:tcPr>
          <w:p>
            <w:pPr>
              <w:jc w:val="right"/>
              <w:ind w:right="150"/>
              <w:spacing w:after="0" w:line="130" w:lineRule="exact"/>
              <w:rPr>
                <w:sz w:val="20"/>
                <w:szCs w:val="20"/>
                <w:color w:val="auto"/>
              </w:rPr>
            </w:pPr>
            <w:r>
              <w:rPr>
                <w:rFonts w:ascii="Arial" w:cs="Arial" w:eastAsia="Arial" w:hAnsi="Arial"/>
                <w:sz w:val="14"/>
                <w:szCs w:val="14"/>
                <w:b w:val="1"/>
                <w:bCs w:val="1"/>
                <w:color w:val="auto"/>
                <w:w w:val="96"/>
              </w:rPr>
              <w:t>Adjusted</w:t>
            </w:r>
          </w:p>
        </w:tc>
        <w:tc>
          <w:tcPr>
            <w:tcW w:w="0" w:type="dxa"/>
            <w:vAlign w:val="bottom"/>
          </w:tcPr>
          <w:p>
            <w:pPr>
              <w:spacing w:after="0"/>
              <w:rPr>
                <w:sz w:val="1"/>
                <w:szCs w:val="1"/>
                <w:color w:val="auto"/>
              </w:rPr>
            </w:pPr>
          </w:p>
        </w:tc>
      </w:tr>
      <w:tr>
        <w:trPr>
          <w:trHeight w:val="132"/>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00"/>
              <w:spacing w:after="0" w:line="132" w:lineRule="exact"/>
              <w:rPr>
                <w:sz w:val="20"/>
                <w:szCs w:val="20"/>
                <w:color w:val="auto"/>
              </w:rPr>
            </w:pPr>
            <w:r>
              <w:rPr>
                <w:rFonts w:ascii="Arial" w:cs="Arial" w:eastAsia="Arial" w:hAnsi="Arial"/>
                <w:sz w:val="14"/>
                <w:szCs w:val="14"/>
                <w:b w:val="1"/>
                <w:bCs w:val="1"/>
                <w:color w:val="auto"/>
                <w:w w:val="84"/>
              </w:rPr>
              <w:t>expenses and</w:t>
            </w: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ind w:right="150"/>
              <w:spacing w:after="0" w:line="132"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84"/>
        </w:trPr>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income (loss)</w:t>
            </w: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expenses</w:t>
            </w:r>
          </w:p>
        </w:tc>
        <w:tc>
          <w:tcPr>
            <w:tcW w:w="120" w:type="dxa"/>
            <w:vAlign w:val="bottom"/>
          </w:tcPr>
          <w:p>
            <w:pPr>
              <w:spacing w:after="0"/>
              <w:rPr>
                <w:sz w:val="15"/>
                <w:szCs w:val="15"/>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5"/>
                <w:szCs w:val="15"/>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and other</w:t>
            </w:r>
          </w:p>
        </w:tc>
        <w:tc>
          <w:tcPr>
            <w:tcW w:w="160" w:type="dxa"/>
            <w:vAlign w:val="bottom"/>
          </w:tcPr>
          <w:p>
            <w:pPr>
              <w:spacing w:after="0"/>
              <w:rPr>
                <w:sz w:val="15"/>
                <w:szCs w:val="15"/>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license fees</w:t>
            </w: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compensation</w:t>
            </w:r>
          </w:p>
        </w:tc>
        <w:tc>
          <w:tcPr>
            <w:tcW w:w="160" w:type="dxa"/>
            <w:vAlign w:val="bottom"/>
          </w:tcPr>
          <w:p>
            <w:pPr>
              <w:spacing w:after="0"/>
              <w:rPr>
                <w:sz w:val="15"/>
                <w:szCs w:val="15"/>
                <w:color w:val="auto"/>
              </w:rPr>
            </w:pPr>
          </w:p>
        </w:tc>
        <w:tc>
          <w:tcPr>
            <w:tcW w:w="820" w:type="dxa"/>
            <w:vAlign w:val="bottom"/>
          </w:tcPr>
          <w:p>
            <w:pPr>
              <w:jc w:val="right"/>
              <w:ind w:right="15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65"/>
        </w:trPr>
        <w:tc>
          <w:tcPr>
            <w:tcW w:w="200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color w:val="auto"/>
              </w:rPr>
              <w:t>Macau Operations:</w:t>
            </w: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00" w:type="dxa"/>
            <w:vAlign w:val="bottom"/>
          </w:tcPr>
          <w:p>
            <w:pPr>
              <w:ind w:left="120"/>
              <w:spacing w:after="0"/>
              <w:rPr>
                <w:sz w:val="20"/>
                <w:szCs w:val="20"/>
                <w:color w:val="auto"/>
              </w:rPr>
            </w:pPr>
            <w:r>
              <w:rPr>
                <w:rFonts w:ascii="Arial" w:cs="Arial" w:eastAsia="Arial" w:hAnsi="Arial"/>
                <w:sz w:val="14"/>
                <w:szCs w:val="14"/>
                <w:color w:val="auto"/>
              </w:rPr>
              <w:t>Wynn Palace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(81,019)</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836</w:t>
            </w:r>
          </w:p>
        </w:tc>
        <w:tc>
          <w:tcPr>
            <w:tcW w:w="10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133,072</w:t>
            </w:r>
          </w:p>
        </w:tc>
        <w:tc>
          <w:tcPr>
            <w:tcW w:w="10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3,154</w:t>
            </w:r>
          </w:p>
        </w:tc>
        <w:tc>
          <w:tcPr>
            <w:tcW w:w="8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16,826</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2,355</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5,700</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80,924</w:t>
            </w:r>
          </w:p>
        </w:tc>
        <w:tc>
          <w:tcPr>
            <w:tcW w:w="0" w:type="dxa"/>
            <w:vAlign w:val="bottom"/>
          </w:tcPr>
          <w:p>
            <w:pPr>
              <w:spacing w:after="0"/>
              <w:rPr>
                <w:sz w:val="1"/>
                <w:szCs w:val="1"/>
                <w:color w:val="auto"/>
              </w:rPr>
            </w:pPr>
          </w:p>
        </w:tc>
      </w:tr>
      <w:tr>
        <w:trPr>
          <w:trHeight w:val="187"/>
        </w:trPr>
        <w:tc>
          <w:tcPr>
            <w:tcW w:w="2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Wynn Macau</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(37,286)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42,246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11,854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30,642</w:t>
            </w:r>
          </w:p>
        </w:tc>
        <w:tc>
          <w:tcPr>
            <w:tcW w:w="0" w:type="dxa"/>
            <w:vAlign w:val="bottom"/>
          </w:tcPr>
          <w:p>
            <w:pPr>
              <w:spacing w:after="0"/>
              <w:rPr>
                <w:sz w:val="1"/>
                <w:szCs w:val="1"/>
                <w:color w:val="auto"/>
              </w:rPr>
            </w:pPr>
          </w:p>
        </w:tc>
      </w:tr>
      <w:tr>
        <w:trPr>
          <w:trHeight w:val="182"/>
        </w:trPr>
        <w:tc>
          <w:tcPr>
            <w:tcW w:w="2000" w:type="dxa"/>
            <w:vAlign w:val="bottom"/>
          </w:tcPr>
          <w:p>
            <w:pPr>
              <w:ind w:left="120"/>
              <w:spacing w:after="0"/>
              <w:rPr>
                <w:sz w:val="20"/>
                <w:szCs w:val="20"/>
                <w:color w:val="auto"/>
              </w:rPr>
            </w:pPr>
            <w:r>
              <w:rPr>
                <w:rFonts w:ascii="Arial" w:cs="Arial" w:eastAsia="Arial" w:hAnsi="Arial"/>
                <w:sz w:val="14"/>
                <w:szCs w:val="14"/>
                <w:color w:val="auto"/>
              </w:rPr>
              <w:t>Other Macau</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(6,322)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2,203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2,953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1,149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Macau Operations</w:t>
            </w: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(124,627)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177,521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5,363</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28,680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7,938</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15,855</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111,566</w:t>
            </w:r>
          </w:p>
        </w:tc>
        <w:tc>
          <w:tcPr>
            <w:tcW w:w="0" w:type="dxa"/>
            <w:vAlign w:val="bottom"/>
          </w:tcPr>
          <w:p>
            <w:pPr>
              <w:spacing w:after="0"/>
              <w:rPr>
                <w:sz w:val="1"/>
                <w:szCs w:val="1"/>
                <w:color w:val="auto"/>
              </w:rPr>
            </w:pPr>
          </w:p>
        </w:tc>
      </w:tr>
      <w:tr>
        <w:trPr>
          <w:trHeight w:val="182"/>
        </w:trPr>
        <w:tc>
          <w:tcPr>
            <w:tcW w:w="2000" w:type="dxa"/>
            <w:vAlign w:val="bottom"/>
          </w:tcPr>
          <w:p>
            <w:pPr>
              <w:ind w:left="20"/>
              <w:spacing w:after="0"/>
              <w:rPr>
                <w:sz w:val="20"/>
                <w:szCs w:val="20"/>
                <w:color w:val="auto"/>
              </w:rPr>
            </w:pPr>
            <w:r>
              <w:rPr>
                <w:rFonts w:ascii="Arial" w:cs="Arial" w:eastAsia="Arial" w:hAnsi="Arial"/>
                <w:sz w:val="14"/>
                <w:szCs w:val="14"/>
                <w:color w:val="auto"/>
              </w:rPr>
              <w:t>Las Vegas Operations</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14,979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2,443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96,181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5,151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25,515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11,049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5,985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161,303</w:t>
            </w:r>
          </w:p>
        </w:tc>
        <w:tc>
          <w:tcPr>
            <w:tcW w:w="0" w:type="dxa"/>
            <w:vAlign w:val="bottom"/>
          </w:tcPr>
          <w:p>
            <w:pPr>
              <w:spacing w:after="0"/>
              <w:rPr>
                <w:sz w:val="1"/>
                <w:szCs w:val="1"/>
                <w:color w:val="auto"/>
              </w:rPr>
            </w:pPr>
          </w:p>
        </w:tc>
      </w:tr>
      <w:tr>
        <w:trPr>
          <w:trHeight w:val="187"/>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Encore Boston Harbor</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(22,253)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78,268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14,234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77,279</w:t>
            </w:r>
          </w:p>
        </w:tc>
        <w:tc>
          <w:tcPr>
            <w:tcW w:w="0" w:type="dxa"/>
            <w:vAlign w:val="bottom"/>
          </w:tcPr>
          <w:p>
            <w:pPr>
              <w:spacing w:after="0"/>
              <w:rPr>
                <w:sz w:val="1"/>
                <w:szCs w:val="1"/>
                <w:color w:val="auto"/>
              </w:rPr>
            </w:pPr>
          </w:p>
        </w:tc>
      </w:tr>
      <w:tr>
        <w:trPr>
          <w:trHeight w:val="182"/>
        </w:trPr>
        <w:tc>
          <w:tcPr>
            <w:tcW w:w="2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Corporate and other</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(73,352)</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815</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16,458</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(467)</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(68,429)</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14,235</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26,372</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(84,368)</w:t>
            </w:r>
          </w:p>
        </w:tc>
        <w:tc>
          <w:tcPr>
            <w:tcW w:w="0" w:type="dxa"/>
            <w:vAlign w:val="bottom"/>
          </w:tcPr>
          <w:p>
            <w:pPr>
              <w:spacing w:after="0"/>
              <w:rPr>
                <w:sz w:val="1"/>
                <w:szCs w:val="1"/>
                <w:color w:val="auto"/>
              </w:rPr>
            </w:pPr>
          </w:p>
        </w:tc>
      </w:tr>
      <w:tr>
        <w:trPr>
          <w:trHeight w:val="205"/>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(205,253)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4,122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368,428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11,268</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37,762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49,453</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265,780</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8"/>
              </w:rPr>
              <w:t>Six Months Ended June 30, 2020</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Operating</w:t>
            </w:r>
          </w:p>
        </w:tc>
        <w:tc>
          <w:tcPr>
            <w:tcW w:w="120" w:type="dxa"/>
            <w:vAlign w:val="bottom"/>
          </w:tcPr>
          <w:p>
            <w:pPr>
              <w:spacing w:after="0"/>
              <w:rPr>
                <w:sz w:val="11"/>
                <w:szCs w:val="11"/>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Pre-opening</w:t>
            </w:r>
          </w:p>
        </w:tc>
        <w:tc>
          <w:tcPr>
            <w:tcW w:w="1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Depreciation and</w:t>
            </w:r>
          </w:p>
        </w:tc>
        <w:tc>
          <w:tcPr>
            <w:tcW w:w="1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Property charges</w:t>
            </w:r>
          </w:p>
        </w:tc>
        <w:tc>
          <w:tcPr>
            <w:tcW w:w="1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9"/>
              </w:rPr>
              <w:t>Management and</w:t>
            </w:r>
          </w:p>
        </w:tc>
        <w:tc>
          <w:tcPr>
            <w:tcW w:w="140" w:type="dxa"/>
            <w:vAlign w:val="bottom"/>
          </w:tcPr>
          <w:p>
            <w:pPr>
              <w:spacing w:after="0"/>
              <w:rPr>
                <w:sz w:val="11"/>
                <w:szCs w:val="11"/>
                <w:color w:val="auto"/>
              </w:rPr>
            </w:pPr>
          </w:p>
        </w:tc>
        <w:tc>
          <w:tcPr>
            <w:tcW w:w="1080" w:type="dxa"/>
            <w:vAlign w:val="bottom"/>
            <w:gridSpan w:val="2"/>
          </w:tcPr>
          <w:p>
            <w:pPr>
              <w:jc w:val="center"/>
              <w:ind w:right="220"/>
              <w:spacing w:after="0" w:line="130" w:lineRule="exact"/>
              <w:rPr>
                <w:sz w:val="20"/>
                <w:szCs w:val="20"/>
                <w:color w:val="auto"/>
              </w:rPr>
            </w:pPr>
            <w:r>
              <w:rPr>
                <w:rFonts w:ascii="Arial" w:cs="Arial" w:eastAsia="Arial" w:hAnsi="Arial"/>
                <w:sz w:val="14"/>
                <w:szCs w:val="14"/>
                <w:b w:val="1"/>
                <w:bCs w:val="1"/>
                <w:color w:val="auto"/>
                <w:w w:val="92"/>
              </w:rPr>
              <w:t>Corporate</w:t>
            </w:r>
          </w:p>
        </w:tc>
        <w:tc>
          <w:tcPr>
            <w:tcW w:w="120" w:type="dxa"/>
            <w:vAlign w:val="bottom"/>
          </w:tcPr>
          <w:p>
            <w:pPr>
              <w:spacing w:after="0"/>
              <w:rPr>
                <w:sz w:val="11"/>
                <w:szCs w:val="11"/>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6"/>
              </w:rPr>
              <w:t>Stock-based</w:t>
            </w:r>
          </w:p>
        </w:tc>
        <w:tc>
          <w:tcPr>
            <w:tcW w:w="140" w:type="dxa"/>
            <w:vAlign w:val="bottom"/>
          </w:tcPr>
          <w:p>
            <w:pPr>
              <w:spacing w:after="0"/>
              <w:rPr>
                <w:sz w:val="11"/>
                <w:szCs w:val="11"/>
                <w:color w:val="auto"/>
              </w:rPr>
            </w:pPr>
          </w:p>
        </w:tc>
        <w:tc>
          <w:tcPr>
            <w:tcW w:w="820" w:type="dxa"/>
            <w:vAlign w:val="bottom"/>
          </w:tcPr>
          <w:p>
            <w:pPr>
              <w:jc w:val="right"/>
              <w:ind w:right="130"/>
              <w:spacing w:after="0" w:line="130"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32"/>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20"/>
              <w:spacing w:after="0" w:line="132" w:lineRule="exact"/>
              <w:rPr>
                <w:sz w:val="20"/>
                <w:szCs w:val="20"/>
                <w:color w:val="auto"/>
              </w:rPr>
            </w:pPr>
            <w:r>
              <w:rPr>
                <w:rFonts w:ascii="Arial" w:cs="Arial" w:eastAsia="Arial" w:hAnsi="Arial"/>
                <w:sz w:val="14"/>
                <w:szCs w:val="14"/>
                <w:b w:val="1"/>
                <w:bCs w:val="1"/>
                <w:color w:val="auto"/>
                <w:w w:val="84"/>
              </w:rPr>
              <w:t>expenses and</w:t>
            </w: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ind w:right="130"/>
              <w:spacing w:after="0" w:line="132"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84"/>
        </w:trPr>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income (loss)</w:t>
            </w: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expenses</w:t>
            </w:r>
          </w:p>
        </w:tc>
        <w:tc>
          <w:tcPr>
            <w:tcW w:w="120" w:type="dxa"/>
            <w:vAlign w:val="bottom"/>
          </w:tcPr>
          <w:p>
            <w:pPr>
              <w:spacing w:after="0"/>
              <w:rPr>
                <w:sz w:val="15"/>
                <w:szCs w:val="15"/>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and other</w:t>
            </w:r>
          </w:p>
        </w:tc>
        <w:tc>
          <w:tcPr>
            <w:tcW w:w="140" w:type="dxa"/>
            <w:vAlign w:val="bottom"/>
          </w:tcPr>
          <w:p>
            <w:pPr>
              <w:spacing w:after="0"/>
              <w:rPr>
                <w:sz w:val="15"/>
                <w:szCs w:val="15"/>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license fees</w:t>
            </w: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 xml:space="preserve">other </w:t>
            </w:r>
            <w:r>
              <w:rPr>
                <w:rFonts w:ascii="Arial" w:cs="Arial" w:eastAsia="Arial" w:hAnsi="Arial"/>
                <w:sz w:val="10"/>
                <w:szCs w:val="10"/>
                <w:b w:val="1"/>
                <w:bCs w:val="1"/>
                <w:color w:val="auto"/>
                <w:w w:val="93"/>
              </w:rPr>
              <w:t>(1)</w:t>
            </w:r>
          </w:p>
        </w:tc>
        <w:tc>
          <w:tcPr>
            <w:tcW w:w="12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compensation</w:t>
            </w:r>
          </w:p>
        </w:tc>
        <w:tc>
          <w:tcPr>
            <w:tcW w:w="140" w:type="dxa"/>
            <w:vAlign w:val="bottom"/>
          </w:tcPr>
          <w:p>
            <w:pPr>
              <w:spacing w:after="0"/>
              <w:rPr>
                <w:sz w:val="15"/>
                <w:szCs w:val="15"/>
                <w:color w:val="auto"/>
              </w:rPr>
            </w:pPr>
          </w:p>
        </w:tc>
        <w:tc>
          <w:tcPr>
            <w:tcW w:w="820" w:type="dxa"/>
            <w:vAlign w:val="bottom"/>
          </w:tcPr>
          <w:p>
            <w:pPr>
              <w:jc w:val="right"/>
              <w:ind w:right="13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65"/>
        </w:trPr>
        <w:tc>
          <w:tcPr>
            <w:tcW w:w="200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color w:val="auto"/>
              </w:rPr>
              <w:t>Macau Operations:</w:t>
            </w: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00" w:type="dxa"/>
            <w:vAlign w:val="bottom"/>
          </w:tcPr>
          <w:p>
            <w:pPr>
              <w:ind w:left="120"/>
              <w:spacing w:after="0"/>
              <w:rPr>
                <w:sz w:val="20"/>
                <w:szCs w:val="20"/>
                <w:color w:val="auto"/>
              </w:rPr>
            </w:pPr>
            <w:r>
              <w:rPr>
                <w:rFonts w:ascii="Arial" w:cs="Arial" w:eastAsia="Arial" w:hAnsi="Arial"/>
                <w:sz w:val="14"/>
                <w:szCs w:val="14"/>
                <w:color w:val="auto"/>
              </w:rPr>
              <w:t>Wynn Palace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(277,004)</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615</w:t>
            </w:r>
          </w:p>
        </w:tc>
        <w:tc>
          <w:tcPr>
            <w:tcW w:w="10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134,231</w:t>
            </w:r>
          </w:p>
        </w:tc>
        <w:tc>
          <w:tcPr>
            <w:tcW w:w="10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23,292</w:t>
            </w:r>
          </w:p>
        </w:tc>
        <w:tc>
          <w:tcPr>
            <w:tcW w:w="1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11,675</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2,931</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3,528</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(100,732)</w:t>
            </w:r>
          </w:p>
        </w:tc>
        <w:tc>
          <w:tcPr>
            <w:tcW w:w="0" w:type="dxa"/>
            <w:vAlign w:val="bottom"/>
          </w:tcPr>
          <w:p>
            <w:pPr>
              <w:spacing w:after="0"/>
              <w:rPr>
                <w:sz w:val="1"/>
                <w:szCs w:val="1"/>
                <w:color w:val="auto"/>
              </w:rPr>
            </w:pPr>
          </w:p>
        </w:tc>
      </w:tr>
      <w:tr>
        <w:trPr>
          <w:trHeight w:val="187"/>
        </w:trPr>
        <w:tc>
          <w:tcPr>
            <w:tcW w:w="2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Wynn Macau</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(130,239)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46,884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3,890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(63,438)</w:t>
            </w:r>
          </w:p>
        </w:tc>
        <w:tc>
          <w:tcPr>
            <w:tcW w:w="0" w:type="dxa"/>
            <w:vAlign w:val="bottom"/>
          </w:tcPr>
          <w:p>
            <w:pPr>
              <w:spacing w:after="0"/>
              <w:rPr>
                <w:sz w:val="1"/>
                <w:szCs w:val="1"/>
                <w:color w:val="auto"/>
              </w:rPr>
            </w:pPr>
          </w:p>
        </w:tc>
      </w:tr>
      <w:tr>
        <w:trPr>
          <w:trHeight w:val="182"/>
        </w:trPr>
        <w:tc>
          <w:tcPr>
            <w:tcW w:w="2000" w:type="dxa"/>
            <w:vAlign w:val="bottom"/>
          </w:tcPr>
          <w:p>
            <w:pPr>
              <w:ind w:left="120"/>
              <w:spacing w:after="0"/>
              <w:rPr>
                <w:sz w:val="20"/>
                <w:szCs w:val="20"/>
                <w:color w:val="auto"/>
              </w:rPr>
            </w:pPr>
            <w:r>
              <w:rPr>
                <w:rFonts w:ascii="Arial" w:cs="Arial" w:eastAsia="Arial" w:hAnsi="Arial"/>
                <w:sz w:val="14"/>
                <w:szCs w:val="14"/>
                <w:color w:val="auto"/>
              </w:rPr>
              <w:t>Other Macau</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(6,387)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2,226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3,393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765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Macau Operations</w:t>
            </w: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(413,630)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615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183,341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25,629</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22,088</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9,604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8,183</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(164,170)</w:t>
            </w:r>
          </w:p>
        </w:tc>
        <w:tc>
          <w:tcPr>
            <w:tcW w:w="0" w:type="dxa"/>
            <w:vAlign w:val="bottom"/>
          </w:tcPr>
          <w:p>
            <w:pPr>
              <w:spacing w:after="0"/>
              <w:rPr>
                <w:sz w:val="1"/>
                <w:szCs w:val="1"/>
                <w:color w:val="auto"/>
              </w:rPr>
            </w:pPr>
          </w:p>
        </w:tc>
      </w:tr>
      <w:tr>
        <w:trPr>
          <w:trHeight w:val="182"/>
        </w:trPr>
        <w:tc>
          <w:tcPr>
            <w:tcW w:w="2000" w:type="dxa"/>
            <w:vAlign w:val="bottom"/>
          </w:tcPr>
          <w:p>
            <w:pPr>
              <w:ind w:left="20"/>
              <w:spacing w:after="0"/>
              <w:rPr>
                <w:sz w:val="20"/>
                <w:szCs w:val="20"/>
                <w:color w:val="auto"/>
              </w:rPr>
            </w:pPr>
            <w:r>
              <w:rPr>
                <w:rFonts w:ascii="Arial" w:cs="Arial" w:eastAsia="Arial" w:hAnsi="Arial"/>
                <w:sz w:val="14"/>
                <w:szCs w:val="14"/>
                <w:color w:val="auto"/>
              </w:rPr>
              <w:t>Las Vegas Operations</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(230,227)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2,176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95,640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18,055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13,234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3,672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(97,641)</w:t>
            </w:r>
          </w:p>
        </w:tc>
        <w:tc>
          <w:tcPr>
            <w:tcW w:w="0" w:type="dxa"/>
            <w:vAlign w:val="bottom"/>
          </w:tcPr>
          <w:p>
            <w:pPr>
              <w:spacing w:after="0"/>
              <w:rPr>
                <w:sz w:val="1"/>
                <w:szCs w:val="1"/>
                <w:color w:val="auto"/>
              </w:rPr>
            </w:pPr>
          </w:p>
        </w:tc>
      </w:tr>
      <w:tr>
        <w:trPr>
          <w:trHeight w:val="187"/>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Encore Boston Harbor</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(160,048)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73,768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1,677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(66,415)</w:t>
            </w:r>
          </w:p>
        </w:tc>
        <w:tc>
          <w:tcPr>
            <w:tcW w:w="0" w:type="dxa"/>
            <w:vAlign w:val="bottom"/>
          </w:tcPr>
          <w:p>
            <w:pPr>
              <w:spacing w:after="0"/>
              <w:rPr>
                <w:sz w:val="1"/>
                <w:szCs w:val="1"/>
                <w:color w:val="auto"/>
              </w:rPr>
            </w:pPr>
          </w:p>
        </w:tc>
      </w:tr>
      <w:tr>
        <w:trPr>
          <w:trHeight w:val="182"/>
        </w:trPr>
        <w:tc>
          <w:tcPr>
            <w:tcW w:w="2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Corporate and other</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33,478</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1,946</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5,263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4,493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(47,101)</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(14,995)</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16,916</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(770,427)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4,737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358,012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33,796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15,208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30,448</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(328,226)</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(1) Corporate and other includes a $27.7 million net gain recorded in relation to a derivative litigation settlement.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87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LOSS ATTRIBUTABLE TO WYNN RESORTS, LIMITED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ADJUSTED PROPERTY EBITDA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50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Six Months Ended June 30,</w:t>
            </w:r>
          </w:p>
        </w:tc>
      </w:tr>
      <w:tr>
        <w:trPr>
          <w:trHeight w:val="182"/>
        </w:trPr>
        <w:tc>
          <w:tcPr>
            <w:tcW w:w="546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r>
      <w:tr>
        <w:trPr>
          <w:trHeight w:val="217"/>
        </w:trPr>
        <w:tc>
          <w:tcPr>
            <w:tcW w:w="546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 xml:space="preserve">Net loss attributable to Wynn Resorts, Limited </w:t>
            </w:r>
            <w:r>
              <w:rPr>
                <w:rFonts w:ascii="Arial" w:cs="Arial" w:eastAsia="Arial" w:hAnsi="Arial"/>
                <w:sz w:val="14"/>
                <w:szCs w:val="14"/>
                <w:color w:val="auto"/>
              </w:rPr>
              <w:t>(1)</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(131,369)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(412,347)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(1,039,601)</w:t>
            </w:r>
          </w:p>
        </w:tc>
      </w:tr>
      <w:tr>
        <w:trPr>
          <w:trHeight w:val="223"/>
        </w:trPr>
        <w:tc>
          <w:tcPr>
            <w:tcW w:w="5460" w:type="dxa"/>
            <w:vAlign w:val="bottom"/>
          </w:tcPr>
          <w:p>
            <w:pPr>
              <w:ind w:left="340"/>
              <w:spacing w:after="0"/>
              <w:rPr>
                <w:sz w:val="20"/>
                <w:szCs w:val="20"/>
                <w:color w:val="auto"/>
              </w:rPr>
            </w:pPr>
            <w:r>
              <w:rPr>
                <w:rFonts w:ascii="Arial" w:cs="Arial" w:eastAsia="Arial" w:hAnsi="Arial"/>
                <w:sz w:val="18"/>
                <w:szCs w:val="18"/>
                <w:color w:val="auto"/>
              </w:rPr>
              <w:t>Net loss attributable to noncontrolling interests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(42,028)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(97,305)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(97,229)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(145,521)</w:t>
            </w:r>
          </w:p>
        </w:tc>
      </w:tr>
      <w:tr>
        <w:trPr>
          <w:trHeight w:val="224"/>
        </w:trPr>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Pre-opening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4,737</w:t>
            </w:r>
          </w:p>
        </w:tc>
      </w:tr>
      <w:tr>
        <w:trPr>
          <w:trHeight w:val="223"/>
        </w:trPr>
        <w:tc>
          <w:tcPr>
            <w:tcW w:w="54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183,307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179,266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368,428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358,012</w:t>
            </w:r>
          </w:p>
        </w:tc>
      </w:tr>
      <w:tr>
        <w:trPr>
          <w:trHeight w:val="224"/>
        </w:trPr>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charges and other</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33,796</w:t>
            </w:r>
          </w:p>
        </w:tc>
      </w:tr>
      <w:tr>
        <w:trPr>
          <w:trHeight w:val="223"/>
        </w:trPr>
        <w:tc>
          <w:tcPr>
            <w:tcW w:w="5460" w:type="dxa"/>
            <w:vAlign w:val="bottom"/>
          </w:tcPr>
          <w:p>
            <w:pPr>
              <w:ind w:left="340"/>
              <w:spacing w:after="0"/>
              <w:rPr>
                <w:sz w:val="20"/>
                <w:szCs w:val="20"/>
                <w:color w:val="auto"/>
              </w:rPr>
            </w:pPr>
            <w:r>
              <w:rPr>
                <w:rFonts w:ascii="Arial" w:cs="Arial" w:eastAsia="Arial" w:hAnsi="Arial"/>
                <w:sz w:val="18"/>
                <w:szCs w:val="18"/>
                <w:color w:val="auto"/>
              </w:rPr>
              <w:t>Corporate expenses and other</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19,841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37,762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15,208</w:t>
            </w:r>
          </w:p>
        </w:tc>
      </w:tr>
      <w:tr>
        <w:trPr>
          <w:trHeight w:val="224"/>
        </w:trPr>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30,448</w:t>
            </w:r>
          </w:p>
        </w:tc>
      </w:tr>
      <w:tr>
        <w:trPr>
          <w:trHeight w:val="223"/>
        </w:trPr>
        <w:tc>
          <w:tcPr>
            <w:tcW w:w="546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(11,936)</w:t>
            </w:r>
          </w:p>
        </w:tc>
      </w:tr>
      <w:tr>
        <w:trPr>
          <w:trHeight w:val="224"/>
        </w:trPr>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 of amounts capitalized</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150,424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262,045</w:t>
            </w:r>
          </w:p>
        </w:tc>
      </w:tr>
      <w:tr>
        <w:trPr>
          <w:trHeight w:val="223"/>
        </w:trPr>
        <w:tc>
          <w:tcPr>
            <w:tcW w:w="5460" w:type="dxa"/>
            <w:vAlign w:val="bottom"/>
          </w:tcPr>
          <w:p>
            <w:pPr>
              <w:ind w:left="340"/>
              <w:spacing w:after="0"/>
              <w:rPr>
                <w:sz w:val="20"/>
                <w:szCs w:val="20"/>
                <w:color w:val="auto"/>
              </w:rPr>
            </w:pPr>
            <w:r>
              <w:rPr>
                <w:rFonts w:ascii="Arial" w:cs="Arial" w:eastAsia="Arial" w:hAnsi="Arial"/>
                <w:sz w:val="18"/>
                <w:szCs w:val="18"/>
                <w:color w:val="auto"/>
              </w:rPr>
              <w:t>Change in derivatives fair value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18,954</w:t>
            </w:r>
          </w:p>
        </w:tc>
      </w:tr>
      <w:tr>
        <w:trPr>
          <w:trHeight w:val="224"/>
        </w:trPr>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r>
      <w:tr>
        <w:trPr>
          <w:trHeight w:val="223"/>
        </w:trPr>
        <w:tc>
          <w:tcPr>
            <w:tcW w:w="5460" w:type="dxa"/>
            <w:vAlign w:val="bottom"/>
          </w:tcPr>
          <w:p>
            <w:pPr>
              <w:ind w:left="3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(5,553)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(12,568)</w:t>
            </w:r>
          </w:p>
        </w:tc>
      </w:tr>
      <w:tr>
        <w:trPr>
          <w:trHeight w:val="224"/>
        </w:trPr>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80,938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156,738</w:t>
            </w:r>
          </w:p>
        </w:tc>
      </w:tr>
      <w:tr>
        <w:trPr>
          <w:trHeight w:val="217"/>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Adjusted Property EBITDA</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206,880</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(322,897)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265,780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(328,226)</w:t>
            </w:r>
          </w:p>
        </w:tc>
      </w:tr>
      <w:tr>
        <w:trPr>
          <w:trHeight w:val="20"/>
        </w:trPr>
        <w:tc>
          <w:tcPr>
            <w:tcW w:w="5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240" w:hanging="235"/>
        <w:spacing w:after="0" w:line="262" w:lineRule="auto"/>
        <w:tabs>
          <w:tab w:leader="none" w:pos="201" w:val="left"/>
        </w:tabs>
        <w:numPr>
          <w:ilvl w:val="0"/>
          <w:numId w:val="5"/>
        </w:numPr>
        <w:rPr>
          <w:rFonts w:ascii="Arial" w:cs="Arial" w:eastAsia="Arial" w:hAnsi="Arial"/>
          <w:sz w:val="14"/>
          <w:szCs w:val="14"/>
          <w:color w:val="auto"/>
        </w:rPr>
      </w:pPr>
      <w:r>
        <w:rPr>
          <w:rFonts w:ascii="Arial" w:cs="Arial" w:eastAsia="Arial" w:hAnsi="Arial"/>
          <w:sz w:val="14"/>
          <w:szCs w:val="14"/>
          <w:color w:val="auto"/>
        </w:rPr>
        <w:t>For the three months ended June 30, 2020, excludes $75.7 million of expense accrued during the first quarter of 2020 related to our commitment to pay salary, tips, and benefits continuation for all of our U.S. employees for the period from April 1 through May 15, 2020.</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87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DATA SCHEDULE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win per unit per day, ADR and REVPAR)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 June 30,</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0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vMerge w:val="restart"/>
          </w:tcPr>
          <w:p>
            <w:pPr>
              <w:jc w:val="right"/>
              <w:ind w:right="42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40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1"/>
                <w:szCs w:val="11"/>
                <w:color w:val="auto"/>
              </w:rPr>
            </w:pPr>
          </w:p>
        </w:tc>
        <w:tc>
          <w:tcPr>
            <w:tcW w:w="740" w:type="dxa"/>
            <w:vAlign w:val="bottom"/>
            <w:tcBorders>
              <w:top w:val="single" w:sz="8" w:color="auto"/>
            </w:tcBorders>
          </w:tcPr>
          <w:p>
            <w:pPr>
              <w:jc w:val="right"/>
              <w:ind w:right="62"/>
              <w:spacing w:after="0" w:line="130" w:lineRule="exact"/>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2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740" w:type="dxa"/>
            <w:vAlign w:val="bottom"/>
            <w:tcBorders>
              <w:top w:val="single" w:sz="8" w:color="auto"/>
            </w:tcBorders>
          </w:tcPr>
          <w:p>
            <w:pPr>
              <w:jc w:val="right"/>
              <w:ind w:right="62"/>
              <w:spacing w:after="0" w:line="130"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4"/>
        </w:trPr>
        <w:tc>
          <w:tcPr>
            <w:tcW w:w="4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4"/>
        </w:trPr>
        <w:tc>
          <w:tcPr>
            <w:tcW w:w="402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Wynn Palace Supplemental Information</w:t>
            </w: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20" w:type="dxa"/>
            <w:vAlign w:val="bottom"/>
          </w:tcPr>
          <w:p>
            <w:pPr>
              <w:ind w:left="220"/>
              <w:spacing w:after="0"/>
              <w:rPr>
                <w:sz w:val="20"/>
                <w:szCs w:val="20"/>
                <w:color w:val="auto"/>
              </w:rPr>
            </w:pPr>
            <w:r>
              <w:rPr>
                <w:rFonts w:ascii="Arial" w:cs="Arial" w:eastAsia="Arial" w:hAnsi="Arial"/>
                <w:sz w:val="16"/>
                <w:szCs w:val="16"/>
                <w:color w:val="auto"/>
              </w:rPr>
              <w:t>Operating revenues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Casino</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212,067</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(11,428)</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NM</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397,976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196,148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102.9</w:t>
            </w:r>
          </w:p>
        </w:tc>
        <w:tc>
          <w:tcPr>
            <w:tcW w:w="0" w:type="dxa"/>
            <w:vAlign w:val="bottom"/>
          </w:tcPr>
          <w:p>
            <w:pPr>
              <w:spacing w:after="0"/>
              <w:rPr>
                <w:sz w:val="1"/>
                <w:szCs w:val="1"/>
                <w:color w:val="auto"/>
              </w:rPr>
            </w:pPr>
          </w:p>
        </w:tc>
      </w:tr>
      <w:tr>
        <w:trPr>
          <w:trHeight w:val="207"/>
        </w:trPr>
        <w:tc>
          <w:tcPr>
            <w:tcW w:w="4020" w:type="dxa"/>
            <w:vAlign w:val="bottom"/>
          </w:tcPr>
          <w:p>
            <w:pPr>
              <w:ind w:left="340"/>
              <w:spacing w:after="0"/>
              <w:rPr>
                <w:sz w:val="20"/>
                <w:szCs w:val="20"/>
                <w:color w:val="auto"/>
              </w:rPr>
            </w:pPr>
            <w:r>
              <w:rPr>
                <w:rFonts w:ascii="Arial" w:cs="Arial" w:eastAsia="Arial" w:hAnsi="Arial"/>
                <w:sz w:val="16"/>
                <w:szCs w:val="16"/>
                <w:color w:val="auto"/>
              </w:rPr>
              <w:t>Rooms</w:t>
            </w:r>
          </w:p>
        </w:tc>
        <w:tc>
          <w:tcPr>
            <w:tcW w:w="280" w:type="dxa"/>
            <w:vAlign w:val="bottom"/>
          </w:tcPr>
          <w:p>
            <w:pPr>
              <w:spacing w:after="0"/>
              <w:rPr>
                <w:sz w:val="18"/>
                <w:szCs w:val="18"/>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20,883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2,431</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759.0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37,895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22,141</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71.2</w:t>
            </w: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Food and beverage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13,805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4,231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25,477</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17,529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0" w:type="dxa"/>
            <w:vAlign w:val="bottom"/>
          </w:tcPr>
          <w:p>
            <w:pPr>
              <w:spacing w:after="0"/>
              <w:rPr>
                <w:sz w:val="1"/>
                <w:szCs w:val="1"/>
                <w:color w:val="auto"/>
              </w:rPr>
            </w:pPr>
          </w:p>
        </w:tc>
      </w:tr>
      <w:tr>
        <w:trPr>
          <w:trHeight w:val="207"/>
        </w:trPr>
        <w:tc>
          <w:tcPr>
            <w:tcW w:w="40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Entertainment, retail and other</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23,616</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13,484</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46,349</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32,413</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207"/>
        </w:trPr>
        <w:tc>
          <w:tcPr>
            <w:tcW w:w="402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Total</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270,371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8,718</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3,001.3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507,697</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268,231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89.3</w:t>
            </w:r>
          </w:p>
        </w:tc>
        <w:tc>
          <w:tcPr>
            <w:tcW w:w="0" w:type="dxa"/>
            <w:vAlign w:val="bottom"/>
          </w:tcPr>
          <w:p>
            <w:pPr>
              <w:spacing w:after="0"/>
              <w:rPr>
                <w:sz w:val="1"/>
                <w:szCs w:val="1"/>
                <w:color w:val="auto"/>
              </w:rPr>
            </w:pPr>
          </w:p>
        </w:tc>
      </w:tr>
      <w:tr>
        <w:trPr>
          <w:trHeight w:val="250"/>
        </w:trPr>
        <w:tc>
          <w:tcPr>
            <w:tcW w:w="4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4"/>
                <w:szCs w:val="14"/>
                <w:b w:val="1"/>
                <w:bCs w:val="1"/>
                <w:color w:val="auto"/>
              </w:rPr>
              <w:t>(6)</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53,555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(110,908)</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NM</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80,924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(100,732)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NM</w:t>
            </w:r>
          </w:p>
        </w:tc>
        <w:tc>
          <w:tcPr>
            <w:tcW w:w="0" w:type="dxa"/>
            <w:vAlign w:val="bottom"/>
          </w:tcPr>
          <w:p>
            <w:pPr>
              <w:spacing w:after="0"/>
              <w:rPr>
                <w:sz w:val="1"/>
                <w:szCs w:val="1"/>
                <w:color w:val="auto"/>
              </w:rPr>
            </w:pPr>
          </w:p>
        </w:tc>
      </w:tr>
      <w:tr>
        <w:trPr>
          <w:trHeight w:val="250"/>
        </w:trPr>
        <w:tc>
          <w:tcPr>
            <w:tcW w:w="4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Casino Statistics: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20" w:type="dxa"/>
            <w:vAlign w:val="bottom"/>
          </w:tcPr>
          <w:p>
            <w:pPr>
              <w:ind w:left="340"/>
              <w:spacing w:after="0"/>
              <w:rPr>
                <w:sz w:val="20"/>
                <w:szCs w:val="20"/>
                <w:color w:val="auto"/>
              </w:rPr>
            </w:pPr>
            <w:r>
              <w:rPr>
                <w:rFonts w:ascii="Arial" w:cs="Arial" w:eastAsia="Arial" w:hAnsi="Arial"/>
                <w:sz w:val="16"/>
                <w:szCs w:val="16"/>
                <w:color w:val="auto"/>
              </w:rPr>
              <w:t>VIP:</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Average number of table games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99</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7"/>
        </w:trPr>
        <w:tc>
          <w:tcPr>
            <w:tcW w:w="4020" w:type="dxa"/>
            <w:vAlign w:val="bottom"/>
          </w:tcPr>
          <w:p>
            <w:pPr>
              <w:ind w:left="540"/>
              <w:spacing w:after="0"/>
              <w:rPr>
                <w:sz w:val="20"/>
                <w:szCs w:val="20"/>
                <w:color w:val="auto"/>
              </w:rPr>
            </w:pPr>
            <w:r>
              <w:rPr>
                <w:rFonts w:ascii="Arial" w:cs="Arial" w:eastAsia="Arial" w:hAnsi="Arial"/>
                <w:sz w:val="16"/>
                <w:szCs w:val="16"/>
                <w:color w:val="auto"/>
              </w:rPr>
              <w:t>VIP turnover</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1,811,381</w:t>
            </w:r>
          </w:p>
        </w:tc>
        <w:tc>
          <w:tcPr>
            <w:tcW w:w="160" w:type="dxa"/>
            <w:vAlign w:val="bottom"/>
          </w:tcPr>
          <w:p>
            <w:pPr>
              <w:spacing w:after="0"/>
              <w:rPr>
                <w:sz w:val="18"/>
                <w:szCs w:val="18"/>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1,719,825</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4,011,563</w:t>
            </w:r>
          </w:p>
        </w:tc>
        <w:tc>
          <w:tcPr>
            <w:tcW w:w="160" w:type="dxa"/>
            <w:vAlign w:val="bottom"/>
          </w:tcPr>
          <w:p>
            <w:pPr>
              <w:spacing w:after="0"/>
              <w:rPr>
                <w:sz w:val="18"/>
                <w:szCs w:val="18"/>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6,512,279</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VIP table games win </w:t>
            </w:r>
            <w:r>
              <w:rPr>
                <w:rFonts w:ascii="Arial" w:cs="Arial" w:eastAsia="Arial" w:hAnsi="Arial"/>
                <w:sz w:val="14"/>
                <w:szCs w:val="14"/>
                <w:color w:val="auto"/>
              </w:rPr>
              <w:t>(1)</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71,570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(29,806)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NM</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168,026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109,763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207"/>
        </w:trPr>
        <w:tc>
          <w:tcPr>
            <w:tcW w:w="4020" w:type="dxa"/>
            <w:vAlign w:val="bottom"/>
          </w:tcPr>
          <w:p>
            <w:pPr>
              <w:ind w:left="540"/>
              <w:spacing w:after="0"/>
              <w:rPr>
                <w:sz w:val="20"/>
                <w:szCs w:val="20"/>
                <w:color w:val="auto"/>
              </w:rPr>
            </w:pPr>
            <w:r>
              <w:rPr>
                <w:rFonts w:ascii="Arial" w:cs="Arial" w:eastAsia="Arial" w:hAnsi="Arial"/>
                <w:sz w:val="16"/>
                <w:szCs w:val="16"/>
                <w:color w:val="auto"/>
              </w:rPr>
              <w:t>VIP table games win as a % of turnover</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3.95 %</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4.19 %</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1.69 %</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Table games win per unit per day</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8,346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(3,276)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NM</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9,402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6,865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207"/>
        </w:trPr>
        <w:tc>
          <w:tcPr>
            <w:tcW w:w="4020" w:type="dxa"/>
            <w:vAlign w:val="bottom"/>
          </w:tcPr>
          <w:p>
            <w:pPr>
              <w:ind w:left="340"/>
              <w:spacing w:after="0"/>
              <w:rPr>
                <w:sz w:val="20"/>
                <w:szCs w:val="20"/>
                <w:color w:val="auto"/>
              </w:rPr>
            </w:pPr>
            <w:r>
              <w:rPr>
                <w:rFonts w:ascii="Arial" w:cs="Arial" w:eastAsia="Arial" w:hAnsi="Arial"/>
                <w:sz w:val="16"/>
                <w:szCs w:val="16"/>
                <w:color w:val="auto"/>
              </w:rPr>
              <w:t>Mass market:</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Average number of table games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228</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221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225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07"/>
        </w:trPr>
        <w:tc>
          <w:tcPr>
            <w:tcW w:w="4020" w:type="dxa"/>
            <w:vAlign w:val="bottom"/>
          </w:tcPr>
          <w:p>
            <w:pPr>
              <w:ind w:left="540"/>
              <w:spacing w:after="0"/>
              <w:rPr>
                <w:sz w:val="20"/>
                <w:szCs w:val="20"/>
                <w:color w:val="auto"/>
              </w:rPr>
            </w:pPr>
            <w:r>
              <w:rPr>
                <w:rFonts w:ascii="Arial" w:cs="Arial" w:eastAsia="Arial" w:hAnsi="Arial"/>
                <w:sz w:val="16"/>
                <w:szCs w:val="16"/>
                <w:color w:val="auto"/>
              </w:rPr>
              <w:t xml:space="preserve">Table drop </w:t>
            </w:r>
            <w:r>
              <w:rPr>
                <w:rFonts w:ascii="Arial" w:cs="Arial" w:eastAsia="Arial" w:hAnsi="Arial"/>
                <w:sz w:val="14"/>
                <w:szCs w:val="14"/>
                <w:color w:val="auto"/>
              </w:rPr>
              <w:t>(2)</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707,494</w:t>
            </w:r>
          </w:p>
        </w:tc>
        <w:tc>
          <w:tcPr>
            <w:tcW w:w="160" w:type="dxa"/>
            <w:vAlign w:val="bottom"/>
          </w:tcPr>
          <w:p>
            <w:pPr>
              <w:spacing w:after="0"/>
              <w:rPr>
                <w:sz w:val="18"/>
                <w:szCs w:val="18"/>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22,029</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3,111.6</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1,315,012</w:t>
            </w:r>
          </w:p>
        </w:tc>
        <w:tc>
          <w:tcPr>
            <w:tcW w:w="160" w:type="dxa"/>
            <w:vAlign w:val="bottom"/>
          </w:tcPr>
          <w:p>
            <w:pPr>
              <w:spacing w:after="0"/>
              <w:rPr>
                <w:sz w:val="18"/>
                <w:szCs w:val="18"/>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497,252</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164.5</w:t>
            </w: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Table games win </w:t>
            </w:r>
            <w:r>
              <w:rPr>
                <w:rFonts w:ascii="Arial" w:cs="Arial" w:eastAsia="Arial" w:hAnsi="Arial"/>
                <w:sz w:val="14"/>
                <w:szCs w:val="14"/>
                <w:color w:val="auto"/>
              </w:rPr>
              <w:t>(1)</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163,547</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7,168</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295,196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137,882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114.1</w:t>
            </w:r>
          </w:p>
        </w:tc>
        <w:tc>
          <w:tcPr>
            <w:tcW w:w="0" w:type="dxa"/>
            <w:vAlign w:val="bottom"/>
          </w:tcPr>
          <w:p>
            <w:pPr>
              <w:spacing w:after="0"/>
              <w:rPr>
                <w:sz w:val="1"/>
                <w:szCs w:val="1"/>
                <w:color w:val="auto"/>
              </w:rPr>
            </w:pPr>
          </w:p>
        </w:tc>
      </w:tr>
      <w:tr>
        <w:trPr>
          <w:trHeight w:val="207"/>
        </w:trPr>
        <w:tc>
          <w:tcPr>
            <w:tcW w:w="4020" w:type="dxa"/>
            <w:vAlign w:val="bottom"/>
          </w:tcPr>
          <w:p>
            <w:pPr>
              <w:ind w:left="540"/>
              <w:spacing w:after="0"/>
              <w:rPr>
                <w:sz w:val="20"/>
                <w:szCs w:val="20"/>
                <w:color w:val="auto"/>
              </w:rPr>
            </w:pPr>
            <w:r>
              <w:rPr>
                <w:rFonts w:ascii="Arial" w:cs="Arial" w:eastAsia="Arial" w:hAnsi="Arial"/>
                <w:sz w:val="16"/>
                <w:szCs w:val="16"/>
                <w:color w:val="auto"/>
              </w:rPr>
              <w:t>Table games win %</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23.1 %</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32.5 %</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22.4 %</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27.7 %</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Table games win per unit per day</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7,877</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357</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7,249</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4,075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w:t>
            </w:r>
          </w:p>
        </w:tc>
        <w:tc>
          <w:tcPr>
            <w:tcW w:w="0" w:type="dxa"/>
            <w:vAlign w:val="bottom"/>
          </w:tcPr>
          <w:p>
            <w:pPr>
              <w:spacing w:after="0"/>
              <w:rPr>
                <w:sz w:val="1"/>
                <w:szCs w:val="1"/>
                <w:color w:val="auto"/>
              </w:rPr>
            </w:pPr>
          </w:p>
        </w:tc>
      </w:tr>
      <w:tr>
        <w:trPr>
          <w:trHeight w:val="207"/>
        </w:trPr>
        <w:tc>
          <w:tcPr>
            <w:tcW w:w="4020" w:type="dxa"/>
            <w:vAlign w:val="bottom"/>
          </w:tcPr>
          <w:p>
            <w:pPr>
              <w:ind w:left="540"/>
              <w:spacing w:after="0"/>
              <w:rPr>
                <w:sz w:val="20"/>
                <w:szCs w:val="20"/>
                <w:color w:val="auto"/>
              </w:rPr>
            </w:pPr>
            <w:r>
              <w:rPr>
                <w:rFonts w:ascii="Arial" w:cs="Arial" w:eastAsia="Arial" w:hAnsi="Arial"/>
                <w:sz w:val="16"/>
                <w:szCs w:val="16"/>
                <w:color w:val="auto"/>
              </w:rPr>
              <w:t>Average number of slot machines</w:t>
            </w:r>
          </w:p>
        </w:tc>
        <w:tc>
          <w:tcPr>
            <w:tcW w:w="280" w:type="dxa"/>
            <w:vAlign w:val="bottom"/>
          </w:tcPr>
          <w:p>
            <w:pPr>
              <w:spacing w:after="0"/>
              <w:rPr>
                <w:sz w:val="18"/>
                <w:szCs w:val="18"/>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726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480</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707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596</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Slot machine handle</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421,269</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39,415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780,041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464,129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w:t>
            </w:r>
          </w:p>
        </w:tc>
        <w:tc>
          <w:tcPr>
            <w:tcW w:w="0" w:type="dxa"/>
            <w:vAlign w:val="bottom"/>
          </w:tcPr>
          <w:p>
            <w:pPr>
              <w:spacing w:after="0"/>
              <w:rPr>
                <w:sz w:val="1"/>
                <w:szCs w:val="1"/>
                <w:color w:val="auto"/>
              </w:rPr>
            </w:pPr>
          </w:p>
        </w:tc>
      </w:tr>
      <w:tr>
        <w:trPr>
          <w:trHeight w:val="207"/>
        </w:trPr>
        <w:tc>
          <w:tcPr>
            <w:tcW w:w="4020" w:type="dxa"/>
            <w:vAlign w:val="bottom"/>
          </w:tcPr>
          <w:p>
            <w:pPr>
              <w:ind w:left="540"/>
              <w:spacing w:after="0"/>
              <w:rPr>
                <w:sz w:val="20"/>
                <w:szCs w:val="20"/>
                <w:color w:val="auto"/>
              </w:rPr>
            </w:pPr>
            <w:r>
              <w:rPr>
                <w:rFonts w:ascii="Arial" w:cs="Arial" w:eastAsia="Arial" w:hAnsi="Arial"/>
                <w:sz w:val="16"/>
                <w:szCs w:val="16"/>
                <w:color w:val="auto"/>
              </w:rPr>
              <w:t xml:space="preserve">Slot machine win </w:t>
            </w:r>
            <w:r>
              <w:rPr>
                <w:rFonts w:ascii="Arial" w:cs="Arial" w:eastAsia="Arial" w:hAnsi="Arial"/>
                <w:sz w:val="14"/>
                <w:szCs w:val="14"/>
                <w:color w:val="auto"/>
              </w:rPr>
              <w:t>(3)</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18,772</w:t>
            </w:r>
          </w:p>
        </w:tc>
        <w:tc>
          <w:tcPr>
            <w:tcW w:w="160" w:type="dxa"/>
            <w:vAlign w:val="bottom"/>
          </w:tcPr>
          <w:p>
            <w:pPr>
              <w:spacing w:after="0"/>
              <w:rPr>
                <w:sz w:val="18"/>
                <w:szCs w:val="18"/>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2,395</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683.8</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33,015</w:t>
            </w:r>
          </w:p>
        </w:tc>
        <w:tc>
          <w:tcPr>
            <w:tcW w:w="160" w:type="dxa"/>
            <w:vAlign w:val="bottom"/>
          </w:tcPr>
          <w:p>
            <w:pPr>
              <w:spacing w:after="0"/>
              <w:rPr>
                <w:sz w:val="18"/>
                <w:szCs w:val="18"/>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20,800</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58.7</w:t>
            </w: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Slot machine win per unit per day</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284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258</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07"/>
        </w:trPr>
        <w:tc>
          <w:tcPr>
            <w:tcW w:w="4020" w:type="dxa"/>
            <w:vAlign w:val="bottom"/>
          </w:tcPr>
          <w:p>
            <w:pPr>
              <w:ind w:left="220"/>
              <w:spacing w:after="0"/>
              <w:rPr>
                <w:sz w:val="20"/>
                <w:szCs w:val="20"/>
                <w:color w:val="auto"/>
              </w:rPr>
            </w:pPr>
            <w:r>
              <w:rPr>
                <w:rFonts w:ascii="Arial" w:cs="Arial" w:eastAsia="Arial" w:hAnsi="Arial"/>
                <w:sz w:val="16"/>
                <w:szCs w:val="16"/>
                <w:color w:val="auto"/>
              </w:rPr>
              <w:t>Room statistics: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Occupancy</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70.6%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65.6%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20" w:type="dxa"/>
            <w:vAlign w:val="bottom"/>
          </w:tcPr>
          <w:p>
            <w:pPr>
              <w:ind w:left="540"/>
              <w:spacing w:after="0"/>
              <w:rPr>
                <w:sz w:val="20"/>
                <w:szCs w:val="20"/>
                <w:color w:val="auto"/>
              </w:rPr>
            </w:pPr>
            <w:r>
              <w:rPr>
                <w:rFonts w:ascii="Arial" w:cs="Arial" w:eastAsia="Arial" w:hAnsi="Arial"/>
                <w:sz w:val="16"/>
                <w:szCs w:val="16"/>
                <w:color w:val="auto"/>
              </w:rPr>
              <w:t xml:space="preserve">ADR </w:t>
            </w:r>
            <w:r>
              <w:rPr>
                <w:rFonts w:ascii="Arial" w:cs="Arial" w:eastAsia="Arial" w:hAnsi="Arial"/>
                <w:sz w:val="14"/>
                <w:szCs w:val="14"/>
                <w:color w:val="auto"/>
              </w:rPr>
              <w:t>(4)</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180</w:t>
            </w:r>
          </w:p>
        </w:tc>
        <w:tc>
          <w:tcPr>
            <w:tcW w:w="160" w:type="dxa"/>
            <w:vAlign w:val="bottom"/>
          </w:tcPr>
          <w:p>
            <w:pPr>
              <w:spacing w:after="0"/>
              <w:rPr>
                <w:sz w:val="18"/>
                <w:szCs w:val="18"/>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339</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(46.9)</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179</w:t>
            </w:r>
          </w:p>
        </w:tc>
        <w:tc>
          <w:tcPr>
            <w:tcW w:w="160" w:type="dxa"/>
            <w:vAlign w:val="bottom"/>
          </w:tcPr>
          <w:p>
            <w:pPr>
              <w:spacing w:after="0"/>
              <w:rPr>
                <w:sz w:val="18"/>
                <w:szCs w:val="18"/>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(39.9)</w:t>
            </w: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REVPAR </w:t>
            </w:r>
            <w:r>
              <w:rPr>
                <w:rFonts w:ascii="Arial" w:cs="Arial" w:eastAsia="Arial" w:hAnsi="Arial"/>
                <w:sz w:val="14"/>
                <w:szCs w:val="14"/>
                <w:color w:val="auto"/>
              </w:rPr>
              <w:t>(5)</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127</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118</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Note: Our casino operations in Macau were closed for a 15-day period in February 2020 and resumed operations on a reduced basis on February 20, 2020. Our casinos' operations have since been fully restored; however, certain COVID-19 specific protective measures, such as limiting the number of seats per table game, increasing the spacing between active slot machines and visitor entry checks and requirements involving temperature checkpoints, mask wearing, health declarations and proof of negative COVID-19 test results for travelers seeking entry to Macau remain in effect at the present time. We are currently unable to determine when these measures will be lifted. 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87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DATA SCHEDULE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win per unit per day, ADR and REVPAR)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(continued)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 June 30,</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0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vMerge w:val="restart"/>
          </w:tcPr>
          <w:p>
            <w:pPr>
              <w:jc w:val="right"/>
              <w:ind w:right="42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760" w:type="dxa"/>
            <w:vAlign w:val="bottom"/>
            <w:tcBorders>
              <w:top w:val="single" w:sz="8" w:color="auto"/>
            </w:tcBorders>
          </w:tcPr>
          <w:p>
            <w:pPr>
              <w:jc w:val="right"/>
              <w:ind w:right="62"/>
              <w:spacing w:after="0" w:line="130" w:lineRule="exact"/>
              <w:rPr>
                <w:sz w:val="20"/>
                <w:szCs w:val="20"/>
                <w:color w:val="auto"/>
              </w:rPr>
            </w:pPr>
            <w:r>
              <w:rPr>
                <w:rFonts w:ascii="Arial" w:cs="Arial" w:eastAsia="Arial" w:hAnsi="Arial"/>
                <w:sz w:val="14"/>
                <w:szCs w:val="14"/>
                <w:b w:val="1"/>
                <w:bCs w:val="1"/>
                <w:color w:val="auto"/>
              </w:rPr>
              <w:t>Percent</w:t>
            </w:r>
          </w:p>
        </w:tc>
        <w:tc>
          <w:tcPr>
            <w:tcW w:w="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2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740" w:type="dxa"/>
            <w:vAlign w:val="bottom"/>
            <w:tcBorders>
              <w:top w:val="single" w:sz="8" w:color="auto"/>
            </w:tcBorders>
          </w:tcPr>
          <w:p>
            <w:pPr>
              <w:jc w:val="right"/>
              <w:ind w:right="62"/>
              <w:spacing w:after="0" w:line="130"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4"/>
        </w:trPr>
        <w:tc>
          <w:tcPr>
            <w:tcW w:w="4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4"/>
        </w:trPr>
        <w:tc>
          <w:tcPr>
            <w:tcW w:w="404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Wynn Macau Supplemental Information</w:t>
            </w: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40" w:type="dxa"/>
            <w:vAlign w:val="bottom"/>
          </w:tcPr>
          <w:p>
            <w:pPr>
              <w:ind w:left="220"/>
              <w:spacing w:after="0"/>
              <w:rPr>
                <w:sz w:val="20"/>
                <w:szCs w:val="20"/>
                <w:color w:val="auto"/>
              </w:rPr>
            </w:pPr>
            <w:r>
              <w:rPr>
                <w:rFonts w:ascii="Arial" w:cs="Arial" w:eastAsia="Arial" w:hAnsi="Arial"/>
                <w:sz w:val="16"/>
                <w:szCs w:val="16"/>
                <w:color w:val="auto"/>
              </w:rPr>
              <w:t>Operating revenues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Casino</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142,419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(3,524)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NM</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281,346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186,604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w:t>
            </w:r>
          </w:p>
        </w:tc>
        <w:tc>
          <w:tcPr>
            <w:tcW w:w="0" w:type="dxa"/>
            <w:vAlign w:val="bottom"/>
          </w:tcPr>
          <w:p>
            <w:pPr>
              <w:spacing w:after="0"/>
              <w:rPr>
                <w:sz w:val="1"/>
                <w:szCs w:val="1"/>
                <w:color w:val="auto"/>
              </w:rPr>
            </w:pPr>
          </w:p>
        </w:tc>
      </w:tr>
      <w:tr>
        <w:trPr>
          <w:trHeight w:val="207"/>
        </w:trPr>
        <w:tc>
          <w:tcPr>
            <w:tcW w:w="4040" w:type="dxa"/>
            <w:vAlign w:val="bottom"/>
          </w:tcPr>
          <w:p>
            <w:pPr>
              <w:ind w:left="340"/>
              <w:spacing w:after="0"/>
              <w:rPr>
                <w:sz w:val="20"/>
                <w:szCs w:val="20"/>
                <w:color w:val="auto"/>
              </w:rPr>
            </w:pPr>
            <w:r>
              <w:rPr>
                <w:rFonts w:ascii="Arial" w:cs="Arial" w:eastAsia="Arial" w:hAnsi="Arial"/>
                <w:sz w:val="16"/>
                <w:szCs w:val="16"/>
                <w:color w:val="auto"/>
              </w:rPr>
              <w:t>Rooms</w:t>
            </w:r>
          </w:p>
        </w:tc>
        <w:tc>
          <w:tcPr>
            <w:tcW w:w="280" w:type="dxa"/>
            <w:vAlign w:val="bottom"/>
          </w:tcPr>
          <w:p>
            <w:pPr>
              <w:spacing w:after="0"/>
              <w:rPr>
                <w:sz w:val="18"/>
                <w:szCs w:val="18"/>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13,427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2,631</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28,129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18,542</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r>
        <w:trPr>
          <w:trHeight w:val="214"/>
        </w:trPr>
        <w:tc>
          <w:tcPr>
            <w:tcW w:w="4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Food and beverage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8,559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3,684</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15,992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13,215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07"/>
        </w:trPr>
        <w:tc>
          <w:tcPr>
            <w:tcW w:w="40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Entertainment, retail and other</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19,623</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9,097</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115.7</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38,212</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23,016</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w:t>
            </w:r>
          </w:p>
        </w:tc>
        <w:tc>
          <w:tcPr>
            <w:tcW w:w="0" w:type="dxa"/>
            <w:vAlign w:val="bottom"/>
          </w:tcPr>
          <w:p>
            <w:pPr>
              <w:spacing w:after="0"/>
              <w:rPr>
                <w:sz w:val="1"/>
                <w:szCs w:val="1"/>
                <w:color w:val="auto"/>
              </w:rPr>
            </w:pPr>
          </w:p>
        </w:tc>
      </w:tr>
      <w:tr>
        <w:trPr>
          <w:trHeight w:val="207"/>
        </w:trPr>
        <w:tc>
          <w:tcPr>
            <w:tcW w:w="404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Total</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184,028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11,888</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1,448.0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363,679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241,377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50.7</w:t>
            </w:r>
          </w:p>
        </w:tc>
        <w:tc>
          <w:tcPr>
            <w:tcW w:w="0" w:type="dxa"/>
            <w:vAlign w:val="bottom"/>
          </w:tcPr>
          <w:p>
            <w:pPr>
              <w:spacing w:after="0"/>
              <w:rPr>
                <w:sz w:val="1"/>
                <w:szCs w:val="1"/>
                <w:color w:val="auto"/>
              </w:rPr>
            </w:pPr>
          </w:p>
        </w:tc>
      </w:tr>
      <w:tr>
        <w:trPr>
          <w:trHeight w:val="263"/>
        </w:trPr>
        <w:tc>
          <w:tcPr>
            <w:tcW w:w="4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4"/>
                <w:szCs w:val="14"/>
                <w:b w:val="1"/>
                <w:bCs w:val="1"/>
                <w:color w:val="auto"/>
              </w:rPr>
              <w:t>(6)</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14,086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(82,646)</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NM</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30,642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(63,438)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NM</w:t>
            </w:r>
          </w:p>
        </w:tc>
        <w:tc>
          <w:tcPr>
            <w:tcW w:w="0" w:type="dxa"/>
            <w:vAlign w:val="bottom"/>
          </w:tcPr>
          <w:p>
            <w:pPr>
              <w:spacing w:after="0"/>
              <w:rPr>
                <w:sz w:val="1"/>
                <w:szCs w:val="1"/>
                <w:color w:val="auto"/>
              </w:rPr>
            </w:pPr>
          </w:p>
        </w:tc>
      </w:tr>
      <w:tr>
        <w:trPr>
          <w:trHeight w:val="263"/>
        </w:trPr>
        <w:tc>
          <w:tcPr>
            <w:tcW w:w="4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Casino Statistics: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40" w:type="dxa"/>
            <w:vAlign w:val="bottom"/>
          </w:tcPr>
          <w:p>
            <w:pPr>
              <w:ind w:left="340"/>
              <w:spacing w:after="0"/>
              <w:rPr>
                <w:sz w:val="20"/>
                <w:szCs w:val="20"/>
                <w:color w:val="auto"/>
              </w:rPr>
            </w:pPr>
            <w:r>
              <w:rPr>
                <w:rFonts w:ascii="Arial" w:cs="Arial" w:eastAsia="Arial" w:hAnsi="Arial"/>
                <w:sz w:val="16"/>
                <w:szCs w:val="16"/>
                <w:color w:val="auto"/>
              </w:rPr>
              <w:t>VIP:</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Average number of table games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7"/>
        </w:trPr>
        <w:tc>
          <w:tcPr>
            <w:tcW w:w="4040" w:type="dxa"/>
            <w:vAlign w:val="bottom"/>
          </w:tcPr>
          <w:p>
            <w:pPr>
              <w:ind w:left="540"/>
              <w:spacing w:after="0"/>
              <w:rPr>
                <w:sz w:val="20"/>
                <w:szCs w:val="20"/>
                <w:color w:val="auto"/>
              </w:rPr>
            </w:pPr>
            <w:r>
              <w:rPr>
                <w:rFonts w:ascii="Arial" w:cs="Arial" w:eastAsia="Arial" w:hAnsi="Arial"/>
                <w:sz w:val="16"/>
                <w:szCs w:val="16"/>
                <w:color w:val="auto"/>
              </w:rPr>
              <w:t>VIP turnover</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1,489,912</w:t>
            </w:r>
          </w:p>
        </w:tc>
        <w:tc>
          <w:tcPr>
            <w:tcW w:w="14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607,144</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145.4</w:t>
            </w:r>
          </w:p>
        </w:tc>
        <w:tc>
          <w:tcPr>
            <w:tcW w:w="8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3,294,294</w:t>
            </w:r>
          </w:p>
        </w:tc>
        <w:tc>
          <w:tcPr>
            <w:tcW w:w="14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3,571,290</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4"/>
        </w:trPr>
        <w:tc>
          <w:tcPr>
            <w:tcW w:w="40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VIP table games win </w:t>
            </w:r>
            <w:r>
              <w:rPr>
                <w:rFonts w:ascii="Arial" w:cs="Arial" w:eastAsia="Arial" w:hAnsi="Arial"/>
                <w:sz w:val="14"/>
                <w:szCs w:val="14"/>
                <w:color w:val="auto"/>
              </w:rPr>
              <w:t>(1)</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39,388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(12,161)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NM</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98,022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110,464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07"/>
        </w:trPr>
        <w:tc>
          <w:tcPr>
            <w:tcW w:w="4040" w:type="dxa"/>
            <w:vAlign w:val="bottom"/>
          </w:tcPr>
          <w:p>
            <w:pPr>
              <w:ind w:left="540"/>
              <w:spacing w:after="0"/>
              <w:rPr>
                <w:sz w:val="20"/>
                <w:szCs w:val="20"/>
                <w:color w:val="auto"/>
              </w:rPr>
            </w:pPr>
            <w:r>
              <w:rPr>
                <w:rFonts w:ascii="Arial" w:cs="Arial" w:eastAsia="Arial" w:hAnsi="Arial"/>
                <w:sz w:val="16"/>
                <w:szCs w:val="16"/>
                <w:color w:val="auto"/>
              </w:rPr>
              <w:t>VIP table games win as a % of turnover</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2.64 %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2.98 %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3.09 %</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Table games win per unit per day</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5,111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(1,471)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NM</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6,201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7,623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07"/>
        </w:trPr>
        <w:tc>
          <w:tcPr>
            <w:tcW w:w="4040" w:type="dxa"/>
            <w:vAlign w:val="bottom"/>
          </w:tcPr>
          <w:p>
            <w:pPr>
              <w:ind w:left="340"/>
              <w:spacing w:after="0"/>
              <w:rPr>
                <w:sz w:val="20"/>
                <w:szCs w:val="20"/>
                <w:color w:val="auto"/>
              </w:rPr>
            </w:pPr>
            <w:r>
              <w:rPr>
                <w:rFonts w:ascii="Arial" w:cs="Arial" w:eastAsia="Arial" w:hAnsi="Arial"/>
                <w:sz w:val="16"/>
                <w:szCs w:val="16"/>
                <w:color w:val="auto"/>
              </w:rPr>
              <w:t>Mass market:</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Average number of table games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240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240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07"/>
        </w:trPr>
        <w:tc>
          <w:tcPr>
            <w:tcW w:w="4040" w:type="dxa"/>
            <w:vAlign w:val="bottom"/>
          </w:tcPr>
          <w:p>
            <w:pPr>
              <w:ind w:left="540"/>
              <w:spacing w:after="0"/>
              <w:rPr>
                <w:sz w:val="20"/>
                <w:szCs w:val="20"/>
                <w:color w:val="auto"/>
              </w:rPr>
            </w:pPr>
            <w:r>
              <w:rPr>
                <w:rFonts w:ascii="Arial" w:cs="Arial" w:eastAsia="Arial" w:hAnsi="Arial"/>
                <w:sz w:val="16"/>
                <w:szCs w:val="16"/>
                <w:color w:val="auto"/>
              </w:rPr>
              <w:t xml:space="preserve">Table drop </w:t>
            </w:r>
            <w:r>
              <w:rPr>
                <w:rFonts w:ascii="Arial" w:cs="Arial" w:eastAsia="Arial" w:hAnsi="Arial"/>
                <w:sz w:val="14"/>
                <w:szCs w:val="14"/>
                <w:color w:val="auto"/>
              </w:rPr>
              <w:t>(2)</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670,400</w:t>
            </w:r>
          </w:p>
        </w:tc>
        <w:tc>
          <w:tcPr>
            <w:tcW w:w="14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40,817</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1,542.5</w:t>
            </w:r>
          </w:p>
        </w:tc>
        <w:tc>
          <w:tcPr>
            <w:tcW w:w="8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1,261,290</w:t>
            </w:r>
          </w:p>
        </w:tc>
        <w:tc>
          <w:tcPr>
            <w:tcW w:w="14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619,052</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103.7</w:t>
            </w:r>
          </w:p>
        </w:tc>
        <w:tc>
          <w:tcPr>
            <w:tcW w:w="0" w:type="dxa"/>
            <w:vAlign w:val="bottom"/>
          </w:tcPr>
          <w:p>
            <w:pPr>
              <w:spacing w:after="0"/>
              <w:rPr>
                <w:sz w:val="1"/>
                <w:szCs w:val="1"/>
                <w:color w:val="auto"/>
              </w:rPr>
            </w:pPr>
          </w:p>
        </w:tc>
      </w:tr>
      <w:tr>
        <w:trPr>
          <w:trHeight w:val="214"/>
        </w:trPr>
        <w:tc>
          <w:tcPr>
            <w:tcW w:w="40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Table games win </w:t>
            </w:r>
            <w:r>
              <w:rPr>
                <w:rFonts w:ascii="Arial" w:cs="Arial" w:eastAsia="Arial" w:hAnsi="Arial"/>
                <w:sz w:val="14"/>
                <w:szCs w:val="14"/>
                <w:color w:val="auto"/>
              </w:rPr>
              <w:t>(1)</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128,921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3,391</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3,701.9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234,104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121,333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w:t>
            </w:r>
          </w:p>
        </w:tc>
        <w:tc>
          <w:tcPr>
            <w:tcW w:w="0" w:type="dxa"/>
            <w:vAlign w:val="bottom"/>
          </w:tcPr>
          <w:p>
            <w:pPr>
              <w:spacing w:after="0"/>
              <w:rPr>
                <w:sz w:val="1"/>
                <w:szCs w:val="1"/>
                <w:color w:val="auto"/>
              </w:rPr>
            </w:pPr>
          </w:p>
        </w:tc>
      </w:tr>
      <w:tr>
        <w:trPr>
          <w:trHeight w:val="207"/>
        </w:trPr>
        <w:tc>
          <w:tcPr>
            <w:tcW w:w="4040" w:type="dxa"/>
            <w:vAlign w:val="bottom"/>
          </w:tcPr>
          <w:p>
            <w:pPr>
              <w:ind w:left="540"/>
              <w:spacing w:after="0"/>
              <w:rPr>
                <w:sz w:val="20"/>
                <w:szCs w:val="20"/>
                <w:color w:val="auto"/>
              </w:rPr>
            </w:pPr>
            <w:r>
              <w:rPr>
                <w:rFonts w:ascii="Arial" w:cs="Arial" w:eastAsia="Arial" w:hAnsi="Arial"/>
                <w:sz w:val="16"/>
                <w:szCs w:val="16"/>
                <w:color w:val="auto"/>
              </w:rPr>
              <w:t>Table games win %</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19.2 %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8.3 %</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18.6 %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19.6 %</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Table games win per unit per day</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5,903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3,521.5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5,390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3,472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0" w:type="dxa"/>
            <w:vAlign w:val="bottom"/>
          </w:tcPr>
          <w:p>
            <w:pPr>
              <w:spacing w:after="0"/>
              <w:rPr>
                <w:sz w:val="1"/>
                <w:szCs w:val="1"/>
                <w:color w:val="auto"/>
              </w:rPr>
            </w:pPr>
          </w:p>
        </w:tc>
      </w:tr>
      <w:tr>
        <w:trPr>
          <w:trHeight w:val="207"/>
        </w:trPr>
        <w:tc>
          <w:tcPr>
            <w:tcW w:w="4040" w:type="dxa"/>
            <w:vAlign w:val="bottom"/>
          </w:tcPr>
          <w:p>
            <w:pPr>
              <w:ind w:left="540"/>
              <w:spacing w:after="0"/>
              <w:rPr>
                <w:sz w:val="20"/>
                <w:szCs w:val="20"/>
                <w:color w:val="auto"/>
              </w:rPr>
            </w:pPr>
            <w:r>
              <w:rPr>
                <w:rFonts w:ascii="Arial" w:cs="Arial" w:eastAsia="Arial" w:hAnsi="Arial"/>
                <w:sz w:val="16"/>
                <w:szCs w:val="16"/>
                <w:color w:val="auto"/>
              </w:rPr>
              <w:t>Average number of slot machines</w:t>
            </w:r>
          </w:p>
        </w:tc>
        <w:tc>
          <w:tcPr>
            <w:tcW w:w="280" w:type="dxa"/>
            <w:vAlign w:val="bottom"/>
          </w:tcPr>
          <w:p>
            <w:pPr>
              <w:spacing w:after="0"/>
              <w:rPr>
                <w:sz w:val="18"/>
                <w:szCs w:val="18"/>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607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440</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588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529</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14"/>
        </w:trPr>
        <w:tc>
          <w:tcPr>
            <w:tcW w:w="40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Slot machine handle</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300,523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62,011</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601,794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428,549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207"/>
        </w:trPr>
        <w:tc>
          <w:tcPr>
            <w:tcW w:w="4040" w:type="dxa"/>
            <w:vAlign w:val="bottom"/>
          </w:tcPr>
          <w:p>
            <w:pPr>
              <w:ind w:left="540"/>
              <w:spacing w:after="0"/>
              <w:rPr>
                <w:sz w:val="20"/>
                <w:szCs w:val="20"/>
                <w:color w:val="auto"/>
              </w:rPr>
            </w:pPr>
            <w:r>
              <w:rPr>
                <w:rFonts w:ascii="Arial" w:cs="Arial" w:eastAsia="Arial" w:hAnsi="Arial"/>
                <w:sz w:val="16"/>
                <w:szCs w:val="16"/>
                <w:color w:val="auto"/>
              </w:rPr>
              <w:t xml:space="preserve">Slot machine win </w:t>
            </w:r>
            <w:r>
              <w:rPr>
                <w:rFonts w:ascii="Arial" w:cs="Arial" w:eastAsia="Arial" w:hAnsi="Arial"/>
                <w:sz w:val="14"/>
                <w:szCs w:val="14"/>
                <w:color w:val="auto"/>
              </w:rPr>
              <w:t>(3)</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9,223</w:t>
            </w:r>
          </w:p>
        </w:tc>
        <w:tc>
          <w:tcPr>
            <w:tcW w:w="14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2,626</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251.2</w:t>
            </w:r>
          </w:p>
        </w:tc>
        <w:tc>
          <w:tcPr>
            <w:tcW w:w="8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19,431</w:t>
            </w:r>
          </w:p>
        </w:tc>
        <w:tc>
          <w:tcPr>
            <w:tcW w:w="14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15,921</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14"/>
        </w:trPr>
        <w:tc>
          <w:tcPr>
            <w:tcW w:w="40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Slot machine win per unit per day</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167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183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7"/>
        </w:trPr>
        <w:tc>
          <w:tcPr>
            <w:tcW w:w="4040" w:type="dxa"/>
            <w:vAlign w:val="bottom"/>
          </w:tcPr>
          <w:p>
            <w:pPr>
              <w:ind w:left="540"/>
              <w:spacing w:after="0"/>
              <w:rPr>
                <w:sz w:val="20"/>
                <w:szCs w:val="20"/>
                <w:color w:val="auto"/>
              </w:rPr>
            </w:pPr>
            <w:r>
              <w:rPr>
                <w:rFonts w:ascii="Arial" w:cs="Arial" w:eastAsia="Arial" w:hAnsi="Arial"/>
                <w:sz w:val="16"/>
                <w:szCs w:val="16"/>
                <w:color w:val="auto"/>
              </w:rPr>
              <w:t>Poker rake</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2,083</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4"/>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Room statistics: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40" w:type="dxa"/>
            <w:vAlign w:val="bottom"/>
          </w:tcPr>
          <w:p>
            <w:pPr>
              <w:ind w:left="540"/>
              <w:spacing w:after="0"/>
              <w:rPr>
                <w:sz w:val="20"/>
                <w:szCs w:val="20"/>
                <w:color w:val="auto"/>
              </w:rPr>
            </w:pPr>
            <w:r>
              <w:rPr>
                <w:rFonts w:ascii="Arial" w:cs="Arial" w:eastAsia="Arial" w:hAnsi="Arial"/>
                <w:sz w:val="16"/>
                <w:szCs w:val="16"/>
                <w:color w:val="auto"/>
              </w:rPr>
              <w:t>Occupancy</w:t>
            </w:r>
          </w:p>
        </w:tc>
        <w:tc>
          <w:tcPr>
            <w:tcW w:w="280" w:type="dxa"/>
            <w:vAlign w:val="bottom"/>
          </w:tcPr>
          <w:p>
            <w:pPr>
              <w:spacing w:after="0"/>
              <w:rPr>
                <w:sz w:val="18"/>
                <w:szCs w:val="18"/>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68.0%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64.4%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ADR </w:t>
            </w:r>
            <w:r>
              <w:rPr>
                <w:rFonts w:ascii="Arial" w:cs="Arial" w:eastAsia="Arial" w:hAnsi="Arial"/>
                <w:sz w:val="14"/>
                <w:szCs w:val="14"/>
                <w:color w:val="auto"/>
              </w:rPr>
              <w:t>(4)</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198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342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219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324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04"/>
        </w:trPr>
        <w:tc>
          <w:tcPr>
            <w:tcW w:w="4040" w:type="dxa"/>
            <w:vAlign w:val="bottom"/>
          </w:tcPr>
          <w:p>
            <w:pPr>
              <w:ind w:left="540"/>
              <w:spacing w:after="0"/>
              <w:rPr>
                <w:sz w:val="20"/>
                <w:szCs w:val="20"/>
                <w:color w:val="auto"/>
              </w:rPr>
            </w:pPr>
            <w:r>
              <w:rPr>
                <w:rFonts w:ascii="Arial" w:cs="Arial" w:eastAsia="Arial" w:hAnsi="Arial"/>
                <w:sz w:val="16"/>
                <w:szCs w:val="16"/>
                <w:color w:val="auto"/>
              </w:rPr>
              <w:t xml:space="preserve">REVPAR </w:t>
            </w:r>
            <w:r>
              <w:rPr>
                <w:rFonts w:ascii="Arial" w:cs="Arial" w:eastAsia="Arial" w:hAnsi="Arial"/>
                <w:sz w:val="14"/>
                <w:szCs w:val="14"/>
                <w:color w:val="auto"/>
              </w:rPr>
              <w:t>(5)</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135</w:t>
            </w:r>
          </w:p>
        </w:tc>
        <w:tc>
          <w:tcPr>
            <w:tcW w:w="14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440.0</w:t>
            </w:r>
          </w:p>
        </w:tc>
        <w:tc>
          <w:tcPr>
            <w:tcW w:w="80" w:type="dxa"/>
            <w:vAlign w:val="bottom"/>
          </w:tcPr>
          <w:p>
            <w:pPr>
              <w:spacing w:after="0"/>
              <w:rPr>
                <w:sz w:val="17"/>
                <w:szCs w:val="17"/>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141</w:t>
            </w:r>
          </w:p>
        </w:tc>
        <w:tc>
          <w:tcPr>
            <w:tcW w:w="14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53.3</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Note: Our casino operations in Macau were closed for a 15-day period in February 2020 and resumed operations on a reduced basis on February 20, 2020. Our casinos' operations have since been fully restored; however, certain COVID-19 specific protective measures, such as limiting the number of seats per table game, increasing the spacing between active slot machines and visitor entry checks and requirements involving temperature checkpoints, mask wearing, health declarations and proof of negative COVID-19 test results for travelers seeking entry to Macau remain in effect at the present time. We are currently unable to determine when these measures will be lifted. 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87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DATA SCHEDULE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win per unit per day, ADR and REVPAR)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(continued)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40" w:type="dxa"/>
            <w:vAlign w:val="bottom"/>
            <w:gridSpan w:val="5"/>
          </w:tcPr>
          <w:p>
            <w:pPr>
              <w:ind w:left="160"/>
              <w:spacing w:after="0"/>
              <w:rPr>
                <w:sz w:val="20"/>
                <w:szCs w:val="20"/>
                <w:color w:val="auto"/>
              </w:rPr>
            </w:pPr>
            <w:r>
              <w:rPr>
                <w:rFonts w:ascii="Arial" w:cs="Arial" w:eastAsia="Arial" w:hAnsi="Arial"/>
                <w:sz w:val="14"/>
                <w:szCs w:val="14"/>
                <w:b w:val="1"/>
                <w:bCs w:val="1"/>
                <w:color w:val="auto"/>
              </w:rPr>
              <w:t>Six Months Ended June 30,</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5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38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1"/>
                <w:szCs w:val="11"/>
                <w:color w:val="auto"/>
              </w:rPr>
            </w:pPr>
          </w:p>
        </w:tc>
        <w:tc>
          <w:tcPr>
            <w:tcW w:w="760" w:type="dxa"/>
            <w:vAlign w:val="bottom"/>
            <w:tcBorders>
              <w:top w:val="single" w:sz="8" w:color="auto"/>
            </w:tcBorders>
          </w:tcPr>
          <w:p>
            <w:pPr>
              <w:jc w:val="right"/>
              <w:ind w:right="82"/>
              <w:spacing w:after="0" w:line="130" w:lineRule="exact"/>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32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1"/>
                <w:szCs w:val="11"/>
                <w:color w:val="auto"/>
              </w:rPr>
            </w:pPr>
          </w:p>
        </w:tc>
        <w:tc>
          <w:tcPr>
            <w:tcW w:w="780" w:type="dxa"/>
            <w:vAlign w:val="bottom"/>
            <w:tcBorders>
              <w:top w:val="single" w:sz="8" w:color="auto"/>
            </w:tcBorders>
          </w:tcPr>
          <w:p>
            <w:pPr>
              <w:jc w:val="right"/>
              <w:ind w:right="82"/>
              <w:spacing w:after="0" w:line="130"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4"/>
        </w:trPr>
        <w:tc>
          <w:tcPr>
            <w:tcW w:w="4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4"/>
        </w:trPr>
        <w:tc>
          <w:tcPr>
            <w:tcW w:w="454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Las Vegas Operations Supplemental Information</w:t>
            </w: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540" w:type="dxa"/>
            <w:vAlign w:val="bottom"/>
          </w:tcPr>
          <w:p>
            <w:pPr>
              <w:ind w:left="220"/>
              <w:spacing w:after="0"/>
              <w:rPr>
                <w:sz w:val="20"/>
                <w:szCs w:val="20"/>
                <w:color w:val="auto"/>
              </w:rPr>
            </w:pPr>
            <w:r>
              <w:rPr>
                <w:rFonts w:ascii="Arial" w:cs="Arial" w:eastAsia="Arial" w:hAnsi="Arial"/>
                <w:sz w:val="16"/>
                <w:szCs w:val="16"/>
                <w:color w:val="auto"/>
              </w:rPr>
              <w:t>Operating revenues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5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Casino</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112,775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24,365</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192,678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95,660</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w:t>
            </w:r>
          </w:p>
        </w:tc>
        <w:tc>
          <w:tcPr>
            <w:tcW w:w="0" w:type="dxa"/>
            <w:vAlign w:val="bottom"/>
          </w:tcPr>
          <w:p>
            <w:pPr>
              <w:spacing w:after="0"/>
              <w:rPr>
                <w:sz w:val="1"/>
                <w:szCs w:val="1"/>
                <w:color w:val="auto"/>
              </w:rPr>
            </w:pPr>
          </w:p>
        </w:tc>
      </w:tr>
      <w:tr>
        <w:trPr>
          <w:trHeight w:val="207"/>
        </w:trPr>
        <w:tc>
          <w:tcPr>
            <w:tcW w:w="4540" w:type="dxa"/>
            <w:vAlign w:val="bottom"/>
          </w:tcPr>
          <w:p>
            <w:pPr>
              <w:ind w:left="340"/>
              <w:spacing w:after="0"/>
              <w:rPr>
                <w:sz w:val="20"/>
                <w:szCs w:val="20"/>
                <w:color w:val="auto"/>
              </w:rPr>
            </w:pPr>
            <w:r>
              <w:rPr>
                <w:rFonts w:ascii="Arial" w:cs="Arial" w:eastAsia="Arial" w:hAnsi="Arial"/>
                <w:sz w:val="16"/>
                <w:szCs w:val="16"/>
                <w:color w:val="auto"/>
              </w:rPr>
              <w:t>Rooms</w:t>
            </w:r>
          </w:p>
        </w:tc>
        <w:tc>
          <w:tcPr>
            <w:tcW w:w="220" w:type="dxa"/>
            <w:vAlign w:val="bottom"/>
          </w:tcPr>
          <w:p>
            <w:pPr>
              <w:spacing w:after="0"/>
              <w:rPr>
                <w:sz w:val="18"/>
                <w:szCs w:val="18"/>
                <w:color w:val="auto"/>
              </w:rPr>
            </w:pP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93,785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12,353</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659.2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133,546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118,458</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14"/>
        </w:trPr>
        <w:tc>
          <w:tcPr>
            <w:tcW w:w="45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Food and beverage</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112,858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16,092</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152,935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122,071</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Entertainment, retail and other</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35,648</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12,076</w:t>
            </w: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54,623</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52,521</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7"/>
        </w:trPr>
        <w:tc>
          <w:tcPr>
            <w:tcW w:w="454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Total</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355,066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64,886</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89"/>
              </w:rPr>
              <w:t>$</w:t>
            </w:r>
          </w:p>
        </w:tc>
        <w:tc>
          <w:tcPr>
            <w:tcW w:w="860" w:type="dxa"/>
            <w:vAlign w:val="bottom"/>
            <w:shd w:val="clear" w:color="auto" w:fill="CCEEFF"/>
          </w:tcPr>
          <w:p>
            <w:pPr>
              <w:jc w:val="right"/>
              <w:ind w:right="62"/>
              <w:spacing w:after="0"/>
              <w:rPr>
                <w:sz w:val="20"/>
                <w:szCs w:val="20"/>
                <w:color w:val="auto"/>
              </w:rPr>
            </w:pPr>
            <w:r>
              <w:rPr>
                <w:rFonts w:ascii="Arial" w:cs="Arial" w:eastAsia="Arial" w:hAnsi="Arial"/>
                <w:sz w:val="16"/>
                <w:szCs w:val="16"/>
                <w:b w:val="1"/>
                <w:bCs w:val="1"/>
                <w:color w:val="auto"/>
              </w:rPr>
              <w:t>533,782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388,710</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37.3</w:t>
            </w:r>
          </w:p>
        </w:tc>
        <w:tc>
          <w:tcPr>
            <w:tcW w:w="0" w:type="dxa"/>
            <w:vAlign w:val="bottom"/>
          </w:tcPr>
          <w:p>
            <w:pPr>
              <w:spacing w:after="0"/>
              <w:rPr>
                <w:sz w:val="1"/>
                <w:szCs w:val="1"/>
                <w:color w:val="auto"/>
              </w:rPr>
            </w:pPr>
          </w:p>
        </w:tc>
      </w:tr>
      <w:tr>
        <w:trPr>
          <w:trHeight w:val="263"/>
        </w:trPr>
        <w:tc>
          <w:tcPr>
            <w:tcW w:w="4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454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 xml:space="preserve">Adjusted Property EBITDA </w:t>
            </w:r>
            <w:r>
              <w:rPr>
                <w:rFonts w:ascii="Arial" w:cs="Arial" w:eastAsia="Arial" w:hAnsi="Arial"/>
                <w:sz w:val="14"/>
                <w:szCs w:val="14"/>
                <w:b w:val="1"/>
                <w:bCs w:val="1"/>
                <w:color w:val="auto"/>
              </w:rPr>
              <w:t>(6)</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133,222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(75,564)</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6"/>
                <w:szCs w:val="16"/>
                <w:b w:val="1"/>
                <w:bCs w:val="1"/>
                <w:color w:val="auto"/>
              </w:rPr>
              <w:t>NM</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89"/>
              </w:rPr>
              <w:t>$</w:t>
            </w:r>
          </w:p>
        </w:tc>
        <w:tc>
          <w:tcPr>
            <w:tcW w:w="860" w:type="dxa"/>
            <w:vAlign w:val="bottom"/>
            <w:shd w:val="clear" w:color="auto" w:fill="CCEEFF"/>
          </w:tcPr>
          <w:p>
            <w:pPr>
              <w:jc w:val="right"/>
              <w:ind w:right="62"/>
              <w:spacing w:after="0"/>
              <w:rPr>
                <w:sz w:val="20"/>
                <w:szCs w:val="20"/>
                <w:color w:val="auto"/>
              </w:rPr>
            </w:pPr>
            <w:r>
              <w:rPr>
                <w:rFonts w:ascii="Arial" w:cs="Arial" w:eastAsia="Arial" w:hAnsi="Arial"/>
                <w:sz w:val="16"/>
                <w:szCs w:val="16"/>
                <w:b w:val="1"/>
                <w:bCs w:val="1"/>
                <w:color w:val="auto"/>
              </w:rPr>
              <w:t>161,303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(97,641)</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NM</w:t>
            </w:r>
          </w:p>
        </w:tc>
        <w:tc>
          <w:tcPr>
            <w:tcW w:w="0" w:type="dxa"/>
            <w:vAlign w:val="bottom"/>
          </w:tcPr>
          <w:p>
            <w:pPr>
              <w:spacing w:after="0"/>
              <w:rPr>
                <w:sz w:val="1"/>
                <w:szCs w:val="1"/>
                <w:color w:val="auto"/>
              </w:rPr>
            </w:pPr>
          </w:p>
        </w:tc>
      </w:tr>
      <w:tr>
        <w:trPr>
          <w:trHeight w:val="263"/>
        </w:trPr>
        <w:tc>
          <w:tcPr>
            <w:tcW w:w="4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4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Casino Statistics: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540" w:type="dxa"/>
            <w:vAlign w:val="bottom"/>
          </w:tcPr>
          <w:p>
            <w:pPr>
              <w:ind w:left="540"/>
              <w:spacing w:after="0"/>
              <w:rPr>
                <w:sz w:val="20"/>
                <w:szCs w:val="20"/>
                <w:color w:val="auto"/>
              </w:rPr>
            </w:pPr>
            <w:r>
              <w:rPr>
                <w:rFonts w:ascii="Arial" w:cs="Arial" w:eastAsia="Arial" w:hAnsi="Arial"/>
                <w:sz w:val="16"/>
                <w:szCs w:val="16"/>
                <w:color w:val="auto"/>
              </w:rPr>
              <w:t>Average number of table games</w:t>
            </w:r>
          </w:p>
        </w:tc>
        <w:tc>
          <w:tcPr>
            <w:tcW w:w="220" w:type="dxa"/>
            <w:vAlign w:val="bottom"/>
          </w:tcPr>
          <w:p>
            <w:pPr>
              <w:spacing w:after="0"/>
              <w:rPr>
                <w:sz w:val="18"/>
                <w:szCs w:val="18"/>
                <w:color w:val="auto"/>
              </w:rPr>
            </w:pP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218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195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233</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14"/>
        </w:trPr>
        <w:tc>
          <w:tcPr>
            <w:tcW w:w="45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Table drop </w:t>
            </w:r>
            <w:r>
              <w:rPr>
                <w:rFonts w:ascii="Arial" w:cs="Arial" w:eastAsia="Arial" w:hAnsi="Arial"/>
                <w:sz w:val="14"/>
                <w:szCs w:val="14"/>
                <w:color w:val="auto"/>
              </w:rPr>
              <w:t>(2)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427,014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90,873</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751,545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505,806</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207"/>
        </w:trPr>
        <w:tc>
          <w:tcPr>
            <w:tcW w:w="4540" w:type="dxa"/>
            <w:vAlign w:val="bottom"/>
          </w:tcPr>
          <w:p>
            <w:pPr>
              <w:ind w:left="540"/>
              <w:spacing w:after="0"/>
              <w:rPr>
                <w:sz w:val="20"/>
                <w:szCs w:val="20"/>
                <w:color w:val="auto"/>
              </w:rPr>
            </w:pPr>
            <w:r>
              <w:rPr>
                <w:rFonts w:ascii="Arial" w:cs="Arial" w:eastAsia="Arial" w:hAnsi="Arial"/>
                <w:sz w:val="16"/>
                <w:szCs w:val="16"/>
                <w:color w:val="auto"/>
              </w:rPr>
              <w:t xml:space="preserve">Table games win </w:t>
            </w:r>
            <w:r>
              <w:rPr>
                <w:rFonts w:ascii="Arial" w:cs="Arial" w:eastAsia="Arial" w:hAnsi="Arial"/>
                <w:sz w:val="14"/>
                <w:szCs w:val="14"/>
                <w:color w:val="auto"/>
              </w:rPr>
              <w:t>(1)</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99,021</w:t>
            </w:r>
          </w:p>
        </w:tc>
        <w:tc>
          <w:tcPr>
            <w:tcW w:w="14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17,918</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452.6</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175,674</w:t>
            </w:r>
          </w:p>
        </w:tc>
        <w:tc>
          <w:tcPr>
            <w:tcW w:w="14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100,584</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74.7</w:t>
            </w:r>
          </w:p>
        </w:tc>
        <w:tc>
          <w:tcPr>
            <w:tcW w:w="0" w:type="dxa"/>
            <w:vAlign w:val="bottom"/>
          </w:tcPr>
          <w:p>
            <w:pPr>
              <w:spacing w:after="0"/>
              <w:rPr>
                <w:sz w:val="1"/>
                <w:szCs w:val="1"/>
                <w:color w:val="auto"/>
              </w:rPr>
            </w:pPr>
          </w:p>
        </w:tc>
      </w:tr>
      <w:tr>
        <w:trPr>
          <w:trHeight w:val="214"/>
        </w:trPr>
        <w:tc>
          <w:tcPr>
            <w:tcW w:w="45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Table games win %</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23.2%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19.7%</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23.4%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19.9%</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540" w:type="dxa"/>
            <w:vAlign w:val="bottom"/>
          </w:tcPr>
          <w:p>
            <w:pPr>
              <w:ind w:left="540"/>
              <w:spacing w:after="0"/>
              <w:rPr>
                <w:sz w:val="20"/>
                <w:szCs w:val="20"/>
                <w:color w:val="auto"/>
              </w:rPr>
            </w:pPr>
            <w:r>
              <w:rPr>
                <w:rFonts w:ascii="Arial" w:cs="Arial" w:eastAsia="Arial" w:hAnsi="Arial"/>
                <w:sz w:val="16"/>
                <w:szCs w:val="16"/>
                <w:color w:val="auto"/>
              </w:rPr>
              <w:t>Table games win per unit per day</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4,997</w:t>
            </w:r>
          </w:p>
        </w:tc>
        <w:tc>
          <w:tcPr>
            <w:tcW w:w="14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2,998</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66.7</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4,979</w:t>
            </w:r>
          </w:p>
        </w:tc>
        <w:tc>
          <w:tcPr>
            <w:tcW w:w="14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4,152</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14"/>
        </w:trPr>
        <w:tc>
          <w:tcPr>
            <w:tcW w:w="45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Average number of slot machines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1,715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1,752</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1,631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1,762</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7"/>
        </w:trPr>
        <w:tc>
          <w:tcPr>
            <w:tcW w:w="4540" w:type="dxa"/>
            <w:vAlign w:val="bottom"/>
          </w:tcPr>
          <w:p>
            <w:pPr>
              <w:ind w:left="540"/>
              <w:spacing w:after="0"/>
              <w:rPr>
                <w:sz w:val="20"/>
                <w:szCs w:val="20"/>
                <w:color w:val="auto"/>
              </w:rPr>
            </w:pPr>
            <w:r>
              <w:rPr>
                <w:rFonts w:ascii="Arial" w:cs="Arial" w:eastAsia="Arial" w:hAnsi="Arial"/>
                <w:sz w:val="16"/>
                <w:szCs w:val="16"/>
                <w:color w:val="auto"/>
              </w:rPr>
              <w:t>Slot machine handle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1,115,149</w:t>
            </w:r>
          </w:p>
        </w:tc>
        <w:tc>
          <w:tcPr>
            <w:tcW w:w="14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246,393</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352.6</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62"/>
              <w:spacing w:after="0"/>
              <w:rPr>
                <w:sz w:val="20"/>
                <w:szCs w:val="20"/>
                <w:color w:val="auto"/>
              </w:rPr>
            </w:pPr>
            <w:r>
              <w:rPr>
                <w:rFonts w:ascii="Arial" w:cs="Arial" w:eastAsia="Arial" w:hAnsi="Arial"/>
                <w:sz w:val="16"/>
                <w:szCs w:val="16"/>
                <w:color w:val="auto"/>
                <w:w w:val="98"/>
              </w:rPr>
              <w:t>1,906,409</w:t>
            </w:r>
          </w:p>
        </w:tc>
        <w:tc>
          <w:tcPr>
            <w:tcW w:w="14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911,226</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109.2</w:t>
            </w:r>
          </w:p>
        </w:tc>
        <w:tc>
          <w:tcPr>
            <w:tcW w:w="0" w:type="dxa"/>
            <w:vAlign w:val="bottom"/>
          </w:tcPr>
          <w:p>
            <w:pPr>
              <w:spacing w:after="0"/>
              <w:rPr>
                <w:sz w:val="1"/>
                <w:szCs w:val="1"/>
                <w:color w:val="auto"/>
              </w:rPr>
            </w:pPr>
          </w:p>
        </w:tc>
      </w:tr>
      <w:tr>
        <w:trPr>
          <w:trHeight w:val="214"/>
        </w:trPr>
        <w:tc>
          <w:tcPr>
            <w:tcW w:w="45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Slot machine win </w:t>
            </w:r>
            <w:r>
              <w:rPr>
                <w:rFonts w:ascii="Arial" w:cs="Arial" w:eastAsia="Arial" w:hAnsi="Arial"/>
                <w:sz w:val="14"/>
                <w:szCs w:val="14"/>
                <w:color w:val="auto"/>
              </w:rPr>
              <w:t>(3)</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78,890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17,523</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129,379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64,197</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w:t>
            </w:r>
          </w:p>
        </w:tc>
        <w:tc>
          <w:tcPr>
            <w:tcW w:w="0" w:type="dxa"/>
            <w:vAlign w:val="bottom"/>
          </w:tcPr>
          <w:p>
            <w:pPr>
              <w:spacing w:after="0"/>
              <w:rPr>
                <w:sz w:val="1"/>
                <w:szCs w:val="1"/>
                <w:color w:val="auto"/>
              </w:rPr>
            </w:pPr>
          </w:p>
        </w:tc>
      </w:tr>
      <w:tr>
        <w:trPr>
          <w:trHeight w:val="207"/>
        </w:trPr>
        <w:tc>
          <w:tcPr>
            <w:tcW w:w="4540" w:type="dxa"/>
            <w:vAlign w:val="bottom"/>
          </w:tcPr>
          <w:p>
            <w:pPr>
              <w:ind w:left="540"/>
              <w:spacing w:after="0"/>
              <w:rPr>
                <w:sz w:val="20"/>
                <w:szCs w:val="20"/>
                <w:color w:val="auto"/>
              </w:rPr>
            </w:pPr>
            <w:r>
              <w:rPr>
                <w:rFonts w:ascii="Arial" w:cs="Arial" w:eastAsia="Arial" w:hAnsi="Arial"/>
                <w:sz w:val="16"/>
                <w:szCs w:val="16"/>
                <w:color w:val="auto"/>
              </w:rPr>
              <w:t>Slot machine win per unit per day</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506</w:t>
            </w:r>
          </w:p>
        </w:tc>
        <w:tc>
          <w:tcPr>
            <w:tcW w:w="14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371</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438</w:t>
            </w:r>
          </w:p>
        </w:tc>
        <w:tc>
          <w:tcPr>
            <w:tcW w:w="14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350</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14"/>
        </w:trPr>
        <w:tc>
          <w:tcPr>
            <w:tcW w:w="45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Poker rake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3,927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5,794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2,175</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166.4</w:t>
            </w:r>
          </w:p>
        </w:tc>
        <w:tc>
          <w:tcPr>
            <w:tcW w:w="0" w:type="dxa"/>
            <w:vAlign w:val="bottom"/>
          </w:tcPr>
          <w:p>
            <w:pPr>
              <w:spacing w:after="0"/>
              <w:rPr>
                <w:sz w:val="1"/>
                <w:szCs w:val="1"/>
                <w:color w:val="auto"/>
              </w:rPr>
            </w:pPr>
          </w:p>
        </w:tc>
      </w:tr>
      <w:tr>
        <w:trPr>
          <w:trHeight w:val="207"/>
        </w:trPr>
        <w:tc>
          <w:tcPr>
            <w:tcW w:w="4540" w:type="dxa"/>
            <w:vAlign w:val="bottom"/>
          </w:tcPr>
          <w:p>
            <w:pPr>
              <w:ind w:left="220"/>
              <w:spacing w:after="0"/>
              <w:rPr>
                <w:sz w:val="20"/>
                <w:szCs w:val="20"/>
                <w:color w:val="auto"/>
              </w:rPr>
            </w:pPr>
            <w:r>
              <w:rPr>
                <w:rFonts w:ascii="Arial" w:cs="Arial" w:eastAsia="Arial" w:hAnsi="Arial"/>
                <w:sz w:val="16"/>
                <w:szCs w:val="16"/>
                <w:color w:val="auto"/>
              </w:rPr>
              <w:t>Room statistics: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5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Occupancy</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67.2%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43.7%</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52.9%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70.6%</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540" w:type="dxa"/>
            <w:vAlign w:val="bottom"/>
          </w:tcPr>
          <w:p>
            <w:pPr>
              <w:ind w:left="540"/>
              <w:spacing w:after="0"/>
              <w:rPr>
                <w:sz w:val="20"/>
                <w:szCs w:val="20"/>
                <w:color w:val="auto"/>
              </w:rPr>
            </w:pPr>
            <w:r>
              <w:rPr>
                <w:rFonts w:ascii="Arial" w:cs="Arial" w:eastAsia="Arial" w:hAnsi="Arial"/>
                <w:sz w:val="16"/>
                <w:szCs w:val="16"/>
                <w:color w:val="auto"/>
              </w:rPr>
              <w:t xml:space="preserve">ADR </w:t>
            </w:r>
            <w:r>
              <w:rPr>
                <w:rFonts w:ascii="Arial" w:cs="Arial" w:eastAsia="Arial" w:hAnsi="Arial"/>
                <w:sz w:val="14"/>
                <w:szCs w:val="14"/>
                <w:color w:val="auto"/>
              </w:rPr>
              <w:t>(4)</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333</w:t>
            </w:r>
          </w:p>
        </w:tc>
        <w:tc>
          <w:tcPr>
            <w:tcW w:w="14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332</w:t>
            </w:r>
          </w:p>
        </w:tc>
        <w:tc>
          <w:tcPr>
            <w:tcW w:w="14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350</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4"/>
        </w:trPr>
        <w:tc>
          <w:tcPr>
            <w:tcW w:w="45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REVPAR </w:t>
            </w:r>
            <w:r>
              <w:rPr>
                <w:rFonts w:ascii="Arial" w:cs="Arial" w:eastAsia="Arial" w:hAnsi="Arial"/>
                <w:sz w:val="14"/>
                <w:szCs w:val="14"/>
                <w:color w:val="auto"/>
              </w:rPr>
              <w:t>(5)</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224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176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247</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Note: Wynn Las Vegas ceased all operations and closed to the public on March 17, 2020 and reopened on June 4, 2020 with certain COVID-19 specific protective measures in</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place, such as limiting the number of seats per table game, slot machine spacing, temperature checks, mask protection, and suspension of certain entertainment and nightlife</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offerings. On October 19, 2020, Encore at Wynn Las Vegas adjusted its operating schedule to five days/four nights each week due to reduced customer demand levels. This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adjusted operating schedule remained in effect through the first quarter of 2021, and on April 8, 2021, Encore at Wynn Las Vegas resumed full operations. On May 3, 2021, all</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industry restrictions were lifted and capacity limits increased to 100%.</w:t>
      </w:r>
    </w:p>
    <w:p>
      <w:pPr>
        <w:spacing w:after="0"/>
        <w:rPr>
          <w:sz w:val="20"/>
          <w:szCs w:val="20"/>
          <w:color w:val="auto"/>
        </w:rPr>
      </w:pPr>
      <w:r>
        <w:rPr>
          <w:rFonts w:ascii="Arial" w:cs="Arial" w:eastAsia="Arial" w:hAnsi="Arial"/>
          <w:sz w:val="16"/>
          <w:szCs w:val="16"/>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871" w:right="339" w:bottom="1440" w:gutter="0" w:footer="0" w:header="0"/>
        </w:sectPr>
      </w:pPr>
    </w:p>
    <w:bookmarkStart w:id="15" w:name="page16"/>
    <w:bookmarkEnd w:id="15"/>
    <w:p>
      <w:pPr>
        <w:jc w:val="center"/>
        <w:ind w:left="340" w:right="2800"/>
        <w:spacing w:after="0" w:line="253" w:lineRule="auto"/>
        <w:rPr>
          <w:sz w:val="20"/>
          <w:szCs w:val="20"/>
          <w:color w:val="auto"/>
        </w:rPr>
      </w:pPr>
      <w:r>
        <w:rPr>
          <w:rFonts w:ascii="Arial" w:cs="Arial" w:eastAsia="Arial" w:hAnsi="Arial"/>
          <w:sz w:val="18"/>
          <w:szCs w:val="18"/>
          <w:b w:val="1"/>
          <w:bCs w:val="1"/>
          <w:color w:val="auto"/>
        </w:rPr>
        <w:t>WYNN RESORTS, LIMITED AND SUBSIDIARIES SUPPLEMENTAL DATA SCHEDULE (dollars in thousands, except for win per unit per day, ADR, and REVPAR) (unaudited) (continued)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 June 30,</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3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38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6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1"/>
                <w:szCs w:val="11"/>
                <w:color w:val="auto"/>
              </w:rPr>
            </w:pPr>
          </w:p>
        </w:tc>
        <w:tc>
          <w:tcPr>
            <w:tcW w:w="760" w:type="dxa"/>
            <w:vAlign w:val="bottom"/>
            <w:tcBorders>
              <w:top w:val="single" w:sz="8" w:color="auto"/>
            </w:tcBorders>
          </w:tcPr>
          <w:p>
            <w:pPr>
              <w:jc w:val="right"/>
              <w:ind w:right="83"/>
              <w:spacing w:after="0" w:line="130" w:lineRule="exact"/>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6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1"/>
                <w:szCs w:val="11"/>
                <w:color w:val="auto"/>
              </w:rPr>
            </w:pPr>
          </w:p>
        </w:tc>
        <w:tc>
          <w:tcPr>
            <w:tcW w:w="780" w:type="dxa"/>
            <w:vAlign w:val="bottom"/>
            <w:tcBorders>
              <w:top w:val="single" w:sz="8" w:color="auto"/>
            </w:tcBorders>
          </w:tcPr>
          <w:p>
            <w:pPr>
              <w:jc w:val="right"/>
              <w:ind w:right="82"/>
              <w:spacing w:after="0" w:line="130"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4"/>
        </w:trPr>
        <w:tc>
          <w:tcPr>
            <w:tcW w:w="4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1"/>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Encore Boston Harbor Supplemental Information</w:t>
            </w:r>
          </w:p>
        </w:tc>
        <w:tc>
          <w:tcPr>
            <w:tcW w:w="2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380" w:type="dxa"/>
            <w:vAlign w:val="bottom"/>
          </w:tcPr>
          <w:p>
            <w:pPr>
              <w:ind w:left="220"/>
              <w:spacing w:after="0"/>
              <w:rPr>
                <w:sz w:val="20"/>
                <w:szCs w:val="20"/>
                <w:color w:val="auto"/>
              </w:rPr>
            </w:pPr>
            <w:r>
              <w:rPr>
                <w:rFonts w:ascii="Arial" w:cs="Arial" w:eastAsia="Arial" w:hAnsi="Arial"/>
                <w:sz w:val="16"/>
                <w:szCs w:val="16"/>
                <w:color w:val="auto"/>
              </w:rPr>
              <w:t>Operating revenues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Casino</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135,485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NM</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246,964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101,790</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w:t>
            </w:r>
          </w:p>
        </w:tc>
        <w:tc>
          <w:tcPr>
            <w:tcW w:w="0" w:type="dxa"/>
            <w:vAlign w:val="bottom"/>
          </w:tcPr>
          <w:p>
            <w:pPr>
              <w:spacing w:after="0"/>
              <w:rPr>
                <w:sz w:val="1"/>
                <w:szCs w:val="1"/>
                <w:color w:val="auto"/>
              </w:rPr>
            </w:pPr>
          </w:p>
        </w:tc>
      </w:tr>
      <w:tr>
        <w:trPr>
          <w:trHeight w:val="207"/>
        </w:trPr>
        <w:tc>
          <w:tcPr>
            <w:tcW w:w="4380" w:type="dxa"/>
            <w:vAlign w:val="bottom"/>
          </w:tcPr>
          <w:p>
            <w:pPr>
              <w:ind w:left="340"/>
              <w:spacing w:after="0"/>
              <w:rPr>
                <w:sz w:val="20"/>
                <w:szCs w:val="20"/>
                <w:color w:val="auto"/>
              </w:rPr>
            </w:pPr>
            <w:r>
              <w:rPr>
                <w:rFonts w:ascii="Arial" w:cs="Arial" w:eastAsia="Arial" w:hAnsi="Arial"/>
                <w:sz w:val="16"/>
                <w:szCs w:val="16"/>
                <w:color w:val="auto"/>
              </w:rPr>
              <w:t>Rooms</w:t>
            </w:r>
          </w:p>
        </w:tc>
        <w:tc>
          <w:tcPr>
            <w:tcW w:w="220" w:type="dxa"/>
            <w:vAlign w:val="bottom"/>
          </w:tcPr>
          <w:p>
            <w:pPr>
              <w:spacing w:after="0"/>
              <w:rPr>
                <w:sz w:val="18"/>
                <w:szCs w:val="18"/>
                <w:color w:val="auto"/>
              </w:rPr>
            </w:pP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9,670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NM</w:t>
            </w:r>
          </w:p>
        </w:tc>
        <w:tc>
          <w:tcPr>
            <w:tcW w:w="260" w:type="dxa"/>
            <w:vAlign w:val="bottom"/>
          </w:tcPr>
          <w:p>
            <w:pPr>
              <w:spacing w:after="0"/>
              <w:rPr>
                <w:sz w:val="18"/>
                <w:szCs w:val="18"/>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14,385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10,955</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14"/>
        </w:trPr>
        <w:tc>
          <w:tcPr>
            <w:tcW w:w="4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Food and beverage</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13,920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NM</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23,247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20,606</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07"/>
        </w:trPr>
        <w:tc>
          <w:tcPr>
            <w:tcW w:w="4380" w:type="dxa"/>
            <w:vAlign w:val="bottom"/>
          </w:tcPr>
          <w:p>
            <w:pPr>
              <w:ind w:left="340"/>
              <w:spacing w:after="0"/>
              <w:rPr>
                <w:sz w:val="20"/>
                <w:szCs w:val="20"/>
                <w:color w:val="auto"/>
              </w:rPr>
            </w:pPr>
            <w:r>
              <w:rPr>
                <w:rFonts w:ascii="Arial" w:cs="Arial" w:eastAsia="Arial" w:hAnsi="Arial"/>
                <w:sz w:val="16"/>
                <w:szCs w:val="16"/>
                <w:color w:val="auto"/>
              </w:rPr>
              <w:t>Entertainment, retail and other</w:t>
            </w:r>
          </w:p>
        </w:tc>
        <w:tc>
          <w:tcPr>
            <w:tcW w:w="220" w:type="dxa"/>
            <w:vAlign w:val="bottom"/>
          </w:tcPr>
          <w:p>
            <w:pPr>
              <w:spacing w:after="0"/>
              <w:rPr>
                <w:sz w:val="18"/>
                <w:szCs w:val="18"/>
                <w:color w:val="auto"/>
              </w:rPr>
            </w:pP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6,166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NM</w:t>
            </w:r>
          </w:p>
        </w:tc>
        <w:tc>
          <w:tcPr>
            <w:tcW w:w="260" w:type="dxa"/>
            <w:vAlign w:val="bottom"/>
          </w:tcPr>
          <w:p>
            <w:pPr>
              <w:spacing w:after="0"/>
              <w:rPr>
                <w:sz w:val="18"/>
                <w:szCs w:val="18"/>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10,735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7,745</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38.6</w:t>
            </w:r>
          </w:p>
        </w:tc>
        <w:tc>
          <w:tcPr>
            <w:tcW w:w="0" w:type="dxa"/>
            <w:vAlign w:val="bottom"/>
          </w:tcPr>
          <w:p>
            <w:pPr>
              <w:spacing w:after="0"/>
              <w:rPr>
                <w:sz w:val="1"/>
                <w:szCs w:val="1"/>
                <w:color w:val="auto"/>
              </w:rPr>
            </w:pPr>
          </w:p>
        </w:tc>
      </w:tr>
      <w:tr>
        <w:trPr>
          <w:trHeight w:val="207"/>
        </w:trPr>
        <w:tc>
          <w:tcPr>
            <w:tcW w:w="438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165,241</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206</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NM</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295,331</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141,096</w:t>
            </w: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109.3</w:t>
            </w:r>
          </w:p>
        </w:tc>
        <w:tc>
          <w:tcPr>
            <w:tcW w:w="0" w:type="dxa"/>
            <w:vAlign w:val="bottom"/>
          </w:tcPr>
          <w:p>
            <w:pPr>
              <w:spacing w:after="0"/>
              <w:rPr>
                <w:sz w:val="1"/>
                <w:szCs w:val="1"/>
                <w:color w:val="auto"/>
              </w:rPr>
            </w:pPr>
          </w:p>
        </w:tc>
      </w:tr>
      <w:tr>
        <w:trPr>
          <w:trHeight w:val="263"/>
        </w:trPr>
        <w:tc>
          <w:tcPr>
            <w:tcW w:w="4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438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 xml:space="preserve">Adjusted Property EBITDA </w:t>
            </w:r>
            <w:r>
              <w:rPr>
                <w:rFonts w:ascii="Arial" w:cs="Arial" w:eastAsia="Arial" w:hAnsi="Arial"/>
                <w:sz w:val="14"/>
                <w:szCs w:val="14"/>
                <w:b w:val="1"/>
                <w:bCs w:val="1"/>
                <w:color w:val="auto"/>
              </w:rPr>
              <w:t>(6)</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46,916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(53,779)</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NM</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77,279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(66,415)</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NM</w:t>
            </w:r>
          </w:p>
        </w:tc>
        <w:tc>
          <w:tcPr>
            <w:tcW w:w="0" w:type="dxa"/>
            <w:vAlign w:val="bottom"/>
          </w:tcPr>
          <w:p>
            <w:pPr>
              <w:spacing w:after="0"/>
              <w:rPr>
                <w:sz w:val="1"/>
                <w:szCs w:val="1"/>
                <w:color w:val="auto"/>
              </w:rPr>
            </w:pPr>
          </w:p>
        </w:tc>
      </w:tr>
      <w:tr>
        <w:trPr>
          <w:trHeight w:val="263"/>
        </w:trPr>
        <w:tc>
          <w:tcPr>
            <w:tcW w:w="4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4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Casino Statistics: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380" w:type="dxa"/>
            <w:vAlign w:val="bottom"/>
          </w:tcPr>
          <w:p>
            <w:pPr>
              <w:ind w:left="540"/>
              <w:spacing w:after="0"/>
              <w:rPr>
                <w:sz w:val="20"/>
                <w:szCs w:val="20"/>
                <w:color w:val="auto"/>
              </w:rPr>
            </w:pPr>
            <w:r>
              <w:rPr>
                <w:rFonts w:ascii="Arial" w:cs="Arial" w:eastAsia="Arial" w:hAnsi="Arial"/>
                <w:sz w:val="16"/>
                <w:szCs w:val="16"/>
                <w:color w:val="auto"/>
              </w:rPr>
              <w:t>Average number of table games</w:t>
            </w:r>
          </w:p>
        </w:tc>
        <w:tc>
          <w:tcPr>
            <w:tcW w:w="220" w:type="dxa"/>
            <w:vAlign w:val="bottom"/>
          </w:tcPr>
          <w:p>
            <w:pPr>
              <w:spacing w:after="0"/>
              <w:rPr>
                <w:sz w:val="18"/>
                <w:szCs w:val="18"/>
                <w:color w:val="auto"/>
              </w:rPr>
            </w:pP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195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197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160</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14"/>
        </w:trPr>
        <w:tc>
          <w:tcPr>
            <w:tcW w:w="43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Table drop </w:t>
            </w:r>
            <w:r>
              <w:rPr>
                <w:rFonts w:ascii="Arial" w:cs="Arial" w:eastAsia="Arial" w:hAnsi="Arial"/>
                <w:sz w:val="14"/>
                <w:szCs w:val="14"/>
                <w:color w:val="auto"/>
              </w:rPr>
              <w:t>(2)</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306,070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540,632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275,631</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w:t>
            </w:r>
          </w:p>
        </w:tc>
        <w:tc>
          <w:tcPr>
            <w:tcW w:w="0" w:type="dxa"/>
            <w:vAlign w:val="bottom"/>
          </w:tcPr>
          <w:p>
            <w:pPr>
              <w:spacing w:after="0"/>
              <w:rPr>
                <w:sz w:val="1"/>
                <w:szCs w:val="1"/>
                <w:color w:val="auto"/>
              </w:rPr>
            </w:pPr>
          </w:p>
        </w:tc>
      </w:tr>
      <w:tr>
        <w:trPr>
          <w:trHeight w:val="207"/>
        </w:trPr>
        <w:tc>
          <w:tcPr>
            <w:tcW w:w="4380" w:type="dxa"/>
            <w:vAlign w:val="bottom"/>
          </w:tcPr>
          <w:p>
            <w:pPr>
              <w:ind w:left="540"/>
              <w:spacing w:after="0"/>
              <w:rPr>
                <w:sz w:val="20"/>
                <w:szCs w:val="20"/>
                <w:color w:val="auto"/>
              </w:rPr>
            </w:pPr>
            <w:r>
              <w:rPr>
                <w:rFonts w:ascii="Arial" w:cs="Arial" w:eastAsia="Arial" w:hAnsi="Arial"/>
                <w:sz w:val="16"/>
                <w:szCs w:val="16"/>
                <w:color w:val="auto"/>
              </w:rPr>
              <w:t xml:space="preserve">Table games win </w:t>
            </w:r>
            <w:r>
              <w:rPr>
                <w:rFonts w:ascii="Arial" w:cs="Arial" w:eastAsia="Arial" w:hAnsi="Arial"/>
                <w:sz w:val="14"/>
                <w:szCs w:val="14"/>
                <w:color w:val="auto"/>
              </w:rPr>
              <w:t>(1)</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64,874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114,251</w:t>
            </w:r>
          </w:p>
        </w:tc>
        <w:tc>
          <w:tcPr>
            <w:tcW w:w="14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57,286</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99.4</w:t>
            </w:r>
          </w:p>
        </w:tc>
        <w:tc>
          <w:tcPr>
            <w:tcW w:w="0" w:type="dxa"/>
            <w:vAlign w:val="bottom"/>
          </w:tcPr>
          <w:p>
            <w:pPr>
              <w:spacing w:after="0"/>
              <w:rPr>
                <w:sz w:val="1"/>
                <w:szCs w:val="1"/>
                <w:color w:val="auto"/>
              </w:rPr>
            </w:pPr>
          </w:p>
        </w:tc>
      </w:tr>
      <w:tr>
        <w:trPr>
          <w:trHeight w:val="214"/>
        </w:trPr>
        <w:tc>
          <w:tcPr>
            <w:tcW w:w="43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Table games win %</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21.2%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21.1%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20.8%</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380" w:type="dxa"/>
            <w:vAlign w:val="bottom"/>
          </w:tcPr>
          <w:p>
            <w:pPr>
              <w:ind w:left="540"/>
              <w:spacing w:after="0"/>
              <w:rPr>
                <w:sz w:val="20"/>
                <w:szCs w:val="20"/>
                <w:color w:val="auto"/>
              </w:rPr>
            </w:pPr>
            <w:r>
              <w:rPr>
                <w:rFonts w:ascii="Arial" w:cs="Arial" w:eastAsia="Arial" w:hAnsi="Arial"/>
                <w:sz w:val="16"/>
                <w:szCs w:val="16"/>
                <w:color w:val="auto"/>
              </w:rPr>
              <w:t>Table games win per unit per day</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3,654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3,201</w:t>
            </w:r>
          </w:p>
        </w:tc>
        <w:tc>
          <w:tcPr>
            <w:tcW w:w="14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4,826</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14"/>
        </w:trPr>
        <w:tc>
          <w:tcPr>
            <w:tcW w:w="43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Average number of slot machines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2,171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2,031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2,837</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07"/>
        </w:trPr>
        <w:tc>
          <w:tcPr>
            <w:tcW w:w="4380" w:type="dxa"/>
            <w:vAlign w:val="bottom"/>
          </w:tcPr>
          <w:p>
            <w:pPr>
              <w:ind w:left="540"/>
              <w:spacing w:after="0"/>
              <w:rPr>
                <w:sz w:val="20"/>
                <w:szCs w:val="20"/>
                <w:color w:val="auto"/>
              </w:rPr>
            </w:pPr>
            <w:r>
              <w:rPr>
                <w:rFonts w:ascii="Arial" w:cs="Arial" w:eastAsia="Arial" w:hAnsi="Arial"/>
                <w:sz w:val="16"/>
                <w:szCs w:val="16"/>
                <w:color w:val="auto"/>
              </w:rPr>
              <w:t>Slot machine handle</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1,094,178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2,007,973</w:t>
            </w:r>
          </w:p>
        </w:tc>
        <w:tc>
          <w:tcPr>
            <w:tcW w:w="14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767,739</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161.5</w:t>
            </w:r>
          </w:p>
        </w:tc>
        <w:tc>
          <w:tcPr>
            <w:tcW w:w="0" w:type="dxa"/>
            <w:vAlign w:val="bottom"/>
          </w:tcPr>
          <w:p>
            <w:pPr>
              <w:spacing w:after="0"/>
              <w:rPr>
                <w:sz w:val="1"/>
                <w:szCs w:val="1"/>
                <w:color w:val="auto"/>
              </w:rPr>
            </w:pPr>
          </w:p>
        </w:tc>
      </w:tr>
      <w:tr>
        <w:trPr>
          <w:trHeight w:val="214"/>
        </w:trPr>
        <w:tc>
          <w:tcPr>
            <w:tcW w:w="43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Slot machine win </w:t>
            </w:r>
            <w:r>
              <w:rPr>
                <w:rFonts w:ascii="Arial" w:cs="Arial" w:eastAsia="Arial" w:hAnsi="Arial"/>
                <w:sz w:val="14"/>
                <w:szCs w:val="14"/>
                <w:color w:val="auto"/>
              </w:rPr>
              <w:t>(3)</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89,560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164,380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59,448</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176.5</w:t>
            </w:r>
          </w:p>
        </w:tc>
        <w:tc>
          <w:tcPr>
            <w:tcW w:w="0" w:type="dxa"/>
            <w:vAlign w:val="bottom"/>
          </w:tcPr>
          <w:p>
            <w:pPr>
              <w:spacing w:after="0"/>
              <w:rPr>
                <w:sz w:val="1"/>
                <w:szCs w:val="1"/>
                <w:color w:val="auto"/>
              </w:rPr>
            </w:pPr>
          </w:p>
        </w:tc>
      </w:tr>
      <w:tr>
        <w:trPr>
          <w:trHeight w:val="207"/>
        </w:trPr>
        <w:tc>
          <w:tcPr>
            <w:tcW w:w="4380" w:type="dxa"/>
            <w:vAlign w:val="bottom"/>
          </w:tcPr>
          <w:p>
            <w:pPr>
              <w:ind w:left="540"/>
              <w:spacing w:after="0"/>
              <w:rPr>
                <w:sz w:val="20"/>
                <w:szCs w:val="20"/>
                <w:color w:val="auto"/>
              </w:rPr>
            </w:pPr>
            <w:r>
              <w:rPr>
                <w:rFonts w:ascii="Arial" w:cs="Arial" w:eastAsia="Arial" w:hAnsi="Arial"/>
                <w:sz w:val="16"/>
                <w:szCs w:val="16"/>
                <w:color w:val="auto"/>
              </w:rPr>
              <w:t>Slot machine win per unit per day</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453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447</w:t>
            </w:r>
          </w:p>
        </w:tc>
        <w:tc>
          <w:tcPr>
            <w:tcW w:w="14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283</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214"/>
        </w:trPr>
        <w:tc>
          <w:tcPr>
            <w:tcW w:w="43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Poker rake</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5,105</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7"/>
        </w:trPr>
        <w:tc>
          <w:tcPr>
            <w:tcW w:w="4380" w:type="dxa"/>
            <w:vAlign w:val="bottom"/>
          </w:tcPr>
          <w:p>
            <w:pPr>
              <w:ind w:left="340"/>
              <w:spacing w:after="0"/>
              <w:rPr>
                <w:sz w:val="20"/>
                <w:szCs w:val="20"/>
                <w:color w:val="auto"/>
              </w:rPr>
            </w:pPr>
            <w:r>
              <w:rPr>
                <w:rFonts w:ascii="Arial" w:cs="Arial" w:eastAsia="Arial" w:hAnsi="Arial"/>
                <w:sz w:val="16"/>
                <w:szCs w:val="16"/>
                <w:color w:val="auto"/>
              </w:rPr>
              <w:t>Room statistics: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3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Occupancy</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87.8%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81.1%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75.8%</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380" w:type="dxa"/>
            <w:vAlign w:val="bottom"/>
          </w:tcPr>
          <w:p>
            <w:pPr>
              <w:ind w:left="540"/>
              <w:spacing w:after="0"/>
              <w:rPr>
                <w:sz w:val="20"/>
                <w:szCs w:val="20"/>
                <w:color w:val="auto"/>
              </w:rPr>
            </w:pPr>
            <w:r>
              <w:rPr>
                <w:rFonts w:ascii="Arial" w:cs="Arial" w:eastAsia="Arial" w:hAnsi="Arial"/>
                <w:sz w:val="16"/>
                <w:szCs w:val="16"/>
                <w:color w:val="auto"/>
              </w:rPr>
              <w:t xml:space="preserve">ADR </w:t>
            </w:r>
            <w:r>
              <w:rPr>
                <w:rFonts w:ascii="Arial" w:cs="Arial" w:eastAsia="Arial" w:hAnsi="Arial"/>
                <w:sz w:val="14"/>
                <w:szCs w:val="14"/>
                <w:color w:val="auto"/>
              </w:rPr>
              <w:t>(4)</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304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294</w:t>
            </w:r>
          </w:p>
        </w:tc>
        <w:tc>
          <w:tcPr>
            <w:tcW w:w="14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292</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4"/>
        </w:trPr>
        <w:tc>
          <w:tcPr>
            <w:tcW w:w="43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REVPAR </w:t>
            </w:r>
            <w:r>
              <w:rPr>
                <w:rFonts w:ascii="Arial" w:cs="Arial" w:eastAsia="Arial" w:hAnsi="Arial"/>
                <w:sz w:val="14"/>
                <w:szCs w:val="14"/>
                <w:color w:val="auto"/>
              </w:rPr>
              <w:t>(5)</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267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238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222</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Note: Encore Boston Harbor ceased all operations and closed to the public on March 15, 2020, for the remainder of the first and second quarters of 2020. Accordingly, statistics for the the three months ended June 30, 2020 have been omitted from the table. On July 10, 2020, Encore Boston Harbor reopened with certain COVID-19 specific protective measures in place, in addition to the limitations on operating hours. On January 25, 2021, the limitations on operating hours were lifted, and Encore Boston Harbor restored 24-hour casino operations and reopened its hotel tower on a Thursday through Sunday schedule. Accordingly, Encore Boston Harbor's room statistics have been computed based on 53 days of operations for the three months ended June 30, 2021 and 89 days of operations for the six months ended June 30, 2021, respectively. On April 27, 2021, the Governor of Massachusetts announced a phased plan for further reopening and on May 28, 2021 signed an executive order rescinding the COVID-related restrictions and limitations on businesses as of May 29, 2021. The property continues to operate its hotel tower Thursday through Sunday. NM - Not meaningful.</w:t>
      </w:r>
    </w:p>
    <w:p>
      <w:pPr>
        <w:spacing w:after="0" w:line="212" w:lineRule="exact"/>
        <w:rPr>
          <w:sz w:val="20"/>
          <w:szCs w:val="20"/>
          <w:color w:val="auto"/>
        </w:rPr>
      </w:pPr>
    </w:p>
    <w:p>
      <w:pPr>
        <w:ind w:left="240" w:hanging="235"/>
        <w:spacing w:after="0" w:line="244" w:lineRule="auto"/>
        <w:tabs>
          <w:tab w:leader="none" w:pos="212" w:val="left"/>
        </w:tabs>
        <w:numPr>
          <w:ilvl w:val="0"/>
          <w:numId w:val="6"/>
        </w:numPr>
        <w:rPr>
          <w:rFonts w:ascii="Arial" w:cs="Arial" w:eastAsia="Arial" w:hAnsi="Arial"/>
          <w:sz w:val="14"/>
          <w:szCs w:val="14"/>
          <w:color w:val="auto"/>
        </w:rPr>
      </w:pPr>
      <w:r>
        <w:rPr>
          <w:rFonts w:ascii="Arial" w:cs="Arial" w:eastAsia="Arial" w:hAnsi="Arial"/>
          <w:sz w:val="14"/>
          <w:szCs w:val="14"/>
          <w:color w:val="auto"/>
        </w:rPr>
        <w:t>Table games win is shown before discounts, commissions and the allocation of casino revenues to rooms, food and beverage and other revenues for services provided to casino customers on a complimentary basis.</w:t>
      </w:r>
    </w:p>
    <w:p>
      <w:pPr>
        <w:ind w:left="240" w:hanging="235"/>
        <w:spacing w:after="0" w:line="253" w:lineRule="auto"/>
        <w:tabs>
          <w:tab w:leader="none" w:pos="201" w:val="left"/>
        </w:tabs>
        <w:numPr>
          <w:ilvl w:val="0"/>
          <w:numId w:val="6"/>
        </w:numPr>
        <w:rPr>
          <w:rFonts w:ascii="Arial" w:cs="Arial" w:eastAsia="Arial" w:hAnsi="Arial"/>
          <w:sz w:val="13"/>
          <w:szCs w:val="13"/>
          <w:color w:val="auto"/>
        </w:rPr>
      </w:pPr>
      <w:r>
        <w:rPr>
          <w:rFonts w:ascii="Arial" w:cs="Arial" w:eastAsia="Arial" w:hAnsi="Arial"/>
          <w:sz w:val="13"/>
          <w:szCs w:val="13"/>
          <w:color w:val="auto"/>
        </w:rPr>
        <w:t>In Macau, table drop is the amount of cash that is deposited in a gaming table's drop box plus cash chips purchased at the casino cage. In Las Vegas, table drop is the amount of cash and net markers issued that are deposited in a gaming table's drop box. At Encore Boston Harbor, table drop is the amount of cash and gross markers that are deposited in a gaming table's drop box.</w:t>
      </w:r>
    </w:p>
    <w:p>
      <w:pPr>
        <w:ind w:left="200" w:hanging="195"/>
        <w:spacing w:after="0" w:line="235" w:lineRule="auto"/>
        <w:tabs>
          <w:tab w:leader="none" w:pos="200" w:val="left"/>
        </w:tabs>
        <w:numPr>
          <w:ilvl w:val="0"/>
          <w:numId w:val="6"/>
        </w:numPr>
        <w:rPr>
          <w:rFonts w:ascii="Arial" w:cs="Arial" w:eastAsia="Arial" w:hAnsi="Arial"/>
          <w:sz w:val="14"/>
          <w:szCs w:val="14"/>
          <w:color w:val="auto"/>
        </w:rPr>
      </w:pPr>
      <w:r>
        <w:rPr>
          <w:rFonts w:ascii="Arial" w:cs="Arial" w:eastAsia="Arial" w:hAnsi="Arial"/>
          <w:sz w:val="14"/>
          <w:szCs w:val="14"/>
          <w:color w:val="auto"/>
        </w:rPr>
        <w:t>Slot machine win is calculated as gross slot machine win minus progressive accruals and free play.</w:t>
      </w:r>
    </w:p>
    <w:p>
      <w:pPr>
        <w:ind w:left="200" w:hanging="195"/>
        <w:spacing w:after="0" w:line="235" w:lineRule="auto"/>
        <w:tabs>
          <w:tab w:leader="none" w:pos="200" w:val="left"/>
        </w:tabs>
        <w:numPr>
          <w:ilvl w:val="0"/>
          <w:numId w:val="6"/>
        </w:numPr>
        <w:rPr>
          <w:rFonts w:ascii="Arial" w:cs="Arial" w:eastAsia="Arial" w:hAnsi="Arial"/>
          <w:sz w:val="14"/>
          <w:szCs w:val="14"/>
          <w:color w:val="auto"/>
        </w:rPr>
      </w:pPr>
      <w:r>
        <w:rPr>
          <w:rFonts w:ascii="Arial" w:cs="Arial" w:eastAsia="Arial" w:hAnsi="Arial"/>
          <w:sz w:val="14"/>
          <w:szCs w:val="14"/>
          <w:color w:val="auto"/>
        </w:rPr>
        <w:t>ADR is average daily rate and is calculated by dividing total room revenues including complimentaries (less service charges, if any) by total rooms occupied.</w:t>
      </w:r>
    </w:p>
    <w:p>
      <w:pPr>
        <w:ind w:left="200" w:hanging="195"/>
        <w:spacing w:after="0" w:line="235" w:lineRule="auto"/>
        <w:tabs>
          <w:tab w:leader="none" w:pos="20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REVPAR is revenue per available room and is calculated by dividing total room revenues including complimentaries (less service charges, if any) by total rooms available.</w:t>
      </w:r>
    </w:p>
    <w:p>
      <w:pPr>
        <w:ind w:left="200" w:hanging="195"/>
        <w:spacing w:after="0"/>
        <w:tabs>
          <w:tab w:leader="none" w:pos="20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Refer to accompanying reconciliations of Operating Income (Loss) to Adjusted Property EBITDA and Net Loss Attributable to Wynn Resorts, Limited to Adjusted Property EBITDA.</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87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SOURCE: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Vincent Zahn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702-770-7555</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14</w:t>
      </w:r>
    </w:p>
    <w:sectPr>
      <w:pgSz w:w="11900" w:h="16838" w:orient="portrait"/>
      <w:cols w:equalWidth="0" w:num="1">
        <w:col w:w="10139"/>
      </w:cols>
      <w:pgMar w:left="320" w:top="10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2021-08-04T15:40:39Z</dcterms:created>
  <dcterms:modified xsi:type="dcterms:W3CDTF">2021-08-04T15:40:39Z</dcterms:modified>
</cp:coreProperties>
</file>