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Times New Roman" w:cs="Times New Roman" w:eastAsia="Times New Roman" w:hAnsi="Times New Roman"/>
                <w:sz w:val="18"/>
                <w:szCs w:val="18"/>
                <w:b w:val="1"/>
                <w:bCs w:val="1"/>
                <w:color w:val="auto"/>
                <w:w w:val="99"/>
              </w:rPr>
              <w:t>Commission File No.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Times New Roman" w:cs="Times New Roman" w:eastAsia="Times New Roman" w:hAnsi="Times New Roman"/>
                <w:sz w:val="43"/>
                <w:szCs w:val="43"/>
                <w:b w:val="1"/>
                <w:bCs w:val="1"/>
                <w:color w:val="auto"/>
              </w:rPr>
              <w:t>WYNN RESORTS, LIMITED</w:t>
            </w:r>
          </w:p>
        </w:tc>
      </w:tr>
      <w:tr>
        <w:trPr>
          <w:trHeight w:val="238"/>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5"/>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gridSpan w:val="4"/>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55"/>
        </w:trPr>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80" w:type="dxa"/>
            <w:vAlign w:val="bottom"/>
            <w:gridSpan w:val="5"/>
          </w:tcPr>
          <w:p>
            <w:pPr>
              <w:jc w:val="center"/>
              <w:ind w:left="1628"/>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r>
      <w:tr>
        <w:trPr>
          <w:trHeight w:val="2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455"/>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w:t>
            </w:r>
          </w:p>
        </w:tc>
        <w:tc>
          <w:tcPr>
            <w:tcW w:w="2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Exchange</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6" w:lineRule="exact"/>
        <w:rPr>
          <w:sz w:val="24"/>
          <w:szCs w:val="24"/>
          <w:color w:val="auto"/>
        </w:rPr>
      </w:pPr>
    </w:p>
    <w:p>
      <w:pPr>
        <w:jc w:val="both"/>
        <w:ind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8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4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34"/>
        </w:trPr>
        <w:tc>
          <w:tcPr>
            <w:tcW w:w="112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175"/>
        </w:trPr>
        <w:tc>
          <w:tcPr>
            <w:tcW w:w="1800" w:type="dxa"/>
            <w:vAlign w:val="bottom"/>
          </w:tcPr>
          <w:p>
            <w:pPr>
              <w:spacing w:after="0"/>
              <w:rPr>
                <w:sz w:val="15"/>
                <w:szCs w:val="15"/>
                <w:color w:val="auto"/>
              </w:rPr>
            </w:pPr>
          </w:p>
        </w:tc>
        <w:tc>
          <w:tcPr>
            <w:tcW w:w="6980" w:type="dxa"/>
            <w:vAlign w:val="bottom"/>
            <w:gridSpan w:val="2"/>
          </w:tcPr>
          <w:p>
            <w:pPr>
              <w:jc w:val="center"/>
              <w:ind w:right="66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Outstanding at November 1, 2022</w:t>
            </w:r>
          </w:p>
        </w:tc>
      </w:tr>
      <w:tr>
        <w:trPr>
          <w:trHeight w:val="20"/>
        </w:trPr>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8780" w:type="dxa"/>
            <w:vAlign w:val="bottom"/>
            <w:gridSpan w:val="3"/>
          </w:tcPr>
          <w:p>
            <w:pPr>
              <w:jc w:val="center"/>
              <w:ind w:right="488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06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113,313,591</w:t>
            </w:r>
          </w:p>
        </w:tc>
        <w:tc>
          <w:tcPr>
            <w:tcW w:w="400" w:type="dxa"/>
            <w:vAlign w:val="bottom"/>
          </w:tcPr>
          <w:p>
            <w:pPr>
              <w:spacing w:after="0"/>
              <w:rPr>
                <w:sz w:val="22"/>
                <w:szCs w:val="22"/>
                <w:color w:val="auto"/>
              </w:rPr>
            </w:pPr>
          </w:p>
        </w:tc>
      </w:tr>
      <w:tr>
        <w:trPr>
          <w:trHeight w:val="763"/>
        </w:trPr>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0180" w:type="dxa"/>
            <w:vAlign w:val="bottom"/>
            <w:gridSpan w:val="15"/>
          </w:tcPr>
          <w:p>
            <w:pPr>
              <w:ind w:left="800"/>
              <w:spacing w:after="0" w:line="194"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2022 (unaudited) and December 31,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 Three and Nine Months Ended September 30, 2022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and 2021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(unaudited) - Three and Nine Months Ended September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30, 2022 and 2021</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 - Three and Nine Months Ended September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8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30, 2022 and 2021</w:t>
            </w: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Nine Months Ended September 30,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68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0180" w:type="dxa"/>
            <w:vAlign w:val="bottom"/>
            <w:gridSpan w:val="15"/>
          </w:tcPr>
          <w:p>
            <w:pPr>
              <w:ind w:left="8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Pr>
          <w:p>
            <w:pPr>
              <w:spacing w:after="0"/>
              <w:rPr>
                <w:sz w:val="20"/>
                <w:szCs w:val="20"/>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80" w:type="dxa"/>
            <w:vAlign w:val="bottom"/>
            <w:gridSpan w:val="2"/>
          </w:tcPr>
          <w:p>
            <w:pPr>
              <w:spacing w:after="0"/>
              <w:rPr>
                <w:sz w:val="16"/>
                <w:szCs w:val="16"/>
                <w:color w:val="auto"/>
              </w:rPr>
            </w:pPr>
          </w:p>
        </w:tc>
        <w:tc>
          <w:tcPr>
            <w:tcW w:w="10000" w:type="dxa"/>
            <w:vAlign w:val="bottom"/>
            <w:gridSpan w:val="8"/>
          </w:tcPr>
          <w:p>
            <w:pPr>
              <w:ind w:left="620"/>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Default Upon Senior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5.</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6.</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1,943,505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2,522,530</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$81,208 and $111,319</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210,032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199,463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69,967</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96,524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79,061</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Pr>
          <w:p>
            <w:pPr>
              <w:spacing w:after="0"/>
              <w:rPr>
                <w:sz w:val="17"/>
                <w:szCs w:val="17"/>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2,323,407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2,875,917</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8,498,814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8,765,308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154,125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250,901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307,578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347,902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371,365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204,196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207,017</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11,779,345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12,530,826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139,154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170,542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deposits</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436,198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436,388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Gaming taxes payable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34,038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206,225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145,268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132,877</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546,078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162,917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218,675</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tcPr>
          <w:p>
            <w:pPr>
              <w:spacing w:after="0"/>
              <w:rPr>
                <w:sz w:val="17"/>
                <w:szCs w:val="17"/>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1,635,036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1,287,880</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11,570,438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11,884,546</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108,094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115,187</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62,740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79,428</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7"/>
                <w:szCs w:val="17"/>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13,376,308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13,367,041</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16)</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7960" w:type="dxa"/>
            <w:vAlign w:val="bottom"/>
          </w:tcPr>
          <w:p>
            <w:pPr>
              <w:ind w:left="360"/>
              <w:spacing w:after="0" w:line="152" w:lineRule="exact"/>
              <w:rPr>
                <w:sz w:val="20"/>
                <w:szCs w:val="20"/>
                <w:color w:val="auto"/>
              </w:rPr>
            </w:pPr>
            <w:r>
              <w:rPr>
                <w:rFonts w:ascii="Times New Roman" w:cs="Times New Roman" w:eastAsia="Times New Roman" w:hAnsi="Times New Roman"/>
                <w:sz w:val="16"/>
                <w:szCs w:val="16"/>
                <w:color w:val="auto"/>
              </w:rPr>
              <w:t>Common stock, par value $0.01; 400,000,000 shares authorized; 132,127,292 and 131,449,806 shares issued;</w:t>
            </w:r>
          </w:p>
        </w:tc>
        <w:tc>
          <w:tcPr>
            <w:tcW w:w="140" w:type="dxa"/>
            <w:vAlign w:val="bottom"/>
          </w:tcPr>
          <w:p>
            <w:pPr>
              <w:spacing w:after="0"/>
              <w:rPr>
                <w:sz w:val="13"/>
                <w:szCs w:val="13"/>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113,373,330 and 115,714,943 shares outstanding, respectively</w:t>
            </w:r>
          </w:p>
        </w:tc>
        <w:tc>
          <w:tcPr>
            <w:tcW w:w="1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18,753,871 and 15,734,863 shares, respectively</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(1,436,373)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3,584,357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3,502,715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(2,744,222)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(2,288,078)</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(763,153)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(214,418)</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(833,810)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(621,797)</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(1,596,963)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(836,215)</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11,779,345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12,530,826</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359,876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1,209,323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1,615,228</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387,772</w:t>
            </w: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435,152</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283,287</w:t>
            </w:r>
          </w:p>
        </w:tc>
      </w:tr>
      <w:tr>
        <w:trPr>
          <w:trHeight w:val="223"/>
        </w:trPr>
        <w:tc>
          <w:tcPr>
            <w:tcW w:w="5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889,722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994,644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2,751,888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2,721,439</w:t>
            </w: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1,048,897</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136,187</w:t>
            </w: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354,709</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310,871</w:t>
            </w: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574,669</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545,538</w:t>
            </w:r>
          </w:p>
        </w:tc>
      </w:tr>
      <w:tr>
        <w:trPr>
          <w:trHeight w:val="229"/>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26,569</w:t>
            </w:r>
          </w:p>
        </w:tc>
      </w:tr>
      <w:tr>
        <w:trPr>
          <w:trHeight w:val="223"/>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1,078,308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2,951,772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3,010,356</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(199,884)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(288,917)</w:t>
            </w: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(453,601)</w:t>
            </w: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30"/>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(17,324)</w:t>
            </w:r>
          </w:p>
        </w:tc>
      </w:tr>
      <w:tr>
        <w:trPr>
          <w:trHeight w:val="223"/>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(472,691)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(464,297)</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(672,575)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(753,214)</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(675,823)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(755,559)</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219,556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176,963</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(166,249)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(456,267)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(578,596)</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5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113,420</w:t>
            </w:r>
          </w:p>
        </w:tc>
      </w:tr>
      <w:tr>
        <w:trPr>
          <w:trHeight w:val="230"/>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113,420</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(755,559)</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(669,610)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(754,680)</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176,599</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Wynn Resorts, Limited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(168,423)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(451,883)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(578,081)</w:t>
            </w:r>
          </w:p>
        </w:tc>
      </w:tr>
      <w:tr>
        <w:trPr>
          <w:trHeight w:val="21"/>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2022</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July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113,707,642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(1,585,678)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3,566,498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(2,601,331)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(609,362)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(764,892)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(1,374,254)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(207,791)</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(497,062)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(29,319)</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(4,982)</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Subsidiary equity issuance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16,233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16,234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18,651</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113,373,330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(1,614,997)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3,584,357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10,388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(2,744,222)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(763,153)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(833,810)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(1,596,963)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4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2021</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July 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115,683,983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(1,427,094)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3,466,908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(1,944,668)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102,752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(456,591)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(353,839)</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(245,983)</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(2,863)</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22"/>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(6,441)</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18,852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18,852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21,875</w:t>
            </w:r>
          </w:p>
        </w:tc>
        <w:tc>
          <w:tcPr>
            <w:tcW w:w="0" w:type="dxa"/>
            <w:vAlign w:val="bottom"/>
          </w:tcPr>
          <w:p>
            <w:pPr>
              <w:spacing w:after="0"/>
              <w:rPr>
                <w:sz w:val="1"/>
                <w:szCs w:val="1"/>
                <w:color w:val="auto"/>
              </w:rPr>
            </w:pPr>
          </w:p>
        </w:tc>
      </w:tr>
      <w:tr>
        <w:trPr>
          <w:trHeight w:val="200"/>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115,658,818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(1,433,535)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3,485,759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(2,110,895)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(53,238)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(539,351)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(592,589)</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2022</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115,714,943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(1,436,373)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3,502,715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(2,288,078)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(214,418)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(621,797)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(836,215)</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(456,267)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(456,267)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(675,823)</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6,213</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763,660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9,280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9,288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9,288</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(3,019,099)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(178,624)</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(21,505)</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 from noncontrolling interest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50,033</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Subsidiary equity issuance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38,925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39,048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46,774</w:t>
            </w:r>
          </w:p>
        </w:tc>
        <w:tc>
          <w:tcPr>
            <w:tcW w:w="0" w:type="dxa"/>
            <w:vAlign w:val="bottom"/>
          </w:tcPr>
          <w:p>
            <w:pPr>
              <w:spacing w:after="0"/>
              <w:rPr>
                <w:sz w:val="1"/>
                <w:szCs w:val="1"/>
                <w:color w:val="auto"/>
              </w:rPr>
            </w:pPr>
          </w:p>
        </w:tc>
      </w:tr>
      <w:tr>
        <w:trPr>
          <w:trHeight w:val="200"/>
        </w:trPr>
        <w:tc>
          <w:tcPr>
            <w:tcW w:w="2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113,373,330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(1,614,997)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3,584,357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(2,744,222)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(763,153)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(833,810)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(1,596,963)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2021</w:t>
            </w: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6"/>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2021</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107,888,336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(1,422,531)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2,598,115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(1,532,420)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(351,997)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(385,320)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(737,317)</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(578,596)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(578,596)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(755,559)</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0" w:type="dxa"/>
            <w:vAlign w:val="bottom"/>
          </w:tcPr>
          <w:p>
            <w:pPr>
              <w:spacing w:after="0"/>
              <w:rPr>
                <w:sz w:val="1"/>
                <w:szCs w:val="1"/>
                <w:color w:val="auto"/>
              </w:rPr>
            </w:pPr>
          </w:p>
        </w:tc>
      </w:tr>
      <w:tr>
        <w:trPr>
          <w:trHeight w:val="122"/>
        </w:trPr>
        <w:tc>
          <w:tcPr>
            <w:tcW w:w="2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net of $17.7</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million underwriter discounts, commissions</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other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7,475,000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841,821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841,896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841,896</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428,406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6,272</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27"/>
        </w:trPr>
        <w:tc>
          <w:tcPr>
            <w:tcW w:w="2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(11,004)</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(11,843)</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Subsidiary equity issuance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5,160</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60,136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60,136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68,787</w:t>
            </w:r>
          </w:p>
        </w:tc>
        <w:tc>
          <w:tcPr>
            <w:tcW w:w="0" w:type="dxa"/>
            <w:vAlign w:val="bottom"/>
          </w:tcPr>
          <w:p>
            <w:pPr>
              <w:spacing w:after="0"/>
              <w:rPr>
                <w:sz w:val="1"/>
                <w:szCs w:val="1"/>
                <w:color w:val="auto"/>
              </w:rPr>
            </w:pPr>
          </w:p>
        </w:tc>
      </w:tr>
      <w:tr>
        <w:trPr>
          <w:trHeight w:val="195"/>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115,658,818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(1,433,535)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3,485,759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(2,110,895)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(53,238)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(539,351)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(592,589)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(675,823)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(755,559)</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545,538</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43,893</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(29,729)</w:t>
            </w: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(38,377)</w:t>
            </w: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(178,959)</w:t>
            </w:r>
          </w:p>
        </w:tc>
      </w:tr>
      <w:tr>
        <w:trPr>
          <w:trHeight w:val="213"/>
        </w:trPr>
        <w:tc>
          <w:tcPr>
            <w:tcW w:w="7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(141,050)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99,000</w:t>
            </w:r>
          </w:p>
        </w:tc>
      </w:tr>
      <w:tr>
        <w:trPr>
          <w:trHeight w:val="212"/>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(153,038)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(216,832)</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(213,088)</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(283,685)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(229,140)</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1,141,026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(2,477,690)</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Wynn Resorts, Limited common stock</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841,896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subsidiary common stock</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additional interest in joint venture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 to noncontrolling interest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payments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(11,709)</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(29,975)</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9,441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(555,569)</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(1,689)</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Decrease in cash, cash equivalents and restricted cash</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(428,401)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(1,003,230)</w:t>
            </w:r>
          </w:p>
        </w:tc>
      </w:tr>
      <w:tr>
        <w:trPr>
          <w:trHeight w:val="214"/>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2,531,067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3,486,384</w:t>
            </w:r>
          </w:p>
        </w:tc>
      </w:tr>
      <w:tr>
        <w:trPr>
          <w:trHeight w:val="234"/>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2,102,666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2,483,154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7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437,760</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426,462</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Liability settled with shares of common stock</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 related to property and equipment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70,844</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 related to intangible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12,335</w:t>
            </w:r>
          </w:p>
        </w:tc>
      </w:tr>
      <w:tr>
        <w:trPr>
          <w:trHeight w:val="21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liabilities arising from obtaining finance lease assets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Macau Special Administrative Region ("Macau") of the People's Republic of China ("PRC"),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owns 100% of and operates Encore Boston Harbor, an integrated resort. The Company also holds an approximately 85% interest in, and consolidates, Wynn Interactive Ltd. ("Wynn Interactive"), through which it operates online sports betting, gaming, and social casino businesses.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Related to COVID-19</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41"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and mandatory quarantine, among other things, and the suspension or reduced accessibility of transportation to and from Macau. Although there have been periods during which certain restrictions and conditions were eased by the Macau government to allow for greater visitation and quarantine-free travel to Macau, adverse and evolving conditions created by and in response to the COVID-19 pandemic may cause these restrictions and conditions to be reintroduced. For example, in response to an outbreak in Macau which initially commenced in mid-June 2022, the Macau government extended its COVID-19 containment measures, which included the closures of gaming operations in full as of July 11, 2022, and the closure and the limiting of the opening hours and/or operational capacity of various areas and facilities in Macau. On July 23, 2022, gaming operations at Wynn Palace and Wynn Macau resumed on a limited basis. Certain travel-related restrictions and conditions, which continue to reduce visitation and impact our financial results, remain in effect at the present time. Given the uncertainty around the extent and timing of the potential future spread or mitigation of COVID-19 and around the imposition or relaxation of containment measures, management cannot predict whether future closures, in full or in part, will occur in our properties, and cannot reasonably estimate the impact to the Company's future results of operations, cash flows, or financial condition.</w:t>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COVID-19 pandemic has materially impacted and is likely to continue to materially impact our business, financial condition and results of operations. As of September 30, 2022, the Company had total cash and cash equivalents, excluding restricted cash, of $1.94 billion, and $835.6 million of available borrowing capacity under the WRF Revolver. As of September 30, 2022, the WM Cayman II Revolver was fully drawn. As a result of the negative impact the COVID-19 pandemic has had, and will likely continue to have, on our operating income, the Company has suspended its dividend program for the foreseeable future. Given the Company's liquidity position as of September 30, 2022, the Company believes it will be able to support continuing operations and respond to the continuing impact of the COVID-19 pandemic and related economic disruptions.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23, 2022, Wynn Resorts (Macau) S.A. ("WRM") and the Macau government entered into a concession extension agreement (the "Concession Extension Agreement"), pursuant to which the expiration date of WRM's gaming concession was extended from June 26, 2022 to Decem</w:t>
      </w:r>
      <w:r>
        <w:rPr>
          <w:rFonts w:ascii="Times New Roman" w:cs="Times New Roman" w:eastAsia="Times New Roman" w:hAnsi="Times New Roman"/>
          <w:sz w:val="18"/>
          <w:szCs w:val="18"/>
          <w:color w:val="231E1F"/>
        </w:rPr>
        <w:t>ber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E1F"/>
        </w:rPr>
        <w:t>Under the Concession Extension Agreement, WRM paid the Macau government MOP47.0 million (approximately $6.0 million) as a contract premium for the extension, and in September 2022 provided a first demand bank guarantee of MOP1,210.0 million (approximately $149.7 million) in favor of the Macau government for securing the fulfillment of its labor liabilities upon the expiration of the Concession Extension Agreement.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E1F"/>
        </w:rPr>
        <w:t>In order to enable WRM to fulfill the relevant requirements to become eligible to obtain a concession extension, each of WRM and Palo Real Estate Company Limited ("Palo") (the land concessionaires of Wynn Macau and Wynn Palace, respectively) entered into a letter of undertaking, pursuant to which each of WRM and Palo has undertaken, pursuant to Article 40 of the Macau gaming law and Clause 43 of the concession agreement, to revert to the Macau government relevant gaming equipment and gaming areas at Wynn Macau and Wynn Palace, without compensation and free of encumbrance upon the expiration of the concession agreement term, as amended by the Concession Extension Agreement.</w:t>
      </w:r>
    </w:p>
    <w:p>
      <w:pPr>
        <w:spacing w:after="0" w:line="21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E1F"/>
        </w:rPr>
        <w:t>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and scope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2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E1F"/>
        </w:rPr>
        <w:t xml:space="preserve">In June 2022, the Macau government published amendments to the Macau gaming law approved by the Macau Legislative Assembly. These amendments include, for example, the awarding of up to six gaming concessions with a term up to ten years with a maximum three-year extension possible, and an increase in the minimum capital requirement applicable to concession holders to MOP5.0 billion (approximately $625.0 million), an increase in the percentage of the share capital of the concessionaire that must be held by the local managing director to 15% from 10% and a prohibition on revenue sharing arrangements between gaming promoters and concession holders. </w:t>
      </w:r>
      <w:r>
        <w:rPr>
          <w:rFonts w:ascii="Times New Roman" w:cs="Times New Roman" w:eastAsia="Times New Roman" w:hAnsi="Times New Roman"/>
          <w:sz w:val="18"/>
          <w:szCs w:val="18"/>
          <w:color w:val="000000"/>
        </w:rPr>
        <w:t>On July 27, 2022, the Macau government officially launched the public tender</w:t>
      </w:r>
      <w:r>
        <w:rPr>
          <w:rFonts w:ascii="Times New Roman" w:cs="Times New Roman" w:eastAsia="Times New Roman" w:hAnsi="Times New Roman"/>
          <w:sz w:val="18"/>
          <w:szCs w:val="18"/>
          <w:color w:val="231E1F"/>
        </w:rPr>
        <w:t xml:space="preserve"> </w:t>
      </w:r>
      <w:r>
        <w:rPr>
          <w:rFonts w:ascii="Times New Roman" w:cs="Times New Roman" w:eastAsia="Times New Roman" w:hAnsi="Times New Roman"/>
          <w:sz w:val="18"/>
          <w:szCs w:val="18"/>
          <w:color w:val="000000"/>
        </w:rPr>
        <w:t xml:space="preserve">process for the awarding of concessions for the operation of games of chance or other games in casinos. On September 13, 2022, WRM submitted its tender to the Macau government. </w:t>
      </w:r>
      <w:r>
        <w:rPr>
          <w:rFonts w:ascii="Times New Roman" w:cs="Times New Roman" w:eastAsia="Times New Roman" w:hAnsi="Times New Roman"/>
          <w:sz w:val="18"/>
          <w:szCs w:val="18"/>
          <w:color w:val="231E1F"/>
        </w:rPr>
        <w:t>At this time the Company believes that its concession agreement will be further extended, renewed or replaced by a new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E1F"/>
        </w:rPr>
        <w:t>gaming concession agreement beyond December 31, 2022. However, it is possible the Macau government could further change or interpret the associated gaming laws in a manner that could negatively impact the Company.</w:t>
      </w:r>
    </w:p>
    <w:p>
      <w:pPr>
        <w:spacing w:after="0" w:line="2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E1F"/>
        </w:rPr>
        <w:t>If the Company is unable to further extend or renew its concession agreement or obtain a new gaming concession agreement, an election by the WML Senior Notes holders to exercise the Special Put Option and the triggering of the Property Mandatory Prepayment Event would have a material adverse effect on the Company’s business, financial condition, results of operations, and cash flows.</w:t>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tab/>
        <w:t>Basis of Presentation and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2022 are not necessarily indicative of results to be expected for any other interim period or the full fiscal year ending December 31, 2022. These condensed consolidated financial statements should be read in conjunction with the consolidated financial statements and notes thereto in the Company's Annual Report on Form 10-K for the year ended December 31,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17, "Retail Joint Venture." All significant intercompany accounts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the cost of long-lived assets, fair value estimates of intangible assets and their estimated useful lives, and litigation and contingency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$105.2 million and $188.7 million for the three months ended September 30, 2022 and 2021, respectively, and $388.4 million and $637.9 million for the nine months ended September 30,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("ASU 2020-04"). ASU 2020-04 provides optional expedients and exceptions for applying GAAP to contracts, hedging relationships, and other transactions affected by reference rate reform if certain criteria are met. In response to the concerns about structural risks of interbank offered rates and, particularly, the planned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must be adopted no later than December 1, 2022 with early adoption permitted. We plan to apply this guidance to applicable contracts and instruments if, and when, they are modified. Adoption of the new guidance is not expected to have a material effect on the Company's consolidated financial statements.</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Cash, Cash Equivalents and Restricted Cash</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14"/>
                <w:szCs w:val="14"/>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1,239,629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2,021,553</w:t>
            </w:r>
          </w:p>
        </w:tc>
      </w:tr>
      <w:tr>
        <w:trPr>
          <w:trHeight w:val="243"/>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4"/>
                <w:szCs w:val="14"/>
                <w:color w:val="auto"/>
              </w:rPr>
              <w:t>(2)</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703,876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500,977</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1,943,505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2,522,530</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14"/>
                <w:szCs w:val="14"/>
                <w:color w:val="auto"/>
              </w:rPr>
              <w:t>(3)</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159,161</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2,102,666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2,531,067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-5080</wp:posOffset>
            </wp:positionV>
            <wp:extent cx="2082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220" w:hanging="194"/>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3" w:lineRule="exact"/>
        <w:rPr>
          <w:rFonts w:ascii="Times New Roman" w:cs="Times New Roman" w:eastAsia="Times New Roman" w:hAnsi="Times New Roman"/>
          <w:sz w:val="14"/>
          <w:szCs w:val="14"/>
          <w:color w:val="auto"/>
        </w:rPr>
      </w:pPr>
    </w:p>
    <w:p>
      <w:pPr>
        <w:ind w:left="220" w:hanging="194"/>
        <w:spacing w:after="0" w:line="201" w:lineRule="auto"/>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and money market funds.</w:t>
      </w:r>
    </w:p>
    <w:p>
      <w:pPr>
        <w:ind w:left="240" w:hanging="214"/>
        <w:spacing w:after="0" w:line="221" w:lineRule="auto"/>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cash held in a trust in accordance with WML's share award plan,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-269240</wp:posOffset>
            </wp:positionV>
            <wp:extent cx="2082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ind w:left="180" w:right="20"/>
        <w:spacing w:after="0" w:line="239" w:lineRule="auto"/>
        <w:rPr>
          <w:sz w:val="20"/>
          <w:szCs w:val="20"/>
          <w:color w:val="auto"/>
        </w:rPr>
      </w:pPr>
      <w:r>
        <w:rPr>
          <w:rFonts w:ascii="Times New Roman" w:cs="Times New Roman" w:eastAsia="Times New Roman" w:hAnsi="Times New Roman"/>
          <w:sz w:val="14"/>
          <w:szCs w:val="14"/>
          <w:color w:val="auto"/>
        </w:rPr>
        <w:t>of September 30, 2022 includes $149.7 million in the form of a bank guarantee in favor of the Macau government for securing the fulfillment of its labor liabilities upon the expiration of the Concession Extension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tab/>
        <w:t>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199,030</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36,749</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310,782</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r>
      <w:tr>
        <w:trPr>
          <w:trHeight w:val="223"/>
        </w:trPr>
        <w:tc>
          <w:tcPr>
            <w:tcW w:w="79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210,032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199,463</w:t>
            </w: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approximately 65.6% and 70.3%,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allowance for casino credit losses was 41.7% and 53.7% of gross casino receivables as of September 30, 2022 and December 31, 2021,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0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periods presented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100,329</w:t>
            </w:r>
          </w:p>
        </w:tc>
        <w:tc>
          <w:tcPr>
            <w:tcW w:w="0" w:type="dxa"/>
            <w:vAlign w:val="bottom"/>
          </w:tcPr>
          <w:p>
            <w:pPr>
              <w:spacing w:after="0"/>
              <w:rPr>
                <w:sz w:val="1"/>
                <w:szCs w:val="1"/>
                <w:color w:val="auto"/>
              </w:rPr>
            </w:pP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0" w:type="dxa"/>
            <w:vAlign w:val="bottom"/>
          </w:tcPr>
          <w:p>
            <w:pPr>
              <w:spacing w:after="0"/>
              <w:rPr>
                <w:sz w:val="1"/>
                <w:szCs w:val="1"/>
                <w:color w:val="auto"/>
              </w:rPr>
            </w:pPr>
          </w:p>
        </w:tc>
      </w:tr>
      <w:tr>
        <w:trPr>
          <w:trHeight w:val="229"/>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 off</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81,208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94,309</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9,833,144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9,785,514</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1,278,010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3,067,793</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224,521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250,378</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14,577,252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14,492,318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(6,078,438)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(5,727,010)</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8,498,814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8,765,308</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construction in progress consisted primarily of costs capitalized for various capital enhancements at the Company's properties, including reconfiguring the theater space at Wynn Las Vegas to host an all-new,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which premiered in November 2022. As of December 31, 2021, construction in progress consisted primarily of costs capitalized for various capital enhancements at the Company's properties, including the Wynn Las Vegas room remodel, which was placed in service during the second quarter of 2022.</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2022 and 2021 was $161.7 million and $169.7 million, respectively, and depreciation expense for the nine months ended September 30, 2022 and 2021 was $492.1 million and $523.6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 Real Estate Sale and Leaseback</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February 14, 2022, Wynn MA, LLC, the owner and operator of Encore Boston Harbor and an indirect, wholly owned subsidiary of WRL (“Wynn MA”), entered into a sale-leaseback arrangement with respect to certain real estate assets related to Encore Boston Harbor. Upon closing of the related transactions, which is currently expected to take place in the fourth quarter of 2022 subject to the receipt of required regulatory approvals and customary closing conditions, the Company expects to receive cash consideration of approximately $1.7 billion in exchange for the sale of such real estate assets to an unrelated third party, and to concurrently enter into a master lease agreement whereby Wynn MA and certain of its affiliates will lease such real estate assets for the purpose of continuing to operate the Encore Boston Harbor property. The master lease agreement provides for an initial annual rent of $100.0 million for a term of 30 years with one 30-year renewal option, subject to certain annual rent escalations. The Company expects to use the cash proceeds from the sale of the real estate assets for general corporate purposes, which may include the repayment of certain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tab/>
        <w:t>Goodwill and Intangible Assets, net</w:t>
      </w:r>
    </w:p>
    <w:p>
      <w:pPr>
        <w:spacing w:after="0" w:line="25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shows the movement in the Company's goodwill and intangible assets balances that occurred during the periods presented (in thousands):</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Macau gaming concession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42,300</w:t>
            </w:r>
          </w:p>
        </w:tc>
      </w:tr>
      <w:tr>
        <w:trPr>
          <w:trHeight w:val="23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r>
      <w:tr>
        <w:trPr>
          <w:trHeight w:val="270"/>
        </w:trPr>
        <w:tc>
          <w:tcPr>
            <w:tcW w:w="7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97,909</w:t>
            </w:r>
          </w:p>
        </w:tc>
      </w:tr>
      <w:tr>
        <w:trPr>
          <w:trHeight w:val="270"/>
        </w:trPr>
        <w:tc>
          <w:tcPr>
            <w:tcW w:w="7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finite-lived intangible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76,317</w:t>
            </w: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r>
      <w:tr>
        <w:trPr>
          <w:trHeight w:val="270"/>
        </w:trPr>
        <w:tc>
          <w:tcPr>
            <w:tcW w:w="79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223"/>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151,985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169,443</w:t>
            </w:r>
          </w:p>
        </w:tc>
      </w:tr>
      <w:tr>
        <w:trPr>
          <w:trHeight w:val="250"/>
        </w:trPr>
        <w:tc>
          <w:tcPr>
            <w:tcW w:w="7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rights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23"/>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r>
      <w:tr>
        <w:trPr>
          <w:trHeight w:val="250"/>
        </w:trPr>
        <w:tc>
          <w:tcPr>
            <w:tcW w:w="7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144,095</w:t>
            </w:r>
          </w:p>
        </w:tc>
      </w:tr>
      <w:tr>
        <w:trPr>
          <w:trHeight w:val="230"/>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3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r>
      <w:tr>
        <w:trPr>
          <w:trHeight w:val="223"/>
        </w:trPr>
        <w:tc>
          <w:tcPr>
            <w:tcW w:w="7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129,738</w:t>
            </w:r>
          </w:p>
        </w:tc>
      </w:tr>
      <w:tr>
        <w:trPr>
          <w:trHeight w:val="250"/>
        </w:trPr>
        <w:tc>
          <w:tcPr>
            <w:tcW w:w="79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 and intangible assets,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250,901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307,578</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finite-lived intangible asset pertaining to the Company's original Macau gaming concession was acquired in 2004 and was amortized over the 20 year life of the original concession, which expired on June 26, 2022. On June 23, 2022, a Concession Extension Agreement was entered into between the Macau Government and WRM, pursuant to which the gaming concession of WRM has been extended from June 26, 2022 to December 31, 2022, in exchange for a payment to the Macau government equivalent to $6.0 million. The Company expects that amortization of the Macau gaming concession will be $3.0 million for the fourth quarter of 2022.</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Massachusetts gaming license is a finite-lived intangible asset that is being amortized over the 15 year life of the license. The Company expects that amortization of the Massachusetts gaming license will be $2.0 million for the fourth quarter of 2022, $7.8 million each year from 2023 through 2033, and $3.8 million in 2034.</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as a result of management's decision to cease the operations of Betbull Limited ("BetBull"), a subsidiary of Wynn Interactive, the Company impaired its trademark and customer list totaling $10.3 million and impaired the remaining balance of goodwill related to the BetBull reporting unit totaling $7.5 million.</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as a result of changes in forecasts and other industry-specific factors, the Company identified interim indicators of impairment related to the goodwill assigned to the reporting units comprising Wynn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Interactive. After revisiting the estimated fair value of those reporting units based on a combination of the income and market approaches, the Company recognized impairment of $30.3 million. Impairment of goodwill and intangible assets is recorded in Property charges and other in the accompanying Condensed Consolidated Statements of Operations.</w:t>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7 -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WM Cayman II Revolver, due 2025 </w:t>
            </w:r>
            <w:r>
              <w:rPr>
                <w:rFonts w:ascii="Times New Roman" w:cs="Times New Roman" w:eastAsia="Times New Roman" w:hAnsi="Times New Roman"/>
                <w:sz w:val="14"/>
                <w:szCs w:val="14"/>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1,492,465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1,287,766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4 7/8% Senior Notes, due 2024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57"/>
        </w:trPr>
        <w:tc>
          <w:tcPr>
            <w:tcW w:w="7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WRF Credit Facilities </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4"/>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2024</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4 1/4% Senior Notes, due 2023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3/4% Senior Notes, due 2025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Retail Term Loan, due 2025 </w:t>
            </w:r>
            <w:r>
              <w:rPr>
                <w:rFonts w:ascii="Times New Roman" w:cs="Times New Roman" w:eastAsia="Times New Roman" w:hAnsi="Times New Roman"/>
                <w:sz w:val="14"/>
                <w:szCs w:val="14"/>
                <w:color w:val="auto"/>
              </w:rPr>
              <w:t>(3)</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12,167,465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12,000,266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(65,720)</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12,116,516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11,934,546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11,570,438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11,884,546</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61" w:lineRule="auto"/>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borrowings under the WM Cayman II Revolver bear interest at LIBOR or HIBOR plus a margin of 1.875% to 2.875% per annum based on WM Cayman II’s leverage ratio on a consolidated basis, subject to a floor on the interest rate margin of 2.625% per annum through June 30, 2023. Approximately $312.5 million and $1.18 billion of the WM Cayman II Revolver bears interest at a rate of LIBOR plus 2.875% per year and HIBOR plus 2.875% per year, respectively. As of September 30, 2022, the weighted average interest rate was approximately 5.51%. As of September 30, 2022, the WM Cayman II Revolver was fully drawn.</w:t>
      </w:r>
    </w:p>
    <w:p>
      <w:pPr>
        <w:ind w:left="260" w:hanging="252"/>
        <w:spacing w:after="0" w:line="261" w:lineRule="auto"/>
        <w:tabs>
          <w:tab w:leader="none" w:pos="22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LIBOR plus 1.75% per year. As of September 30, 2022, the weighted average interest rate was approximately 4.87%. Additionally, as of September 30, 2022, the available borrowing capacity under the WRF Revolver was $835.6 million, net of $14.4 million in outstanding letters of credit.</w:t>
      </w: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LIBOR plus 1.70% per year. As of September 30, 2022, the interest rate was 4.26%.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Cayman II Revolver Amendment</w:t>
      </w:r>
    </w:p>
    <w:p>
      <w:pPr>
        <w:spacing w:after="0" w:line="2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management believes the Company was in compliance with all debt covenants.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September 30, 2022 and December 31, 2021, was approximately $10.37 billion and $11.72 billion, respectively, compared to its carrying value, excluding debt issuance costs and original issue discount and premium, of $12.17 billion and $12.00 billion, respectively. The estimated fair value of the Company's long-term debt is based on recent trades, if available, and indicative pricing from market information (Level 2 inputs).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April 2016, the Company's Board of Directors authorized an equity repurchase program of up to $1.0 billion, which may include repurchases by the Company of its common stock from time to time through open market purchases, privately negotiated transactions, and under plans complying with Rules 10b5-1 and 10b-18 under the Securities Exchange Act of 1934, as amended. During the three and nine months ended September 30, 2022, the Company repurchased 491,503 and 2,873,431 shares of its common stock, respectively, at average prices of $58.95 and $57.91 per share, respectively, for an aggregate cost of $29.0 million and $166.4 million, respectively, under the equity repurchase program. Any shares repurchased pursuant to the equity repurchase program are held as treasury shares. During the three and nine months ended September 30, 2021, no repurchases were made under the equity repurchase program. As of September 30, 2022, the Company had $633.7 million in repurchase authority remaining under the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and commissions. The Company used the net proceeds from this equity offering for general corporate purposes, including the repayment of debt.</w:t>
      </w:r>
    </w:p>
    <w:p>
      <w:pPr>
        <w:spacing w:after="0" w:line="201"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7"/>
          <w:szCs w:val="17"/>
          <w:i w:val="1"/>
          <w:iCs w:val="1"/>
          <w:color w:val="auto"/>
        </w:rPr>
        <w:t>Noncontrolling Interests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Retail Joint Venture made aggregate distributions of approximately $21.5 million and $11.8 million, respectively, to its non-controlling interest holder. For more information on the Retail Joint Venture, see Note 17, "Retail Joint Venture".</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in exchange for cash consideration of $50.0 million, the Company sold to Crown Acquisitions Inc. ("Crown") a 49.9% interest in certain additional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Condensed Consolidated Statement of Stockholders' Deficit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6"/>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703,875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703,875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7"/>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500,977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500,977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Customer Contract Liabilities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Increase /</w:t>
            </w:r>
          </w:p>
        </w:tc>
      </w:tr>
      <w:tr>
        <w:trPr>
          <w:trHeight w:val="195"/>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0"/>
        </w:trPr>
        <w:tc>
          <w:tcPr>
            <w:tcW w:w="37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Casino outstanding chips and front money</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14"/>
                <w:szCs w:val="14"/>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(216,021)</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Advance room deposits and ticket sales </w:t>
            </w:r>
            <w:r>
              <w:rPr>
                <w:rFonts w:ascii="Times New Roman" w:cs="Times New Roman" w:eastAsia="Times New Roman" w:hAnsi="Times New Roman"/>
                <w:sz w:val="14"/>
                <w:szCs w:val="14"/>
                <w:color w:val="auto"/>
              </w:rPr>
              <w:t>(2)</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w:t>
            </w: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gaming-related liabilities </w:t>
            </w: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r>
      <w:tr>
        <w:trPr>
          <w:trHeight w:val="24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Loyalty program and related liabilities </w:t>
            </w:r>
            <w:r>
              <w:rPr>
                <w:rFonts w:ascii="Times New Roman" w:cs="Times New Roman" w:eastAsia="Times New Roman" w:hAnsi="Times New Roman"/>
                <w:sz w:val="14"/>
                <w:szCs w:val="14"/>
                <w:color w:val="auto"/>
              </w:rPr>
              <w:t>(4)</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10,704</w:t>
            </w:r>
          </w:p>
        </w:tc>
      </w:tr>
      <w:tr>
        <w:trPr>
          <w:trHeight w:val="248"/>
        </w:trPr>
        <w:tc>
          <w:tcPr>
            <w:tcW w:w="3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498,092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(158,213)</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61" w:lineRule="auto"/>
        <w:tabs>
          <w:tab w:leader="none" w:pos="22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jc w:val="both"/>
        <w:ind w:left="260" w:hanging="252"/>
        <w:spacing w:after="0" w:line="256" w:lineRule="auto"/>
        <w:tabs>
          <w:tab w:leader="none" w:pos="23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 w:lineRule="exact"/>
        <w:rPr>
          <w:rFonts w:ascii="Times New Roman" w:cs="Times New Roman" w:eastAsia="Times New Roman" w:hAnsi="Times New Roman"/>
          <w:sz w:val="14"/>
          <w:szCs w:val="14"/>
          <w:color w:val="auto"/>
        </w:rPr>
      </w:pPr>
    </w:p>
    <w:p>
      <w:pPr>
        <w:ind w:left="260" w:hanging="252"/>
        <w:spacing w:after="0" w:line="259" w:lineRule="auto"/>
        <w:tabs>
          <w:tab w:leader="none" w:pos="22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83" w:lineRule="auto"/>
        <w:tabs>
          <w:tab w:leader="none" w:pos="22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75,033</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20,968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79,304</w:t>
            </w: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of $1.4 million and $1.2 million for the three months ended September 30, 2022 and 2021, respectively and an income tax expense of $3.2 million and $2.3 million for the nine months ended September 30, 2022 and 2021, respectively. Income tax expense in 2022 primarily related to changes in U.S. deferred taxes. Income tax expense in 2021 primarily related to the Macau dividend tax agreement that provides for an annual payment as complementary tax otherwise due by stockholders of WRM.</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March 2021, the Company received an extension of its Macau dividend tax agreement, providing for a payment of MOP12.8 million (approximately $1.6 million) for 2021 and MOP6.3 million (approximately $0.8 million) for the period ended June 26, 2022.</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records valuation allowances on certain of its U.S. and foreign deferred tax assets. The Company continues to rely solely on the reversal of net taxable temporary differences in assessing a need for a valuation allowance.</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April 2020, WRM received an extension of the exemption from Macau’s 12% Complementary Tax on casino gaming profits earned from January 1, 2021 to June 26, 2022. In September 2022, WRM received an extension of the exemption from the Complementary Tax on casino gaming profits through December 31, 2022.</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gaming concession agreement.</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March 2021, the Financial Services Bureau concluded its review of the 2017 and 2018 Macau income tax returns of Palo Real Estate Company Limited, a subsidiary of WRM, with no changes. In January 2022, the Financial Services Bureau issued final tax assessments for WRM for the year 2017 and 2018, and no additional tax was due. In October 2022, the Financial Services Bureau issued final tax assessments for Palo’s 2019 and 2020 Macau Complementary Tax returns, and no additional tax was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loss attributable to Wynn Resorts by the weighted average number of common shares outstanding during the period. Diluted EPS is computed by dividing net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(166,249)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(456,267)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(578,596)</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113,420</w:t>
            </w:r>
          </w:p>
        </w:tc>
        <w:tc>
          <w:tcPr>
            <w:tcW w:w="0" w:type="dxa"/>
            <w:vAlign w:val="bottom"/>
          </w:tcPr>
          <w:p>
            <w:pPr>
              <w:spacing w:after="0"/>
              <w:rPr>
                <w:sz w:val="1"/>
                <w:szCs w:val="1"/>
                <w:color w:val="auto"/>
              </w:rPr>
            </w:pPr>
          </w:p>
        </w:tc>
      </w:tr>
      <w:tr>
        <w:trPr>
          <w:trHeight w:val="176"/>
        </w:trPr>
        <w:tc>
          <w:tcPr>
            <w:tcW w:w="5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Potential dilutive effect of stock options, nonvested, and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nonvested shares</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24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b w:val="1"/>
                <w:bCs w:val="1"/>
                <w:color w:val="auto"/>
              </w:rPr>
              <w:t>Weighted average common and common equivalent shares</w:t>
            </w: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112,709</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114,655</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114,061</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113,420</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loss attributable to Wynn Resorts, Limited per common share,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Times New Roman" w:cs="Times New Roman" w:eastAsia="Times New Roman" w:hAnsi="Times New Roman"/>
                <w:sz w:val="18"/>
                <w:szCs w:val="18"/>
                <w:color w:val="auto"/>
              </w:rPr>
              <w:t>Net loss attributable to Wynn Resorts, Limited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vMerge w:val="continue"/>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1"/>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excluded from the calculation of diluted net income per share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75,676</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75,464</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151,140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Purchase</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2022, Linda Chen, President and Executive Director of WRM exercised an option to purchase a home provided by the Company for her use for no consideration, as provided by the terms of her employment agreement. Based on a third-party appraisal as of the date of option exercise, the estimated fair value of the home is $6.4 million. The home purchase closed during the third quarter of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Litigation Related to Dore</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WRM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WRM, as a gaming concessionaire, should be held responsible for Dore’s conduct on the basis that WRM is responsible for the supervision of Dore’s activities at Wynn Macau that resulted in the purported losses.</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these cases are without merit and unfounded and intends to vigorously defend against the remaining claims pleaded against WRM in these lawsuits. The Company has made estimates for potential litigation costs based upon its assessment of the likely outcome and has recorded provisions for such amounts in the accompanying condensed consolidated financial statements. No assurances can be provided as to the outcome of the pending Dore cases, and actual results may differ from these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Mr. Billings and the individual directors, and allowing other claims to proceed against the Company and several of the Company's former executive officers, including Mr. Maddox, Stephen A. Wynn, Kimmarie Sinatra, and Steven Cootey.</w:t>
      </w:r>
    </w:p>
    <w:p>
      <w:pPr>
        <w:spacing w:after="0" w:line="2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defendants in this action intend to vigorously defend against the claims pleaded against them. This action is in the preliminary stages and management has determined that based on proceedings to date, it is currently unable to determine the probability of the outcome of these actions or reasonably estimate the range of possible loss, if 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Investigation</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Retail Joint Venture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the Retail Joint Venture had total assets of $103.6 million and $98.0 million, respectively, and total liabilities of $620.1 million and $624.4 million, respectively. As of September 30, 2022 and December 31, 2021, the Retail Joint Venture's liabilities included long-term debt of $613.3 million and $612.9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532,040</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53,534</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36,429</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67,017</w:t>
            </w:r>
          </w:p>
        </w:tc>
      </w:tr>
      <w:tr>
        <w:trPr>
          <w:trHeight w:val="223"/>
        </w:trPr>
        <w:tc>
          <w:tcPr>
            <w:tcW w:w="5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689,020</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379,610</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39,025</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52,086</w:t>
            </w:r>
          </w:p>
        </w:tc>
      </w:tr>
      <w:tr>
        <w:trPr>
          <w:trHeight w:val="223"/>
        </w:trPr>
        <w:tc>
          <w:tcPr>
            <w:tcW w:w="5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130,662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234,051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494,341</w:t>
            </w:r>
          </w:p>
        </w:tc>
      </w:tr>
      <w:tr>
        <w:trPr>
          <w:trHeight w:val="223"/>
        </w:trPr>
        <w:tc>
          <w:tcPr>
            <w:tcW w:w="5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311,985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531,275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1,183,361</w:t>
            </w:r>
          </w:p>
        </w:tc>
      </w:tr>
      <w:tr>
        <w:trPr>
          <w:trHeight w:val="250"/>
        </w:trPr>
        <w:tc>
          <w:tcPr>
            <w:tcW w:w="5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305,253</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266,250</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333,390</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104,892</w:t>
            </w:r>
          </w:p>
        </w:tc>
      </w:tr>
      <w:tr>
        <w:trPr>
          <w:trHeight w:val="223"/>
        </w:trPr>
        <w:tc>
          <w:tcPr>
            <w:tcW w:w="52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Las Vegas Operations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544,389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476,003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1,546,644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1,009,785</w:t>
            </w:r>
          </w:p>
        </w:tc>
      </w:tr>
      <w:tr>
        <w:trPr>
          <w:trHeight w:val="250"/>
        </w:trPr>
        <w:tc>
          <w:tcPr>
            <w:tcW w:w="5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398,325</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28,963</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18,544</w:t>
            </w:r>
          </w:p>
        </w:tc>
      </w:tr>
      <w:tr>
        <w:trPr>
          <w:trHeight w:val="223"/>
        </w:trPr>
        <w:tc>
          <w:tcPr>
            <w:tcW w:w="5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Encore Boston Harbor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612,733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487,545</w:t>
            </w:r>
          </w:p>
        </w:tc>
      </w:tr>
      <w:tr>
        <w:trPr>
          <w:trHeight w:val="250"/>
        </w:trPr>
        <w:tc>
          <w:tcPr>
            <w:tcW w:w="5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40,748</w:t>
            </w:r>
          </w:p>
        </w:tc>
      </w:tr>
      <w:tr>
        <w:trPr>
          <w:trHeight w:val="223"/>
        </w:trPr>
        <w:tc>
          <w:tcPr>
            <w:tcW w:w="5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Wynn Interactive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40,748</w:t>
            </w:r>
          </w:p>
        </w:tc>
      </w:tr>
      <w:tr>
        <w:trPr>
          <w:trHeight w:val="250"/>
        </w:trPr>
        <w:tc>
          <w:tcPr>
            <w:tcW w:w="5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2,751,888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2,721,439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93,036</w:t>
            </w:r>
          </w:p>
        </w:tc>
      </w:tr>
      <w:tr>
        <w:trPr>
          <w:trHeight w:val="230"/>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28,703</w:t>
            </w:r>
          </w:p>
        </w:tc>
      </w:tr>
      <w:tr>
        <w:trPr>
          <w:trHeight w:val="223"/>
        </w:trPr>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121,739</w:t>
            </w:r>
          </w:p>
        </w:tc>
      </w:tr>
      <w:tr>
        <w:trPr>
          <w:trHeight w:val="230"/>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Las Vegas Operations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344,719</w:t>
            </w:r>
          </w:p>
        </w:tc>
      </w:tr>
      <w:tr>
        <w:trPr>
          <w:trHeight w:val="229"/>
        </w:trPr>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Encore Boston Harbor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141,844</w:t>
            </w:r>
          </w:p>
        </w:tc>
      </w:tr>
      <w:tr>
        <w:trPr>
          <w:trHeight w:val="229"/>
        </w:trPr>
        <w:tc>
          <w:tcPr>
            <w:tcW w:w="5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Wynn Interactive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(187,961)</w:t>
            </w:r>
          </w:p>
        </w:tc>
      </w:tr>
      <w:tr>
        <w:trPr>
          <w:trHeight w:val="223"/>
        </w:trPr>
        <w:tc>
          <w:tcPr>
            <w:tcW w:w="5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173,534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420,341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545,538</w:t>
            </w: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56,663</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75,033</w:t>
            </w:r>
          </w:p>
        </w:tc>
      </w:tr>
      <w:tr>
        <w:trPr>
          <w:trHeight w:val="223"/>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709,258</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(288,917)</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(453,601)</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r>
      <w:tr>
        <w:trPr>
          <w:trHeight w:val="223"/>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(472,691)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(464,297)</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(206,401)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(753,214)</w:t>
            </w:r>
          </w:p>
        </w:tc>
      </w:tr>
      <w:tr>
        <w:trPr>
          <w:trHeight w:val="230"/>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(755,559)</w:t>
            </w:r>
          </w:p>
        </w:tc>
      </w:tr>
      <w:tr>
        <w:trPr>
          <w:trHeight w:val="229"/>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176,963</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(578,596)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revenue accounted for under lease accounting guidance. For more information on leases, see Note 14, "Leases".</w:t>
      </w:r>
    </w:p>
    <w:p>
      <w:pPr>
        <w:spacing w:after="0" w:line="17" w:lineRule="exact"/>
        <w:rPr>
          <w:rFonts w:ascii="Times New Roman" w:cs="Times New Roman" w:eastAsia="Times New Roman" w:hAnsi="Times New Roman"/>
          <w:sz w:val="14"/>
          <w:szCs w:val="14"/>
          <w:color w:val="auto"/>
        </w:rPr>
      </w:pPr>
    </w:p>
    <w:p>
      <w:pPr>
        <w:jc w:val="both"/>
        <w:ind w:left="260" w:hanging="252"/>
        <w:spacing w:after="0" w:line="259" w:lineRule="auto"/>
        <w:tabs>
          <w:tab w:leader="none" w:pos="24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The Company uses Adjusted Property EBITDA to manage the operating results of its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3,122,424</w:t>
            </w: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1,032,521</w:t>
            </w: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Macau</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1,173,913</w:t>
            </w:r>
          </w:p>
        </w:tc>
      </w:tr>
      <w:tr>
        <w:trPr>
          <w:trHeight w:val="223"/>
        </w:trPr>
        <w:tc>
          <w:tcPr>
            <w:tcW w:w="7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4,740,079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5,328,858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3,063,897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2,193,117</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287,805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1,547,013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1,657,149</w:t>
            </w:r>
          </w:p>
        </w:tc>
      </w:tr>
      <w:tr>
        <w:trPr>
          <w:trHeight w:val="248"/>
        </w:trPr>
        <w:tc>
          <w:tcPr>
            <w:tcW w:w="7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11,779,345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12,530,826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unaudited condensed consolidated financial statements and the notes thereto included elsewhere in this Form 10-Q and the audited consolidated financial statements appearing in our annual report on Form 10-K for the year ended December 31, 2021.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2021 and other factors we describe from time to time in our periodic filings with the Securities and Exchange Commission ("SEC"), such as:</w:t>
      </w:r>
    </w:p>
    <w:p>
      <w:pPr>
        <w:spacing w:after="0" w:line="207"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claims and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including the renewal or extension of the concession in Macau that expires on December 31, 2022 and the amendments to the Macau gaming law;</w:t>
      </w: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employees;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PRC and other regions to Macau;</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including the COVID-19 pandemic, public incidents of violence, riots, demonstrations, extreme weather patterns or natural disasters, military conflicts, civil unrest, and any future security alerts and/or terrorist attacks;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(such as limited labor resources, government labor and gaming policies, transportation infrastructure, supply chain disruptions, cost increases, environmental regulation, and our ability to secure necessary permits and approvals);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and growth of gaming in other jurisdictions;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line="261"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we operate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own 100% of and operate Encore Boston Harbor, an integrated resort. We also hold an approximately 85% interest in, and consolidate, Wynn Interactive Ltd. ("Wynn Interactive"), through which we operate online sports betting, gaming, and social casino businesses.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Related to COVID-19</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and mandatory quarantine, among other things, and the suspension or reduced accessibility of transportation to and from Macau. Although there have been periods during which certain restrictions and conditions were eased by the Macau government to allow for greater visitation and quarantine-free travel to Macau, adverse and evolving conditions created by and in response to the COVID-19 pandemic may cause these restrictions and conditions to be reintroduced. For example, in response to an outbreak in Macau which initially commenced in mid-June 2022, the Macau government extended its COVID-19 containment measures, which included the closures of gaming operations in full as of July 11, 2022, and the closure and the limiting of the opening hours and/or operational capacity of various areas and facilities in Macau. On July 23, 2022, gaming operations at Wynn Palace and Wynn Macau resumed on a limited basis. Certain travel-related restrictions and conditions, which continue to reduce visitation and impact our financial results, remain in effect at the present time. Given the uncertainty around the extent and timing of the potential future spread or mitigation of COVID-19 and around the imposition or relaxation of containment measures, management cannot predict whether future closures, in full or in part, will occur in our properties, and cannot reasonably estimate the impact to our future results of operations, cash flows, or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23, 2022, Wynn Resorts (Macau) S.A. ("WRM") and the Macau government entered into a concession extension agreement (the "Concession Extension Agreement"), pursuant to which the expiration date of WRM's gaming concession was extended from June 26, 2022 to Decem</w:t>
      </w:r>
      <w:r>
        <w:rPr>
          <w:rFonts w:ascii="Times New Roman" w:cs="Times New Roman" w:eastAsia="Times New Roman" w:hAnsi="Times New Roman"/>
          <w:sz w:val="18"/>
          <w:szCs w:val="18"/>
          <w:color w:val="231E1F"/>
        </w:rPr>
        <w:t>ber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E1F"/>
        </w:rPr>
        <w:t>Under the Concession Extension Agreement, WRM paid the Macau government MOP47.0 million (approximately $6.0 million) as a contract premium for the extension, and in September 2022 provided a first demand bank guarantee of MOP1,210.0 million (approximately $149.7 million) in favor of the Macau government for securing the fulfillment of its labor liabilities upon the expiration of the Concession Extension Agreement.</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E1F"/>
        </w:rPr>
        <w:t>In order to enable WRM to fulfill the relevant requirements to become eligible to obtain a concession extension, each of WRM and Palo Real Estate Company Limited ("Palo") (the land concessionaires of Wynn Macau and Wynn Palace, respectively) entered into a letter of undertaking, pursuant to which each of WRM and Palo has undertaken, pursuant to Article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E1F"/>
        </w:rPr>
        <w:t>40 of the Macau gaming law and Clause 43 of the concession agreement, to revert to the Macau government relevant gaming equipment and gaming areas at Wynn Macau and Wynn Palace, without compensation and free of encumbrance upon the expiration of the concession agreement term, as amended by the Concession Extension Agreement.</w:t>
      </w:r>
    </w:p>
    <w:p>
      <w:pPr>
        <w:spacing w:after="0" w:line="2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E1F"/>
        </w:rPr>
        <w:t>Under the indentures governing our $4.7 billion aggregate principal amount of WML Senior Notes and the facility agreement governing the WM Cayman II Revolver, upon the occurrence of any event after which we do not own or manage casino or gaming areas or operate casino games of fortune and chance in Macau in substantially the same manner and scope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us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2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E1F"/>
        </w:rPr>
        <w:t xml:space="preserve">In June 2022, the Macau government published amendments to the Macau gaming law approved by the Macau Legislative Assembly. These amendments include, for example, the awarding of up to six gaming concessions with a term up to ten years with a maximum three-year extension possible, and an increase in the minimum capital requirement applicable to concession holders to MOP5.0 billion (approximately $625.0 million), an increase in the percentage of the share capital of the concessionaire that must be held by the local managing director to 15% from 10% and a prohibition on revenue sharing arrangements between gaming promoters and concession holders. </w:t>
      </w:r>
      <w:r>
        <w:rPr>
          <w:rFonts w:ascii="Times New Roman" w:cs="Times New Roman" w:eastAsia="Times New Roman" w:hAnsi="Times New Roman"/>
          <w:sz w:val="18"/>
          <w:szCs w:val="18"/>
          <w:color w:val="000000"/>
        </w:rPr>
        <w:t>On July 27, 2022, the Macau government officially launched the public tender</w:t>
      </w:r>
      <w:r>
        <w:rPr>
          <w:rFonts w:ascii="Times New Roman" w:cs="Times New Roman" w:eastAsia="Times New Roman" w:hAnsi="Times New Roman"/>
          <w:sz w:val="18"/>
          <w:szCs w:val="18"/>
          <w:color w:val="231E1F"/>
        </w:rPr>
        <w:t xml:space="preserve"> </w:t>
      </w:r>
      <w:r>
        <w:rPr>
          <w:rFonts w:ascii="Times New Roman" w:cs="Times New Roman" w:eastAsia="Times New Roman" w:hAnsi="Times New Roman"/>
          <w:sz w:val="18"/>
          <w:szCs w:val="18"/>
          <w:color w:val="000000"/>
        </w:rPr>
        <w:t xml:space="preserve">process for the awarding of concessions for the operation of games of chance or other games in casinos. On September 13, 2022, WRM submitted its tender to the Macau government. </w:t>
      </w:r>
      <w:r>
        <w:rPr>
          <w:rFonts w:ascii="Times New Roman" w:cs="Times New Roman" w:eastAsia="Times New Roman" w:hAnsi="Times New Roman"/>
          <w:sz w:val="18"/>
          <w:szCs w:val="18"/>
          <w:color w:val="231E1F"/>
        </w:rPr>
        <w:t>At this time we believe that our concession agreement will be further extended, renewed or replaced by a new gaming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E1F"/>
        </w:rPr>
        <w:t>concession agreement beyond December 31, 2022. However, it is possible the Macau government could further change or interpret the associated gaming laws in a manner that could negatively impact the Company.</w:t>
      </w:r>
    </w:p>
    <w:p>
      <w:pPr>
        <w:spacing w:after="0" w:line="2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E1F"/>
        </w:rPr>
        <w:t>If we are unable to further extend or renew our concession agreement or obtain a new gaming concession agreement, an election by the WML Senior Notes holders to exercise the Special Put Option and the triggering of the Property Mandatory Prepayment Event would have a material adverse effect on our business, financial condition,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5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04" w:lineRule="exact"/>
        <w:rPr>
          <w:sz w:val="20"/>
          <w:szCs w:val="20"/>
          <w:color w:val="auto"/>
        </w:rPr>
      </w:pPr>
    </w:p>
    <w:p>
      <w:pPr>
        <w:ind w:left="1300" w:hanging="644"/>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300" w:hanging="644"/>
        <w:spacing w:after="0" w:line="25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however, reduced gaming volumes as a result of COVID-19 containment measures implemented in Macau may cause volatility in our Macau Operations’ VIP win percentages.</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third quarter 2022 results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889,722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2,751,888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2,721,439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Resorts, Limited</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23,357</w:t>
            </w:r>
          </w:p>
        </w:tc>
        <w:tc>
          <w:tcPr>
            <w:tcW w:w="100" w:type="dxa"/>
            <w:vAlign w:val="bottom"/>
          </w:tcPr>
          <w:p>
            <w:pPr>
              <w:spacing w:after="0"/>
              <w:rPr>
                <w:sz w:val="21"/>
                <w:szCs w:val="21"/>
                <w:color w:val="auto"/>
              </w:rPr>
            </w:pPr>
          </w:p>
        </w:tc>
        <w:tc>
          <w:tcPr>
            <w:tcW w:w="860" w:type="dxa"/>
            <w:vAlign w:val="bottom"/>
          </w:tcPr>
          <w:p>
            <w:pPr>
              <w:jc w:val="center"/>
              <w:ind w:left="316"/>
              <w:spacing w:after="0"/>
              <w:rPr>
                <w:sz w:val="20"/>
                <w:szCs w:val="20"/>
                <w:color w:val="auto"/>
              </w:rPr>
            </w:pPr>
            <w:r>
              <w:rPr>
                <w:rFonts w:ascii="Times New Roman" w:cs="Times New Roman" w:eastAsia="Times New Roman" w:hAnsi="Times New Roman"/>
                <w:sz w:val="18"/>
                <w:szCs w:val="18"/>
                <w:color w:val="auto"/>
                <w:w w:val="95"/>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net loss per</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95"/>
              </w:rPr>
              <w:t>12.4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Property</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100" w:type="dxa"/>
            <w:vAlign w:val="bottom"/>
          </w:tcPr>
          <w:p>
            <w:pPr>
              <w:spacing w:after="0"/>
              <w:rPr>
                <w:sz w:val="21"/>
                <w:szCs w:val="21"/>
                <w:color w:val="auto"/>
              </w:rPr>
            </w:pPr>
          </w:p>
        </w:tc>
        <w:tc>
          <w:tcPr>
            <w:tcW w:w="860" w:type="dxa"/>
            <w:vAlign w:val="bottom"/>
          </w:tcPr>
          <w:p>
            <w:pPr>
              <w:jc w:val="center"/>
              <w:ind w:left="316"/>
              <w:spacing w:after="0"/>
              <w:rPr>
                <w:sz w:val="20"/>
                <w:szCs w:val="20"/>
                <w:color w:val="auto"/>
              </w:rPr>
            </w:pPr>
            <w:r>
              <w:rPr>
                <w:rFonts w:ascii="Times New Roman" w:cs="Times New Roman" w:eastAsia="Times New Roman" w:hAnsi="Times New Roman"/>
                <w:sz w:val="18"/>
                <w:szCs w:val="18"/>
                <w:color w:val="auto"/>
                <w:w w:val="95"/>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Item 1—"Financial Statements," Note 18, "Segment Information," for a reconciliation of Adjusted Property EBITDA to net loss attributable to Wynn Resorts, Limited.</w:t>
      </w:r>
    </w:p>
    <w:p>
      <w:pPr>
        <w:spacing w:after="0" w:line="2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decrease in operating revenues for the three months ended September 30, 2022 was primarily driven by decreases of $106.1 million and $90.3 million from Wynn Palace and Wynn Macau, respectively, resulting from a decrease in gaming volumes due to the 12-day closure of our casino operations in Macau in July, as well as other travel-related restrictions and conditions, including COVID-19 testing and other procedures related to the COVID-19 pandemic. The decrease in operating revenues was partially offset by increases in operating revenues of $68.4 million and $19.6 million at our Las Vegas Operations and Encore Boston Harbor, respectively, resulting from increased gaming volumes as well as increases in hotel occupancy and covers at restaurants.</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net loss attributable to Wynn Resorts, Limited for the three months ended September 30, 2022 was primarily related to increased operating revenues at our Las Vegas Operations and Encore Boston Harbor, respectively, partially offset by increased operating expenses associated with higher business volumes at our Las Vegas Operations and Encore Boston Harbor.</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Adjusted Property EBITDA for the three months ended September 30, 2022 was primarily driven by increased operating revenues at our Las Vegas Operations and Wynn Interactive, respectively, offset by a decrease in gaming volumes at Wynn Palace and Wynn Macau, respectively, primarily due to certain travel-related restrictions and conditions, including COVID-19 testing and other procedures related to the COVID-19 pandemic. Adjusted Property EBITDA increased $12.3 million and $85.8 million at our Las Vegas Operations and Wynn Interactive, respectively and decreased $33.9 million, $41.9 million, and $3.4 million at Wynn Palace, Wynn Macau, and Encore Boston Harbor,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September 30, 2022 compared to the three months ended September 30,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(106,075)</w:t>
            </w:r>
          </w:p>
        </w:tc>
        <w:tc>
          <w:tcPr>
            <w:tcW w:w="130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(90,294)</w:t>
            </w:r>
          </w:p>
        </w:tc>
        <w:tc>
          <w:tcPr>
            <w:tcW w:w="1300" w:type="dxa"/>
            <w:vAlign w:val="bottom"/>
            <w:tcBorders>
              <w:bottom w:val="single" w:sz="8" w:color="CCEEFF"/>
            </w:tcBorders>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311,985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(196,369)</w:t>
            </w:r>
          </w:p>
        </w:tc>
        <w:tc>
          <w:tcPr>
            <w:tcW w:w="130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68,386</w:t>
            </w:r>
          </w:p>
        </w:tc>
        <w:tc>
          <w:tcPr>
            <w:tcW w:w="130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5"/>
              </w:rPr>
              <w:t>14.4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Encore Boston Harbor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130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Wynn Interactive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300" w:type="dxa"/>
            <w:vAlign w:val="bottom"/>
            <w:tcBorders>
              <w:bottom w:val="single" w:sz="8" w:color="CCEEFF"/>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5"/>
              </w:rPr>
              <w:t>24.2</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(104,922)</w:t>
            </w:r>
          </w:p>
        </w:tc>
        <w:tc>
          <w:tcPr>
            <w:tcW w:w="1300" w:type="dxa"/>
            <w:vAlign w:val="bottom"/>
            <w:tcBorders>
              <w:bottom w:val="single" w:sz="8" w:color="CCEEFF"/>
            </w:tcBorders>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359,876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496,264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498,380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31,466</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889,722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994,644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for the three months ended September 30, 2022 were 40.4% of operating revenues, compared to 49.9% for the same period of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three months ended September 30, 2022 were 59.6% of operating revenues, compared to 50.1% for the same period of 2021.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Casino revenues decreased primarily due to decreased VIP turnover and table games win and mass market table drop and table games win at our Macau Operations, partially offset by increased table drop, table games win and slot machine win at our Las Vegas Operations and Encore Boston Harbor.</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283,744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1,234,733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(950,989)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197,066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508,779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152,872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1,335,694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(1,182,822)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167,539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441,899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(274,360)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193,680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200,543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134,314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112,575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570,419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507,188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118,263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1,522,512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1,156,858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365,654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107,575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80,303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3,848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157,369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151,361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364,844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350,145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76,970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1,288,250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1,196,299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104,122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98,816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2,554</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 w:lineRule="exact"/>
        <w:rPr>
          <w:sz w:val="20"/>
          <w:szCs w:val="20"/>
          <w:color w:val="auto"/>
        </w:rPr>
      </w:pPr>
    </w:p>
    <w:p>
      <w:pPr>
        <w:ind w:left="260" w:hanging="252"/>
        <w:spacing w:after="0" w:line="278" w:lineRule="auto"/>
        <w:tabs>
          <w:tab w:leader="none" w:pos="2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2021, Encore Boston Harbor restored 24-hour casino operations and reopened its hotel tower on a Thursday through Sunday weekly schedule. The property reopened its hotel tower to seven days per week as of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6,974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4,395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162,125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132,705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23,718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hanging="252"/>
        <w:spacing w:after="0" w:line="282" w:lineRule="auto"/>
        <w:tabs>
          <w:tab w:leader="none" w:pos="22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Encore Boston Harbor room statistics have been computed based on 69 days of operation in the three months ended September 30, 2021, representing the number of nights hotel rooms were offered for sale to the public.</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Room revenues increased $23.4 million, primarily due to higher occupancy and ADR at our Las Vegas Operations and Encore Boston Harbor.</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Food and beverage revenues increased $7.2 million, primarily due to increased restaurant covers at our Las Vegas Operations.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Entertainment, retail and other revenues increased $0.8 million, primarily due to an increase in visitation to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21,733</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2,259.1</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(135,595)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Total operating expenses decreased $135.6 million compared to the three months ended September 30, 2021, primarily due to decreased casino, entertainment, retail and other, provision for credit losses, and property charges and other expenses, partially offset by increased room, food and beverage, and pre-opening expenses.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Casino expenses decreased $51.5 million and $39.9 million at Wynn Palace and Wynn Macau, respectively. These decreases were primarily due to reductions in gaming tax expense driven by the declines in casino revenues at each of Wynn Palace and Wynn Macau, resulting from the effects of the COVID-19 pandemic, partially offset by increased casino expenses of $10.1 million and $5.8 million at our Las Vegas Operations and Encore Boston Harbor, respectively, primarily due to increased operating costs, including gaming tax expense, driven by the increase in casino revenues.</w:t>
      </w:r>
    </w:p>
    <w:p>
      <w:pPr>
        <w:spacing w:after="0" w:line="11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Room expenses increased $9.2 million and $7.4 million at our Las Vegas Operations and Encore Boston Harbor, respectively. These increases were primarily a result of higher operating costs related to the increase in occupancy.</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Food and beverage expenses increased $22.3 million and $3.7 million at our Las Vegas Operations and Encore Boston Harbor, respectively. These increases were primarily a result of higher operating costs related to the increase in food and beverage revenues as well as higher nightlife entertainment costs associated with increased business volumes at our Las Vegas Operations' nightlife venues.</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decreased $86.4 million at Wynn Interactive, primarily due to decreased marketing costs, partially offset by an increase of $7.1 million at our Las Vegas operations, due to higher operating costs associated with increased levels of business.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Provision for credit losses decreased $5.2 million, $1.4 million, and $0.9 million at Wynn Palace, our Las Vegas Operations, and Wynn Macau, respectively. These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2022, pre-opening expenses totaled $6.4 million, which primarily related to reconfiguring the theater space at Wynn Las Vegas to host an all-new,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which premiered in November 2022. For the three months ended September 30, 2021, pre-opening expenses totaled $1.3 million, which primarily related to restaurant remodels at our Las Vegas Operations.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$7.7 million at Wynn Palace, primarily due to certain furniture, fixture and equipment assets reaching the end of their useful lives in the first quarter of 2022.</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Property charges and other expenses for the quarter ended September 30, 2022 consisted primarily of asset abandonments of $2.0 million and $1.0 million at Wynn Palace and our Las Vegas Operations, respectively, and other contingency expenses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$1.9 million at Wynn Macau. Property charges and other expenses for the quarter ended September 30, 2021 consisted primarily of advocacy-related expenses of $12.5 million at Wynn Interactive.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cost, including amortization of debt issuance costs and original</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 discount and premium</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165,277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150,325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14,952</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12,222,392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12,044,272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costs increased primarily due to an increase in the weighted average interest rate.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loss of $0.9 million and $11.8 million for the three months ended September 30, 2022 and 2021, respectively. The impact of the exchange rate fluctuation of the MOP, in relation to the U.S. dollar, on the remeasurements of U.S. dollar denominated debt and other obligations from our Macau-related entities primarily drove the variability between periods.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gain of $5.8 million and $1.2 million for the three months ended September 30, 2022 and 2021, respectively, from change in derivatives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an income tax expense of $1.4 million and $1.2 million for the three months ended September 30, 2022 and 2021, respectively. Income tax expense in 2022 primarily related to changes in U.S. deferred taxes. Income tax expense in 2021 primarily related to the Macau dividend tax agreement that provides for an annual payment as complementary tax otherwise due by stockholders of WRM.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interests was $64.9 million and $79.7 million for the three months ended September 30, 2022 and 2021, respectively. These amounts are primarily related to the noncontrolling interests' share of net loss attributable to WML.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nine months ended September 30, 2022 compared to the nine months ended September 30,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 Operations: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(391,796)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(260,290)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(652,086)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 Vegas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536,859</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Encore Boston Harbor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125,188</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Wynn Interactive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2,721,439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30,449</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1,209,323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1,615,228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(405,905)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181,114</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193,414</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61,826</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1,542,565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436,354</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2,751,888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2,721,439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30,449</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for the nine months ended September 30, 2022 were 43.9% of operating revenues, compared to 59.4% for the same period of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nine months ended September 30, 2022 were 56.1% of operating revenues, compared to 40.6% for the same period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Casino revenues decreased primarily due to decreased VIP turnover and table games win and mass market table drop and table games win at our Macau Operations, partially offset by increased table drop, table games win and slot machine win at our Las Vegas Operations and Encore Boston Harbor. The table below sets forth our casino revenues and associated key operating measures (dollars in thousands, except for win per unit per day):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186,968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532,040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(345,072)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1,593,761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5,246,296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(3,652,535)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(200,615)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939,474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1,823,792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(884,318)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406,016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1,107,058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(604,202)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22,989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44,553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1,341,567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4,629,987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(3,288,420)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852,832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1,703,189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(850,357)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321,236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(186,162)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676,531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802,337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23,902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28,573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1"/>
        </w:trPr>
        <w:tc>
          <w:tcPr>
            <w:tcW w:w="1020" w:type="dxa"/>
            <w:vAlign w:val="bottom"/>
            <w:tcBorders>
              <w:top w:val="single" w:sz="8" w:color="0000FF"/>
            </w:tcBorders>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Las Vegas Operations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393,930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305,253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1,683,317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1,258,733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424,584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386,306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285,939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4,026,675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3,063,267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963,408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278,250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209,682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12,729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463,204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398,325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1,077,261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890,777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234,024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3,703,990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3,204,272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298,842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263,197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 w:lineRule="exact"/>
        <w:rPr>
          <w:sz w:val="20"/>
          <w:szCs w:val="20"/>
          <w:color w:val="auto"/>
        </w:rPr>
      </w:pPr>
    </w:p>
    <w:p>
      <w:pPr>
        <w:ind w:left="260" w:right="20" w:hanging="252"/>
        <w:spacing w:after="0" w:line="259" w:lineRule="auto"/>
        <w:tabs>
          <w:tab w:leader="none" w:pos="22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19, 2020, Encore at Wynn Las Vegas adjusted its operating schedule to five days/four nights each week due to reduced customer demand levels. On April 8, 2021, Encore at Wynn Las Vegas resumed full operations.</w:t>
      </w:r>
    </w:p>
    <w:p>
      <w:pPr>
        <w:ind w:left="260" w:hanging="252"/>
        <w:spacing w:after="0" w:line="283" w:lineRule="auto"/>
        <w:tabs>
          <w:tab w:leader="none" w:pos="2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2021, Encore Boston Harbor restored 24-hour casino operations and reopened its hotel tower on a Thursday through Sunday weekly schedule. The property reopened its hotel tower to seven days per week as of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18,547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39,025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460,707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266,250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61,819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28,963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20" w:hanging="252"/>
        <w:spacing w:after="0" w:line="282" w:lineRule="auto"/>
        <w:tabs>
          <w:tab w:leader="none" w:pos="22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Encore Boston Harbor room statistics have been computed based on 158 days of operation in the nine months ended September 30, 2021, representing the number of nights hotel rooms were offered for sale to the public. The property reopened its hotel tower to seven days per week as of September 1, 2021.</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Room revenues increased $181.1 million, primarily due to higher occupancy and ADR at our Las Vegas Operations and Encore Boston Harbor.</w:t>
      </w:r>
    </w:p>
    <w:p>
      <w:pPr>
        <w:spacing w:after="0" w:line="2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$193.4 million, primarily due to increased restaurant covers and nightlife revenues at our Las Vegas Operations.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Entertainment, retail and other revenues increased $61.8 million, primarily due to an increase in visitation to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(58,584)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Total operating expenses decreased $58.6 million compared to the nine months ended September 30, 2021, primarily due to decreased casino, entertainment, retail and other, provision for credit losses, and depreciation and amortization expenses, partially offset by increased room, food and beverage, general and administrative, pre-opening, and property charges and other expenses.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Casino expenses decreased $192.8 million and $124.2 million at Wynn Palace and Wynn Macau, respectively. These decreases were primarily due to reductions in gaming tax expense driven by the declines in casino revenues at each of Wynn Palace and Wynn Macau, resulting from the effects of the COVID-19 pandemic, partially offset by increased casino expenses of $40.6 million and $35.6 million at our Las Vegas Operations and Encore Boston Harbor, respectively primarily due to increased operating costs, including gaming tax expense, driven by the increase in casino revenues.</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Room expenses increased $43.7 million and $16.1 million at our Las Vegas Operations and Encore Boston Harbor, respectively. These increases were primarily a result of higher operating costs related to the increase in occupancy.</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Food and beverage expenses increased $154.7 million and $16.9 million at our Las Vegas Operations and Encore Boston Harbor, respectively. These increases were primarily a result of higher operating costs related to the increase in food and beverage revenues as well as higher nightlife entertainment costs associated with increased business volumes at our Las Vegas Operations' nightlife venues.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decreased $105.6 million at Wynn Interactive, primarily due to decreased marketing costs, partially offset by an increase of $32.7 million at our Las Vegas operations, primarily due to higher operating costs associated with increased levels of business.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primarily due to increases of $33.6 million and $13.8 million at our Las Vegas Operations and Encore Boston Harbor, respectively. These increases were attributable to increased payroll, operating costs, and general and administrative expenses required to support higher business volumes, partially offset by decreased general and administrative expenses of $13.9 million and $13.2 million, at Wynn Palace and Wynn Macau, respectively, due to decreased payroll and operating costs attributable to lower business volumes.</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provision for credit losses decreased $7.6 million, $6.0 million, and $5.4 million at our Las Vegas Operations, Wynn Palace, and Wynn Macau,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20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2022, pre-opening expenses totaled $13.4 million, which primarily related to reconfiguring the theater space at Wynn Las Vegas to host an all-new,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which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premiered in November 2022. For the nine months ended September 30, 2021, pre-opening expenses totaled $5.5 million, which primarily related to restaurant remodels at our Las Vegas Operations.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$38.7 million at Wynn Palace primarily due to certain furniture, fixture and equipment assets reaching the end of their useful lives in the first quarter of 2022.</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Property charges and other expenses for the nine months ended September 30, 2022 consisted primarily of impairment of goodwill and other finite-lived intangible assets of $37.8 million and $10.3 million, respectively, $7.1 million of restructuring costs related to Wynn Interactive's BetBull operations, as well as other contract termination expenses of $10.7 million and asset abandonments of $2.1 million related to Wynn Interactive, and other contingency expenses of $6.8 million at Wynn Macau. Property charges and other expenses for the nine months ended September 30, 2021 consisted primarily of advocacy-related expenses of $12.5 million at Wynn Interactive and asset abandonments of $4.3 million and $4.1 million at our Las Vegas Operations and Wynn Palace,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Interest cost, including amortization of debt issuance costs and original</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 discount and premium</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472,265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453,601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18,664</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12,106,968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12,257,424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costs increased primarily due to an increase in the weighted average interest rate.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loss of $26.1 million and $17.3 million for the nine months ended September 30, 2022 and 2021,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gain of $14.8 million and $6.6 million for the nine months ended September 30, 2022 and 2021, respectively, from change in derivatives fair value.</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$2.1 million loss on extinguishment of debt for the nine months ended September 30, 2021 related to the partial prepayment of the Wynn Macau Term Loan and the prepayment of the Wynn Macau Credit Facilities.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an income tax expense of $3.2 million and $2.3 million for the nine months ended September 30, 2022 and 2021, respectively. Income tax expense in 2022 primarily related to changes in U.S. deferred taxes. Income tax expense in 2021 primarily related to the Macau dividend tax agreement that provides for an annual payment as complementary tax otherwise due by stockholders of WRM.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interests was $219.6 million and $177.0 million for the nine months ended September 30, 2022 and 2021, respectively. These amounts are primarily related to the noncontrolling interests' share of net loss from WML.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5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 to manage the operating results of our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Adjusted Property EBITDA (dollars in thousands) for Wynn Palace, Wynn Macau, Las Vegas Operations, Encore Boston Harbor, and Wynn Interactive as reviewed by management and summarized in Item 1—"Notes to Condensed Consolidated Financial Statements," Note 18, "Segment Information." That footnote also presents a reconciliation of Adjusted Property EBITDA to net loss attributable to Wynn Resorts, Limited.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tcPr>
          <w:p>
            <w:pPr>
              <w:jc w:val="right"/>
              <w:ind w:right="122"/>
              <w:spacing w:after="0" w:line="12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Wynn Palace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(72,622)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93,036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(165,658)</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Wynn Macau</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(41,867)</w:t>
            </w:r>
          </w:p>
        </w:tc>
        <w:tc>
          <w:tcPr>
            <w:tcW w:w="100" w:type="dxa"/>
            <w:vAlign w:val="bottom"/>
          </w:tcPr>
          <w:p>
            <w:pPr>
              <w:spacing w:after="0"/>
              <w:rPr>
                <w:sz w:val="18"/>
                <w:szCs w:val="18"/>
                <w:color w:val="auto"/>
              </w:rPr>
            </w:pPr>
          </w:p>
        </w:tc>
        <w:tc>
          <w:tcPr>
            <w:tcW w:w="10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NM</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(88,878)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28,703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(117,581)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 Operations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195,760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581,844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344,719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Encore Boston Harbor</w:t>
            </w:r>
          </w:p>
        </w:tc>
        <w:tc>
          <w:tcPr>
            <w:tcW w:w="1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61,136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180,132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141,844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Wynn Interactive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(70,202)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(187,961)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Adjusted Property EBITDA at Wynn Palace and Wynn Macau decreased $33.9 million and $41.9 million for the three months ended September 30, 2022 and $165.7 million and $117.6 million for the nine months ended September 30, 2022, respectively, primarily due to a decrease in operating revenues, partially offset by a decrease in operating expenses. Our Macau Operations for the three and nine months ended September 30, 2022 continued to be negatively impacted by certain travel-related restrictions and conditions, including COVID-19 testing and other procedures related to the COVID-19 pandemic.</w:t>
      </w:r>
    </w:p>
    <w:p>
      <w:pPr>
        <w:spacing w:after="0" w:line="1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Adjusted Property EBITDA at our Las Vegas Operations increased $12.3 million and $237.1 million for the three and nine months ended September 30, 2022, primarily due to an increase in operating revenues, partially offset by an increase in operating expenses.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Adjusted Property EBITDA at Encore Boston Harbor decreased $3.4 million for the three months ended September 30, 2022, primarily due to an increase in operating expenses, partially offset by an increase in operating revenues. Adjusted Property EBITDA at Encore Boston Harbor increased $38.3 million for the nine months ended September 30, 2022, primarily due to an increase in operating revenues, partially offset by an increase in operating expenses.</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 at Wynn Interactive increased $85.8 million and $117.8 million for the three and nine months ended September 30, 2022, primarily due to increased operating revenues due to the continued expansion and ramp up of operations and decreased marketing and promotional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(216,832)</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(229,140)</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1,141,026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(2,477,690)</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Wynn Resorts, Limited common stock</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841,896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subsidiary common stock</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additional interest in joint venture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payments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(555,569)</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(1,003,230)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decrease in net cash used in operating activities was primarily due to increased revenues from our Las Vegas Operations and Encore Boston Harbor, which was partially offset by decreases in revenues from Wynn Palace and Wynn Macau. During the nine months ended September 30, 2021, the decrease in net cash used in operating activities was primarily due to increased operating revenues, partially offset by an increase in operating expenses and changes in working capital accounts.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incurred capital expenditures of $214.1 million at our Las Vegas Operations primarily related to the Wynn Las Vegas room remodel and theater reconfiguration, and $14.7 million at Encore Boston Harbor, $27.9 million at Wynn Palace, and $9.6 million at Wynn Macau primarily related to maintenance capital expenditures.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we incurred capital expenditures of $118.7 million at our Las Vegas Operations primarily related to the Wynn Las Vegas room remodel, and $33.4 million at Encore Boston Harbor, $24.4 million at Wynn Palace, and $18.3 million at Wynn Macau primarily related to maintenance capital expenditures.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we repurchased 2,873,431 shares of our common stock for approximately $166.4 million. We also borrowed $211.4 million under the WM Cayman II Revolver and made quarterly amortization payments under the WRF Term Loan totaling $37.5 million. In addition, we received a $50.0 million contribution from a noncontrolling interest holder in exchange for a 49.9% interest in certain retail space contributed by the Company to the Retail Joint Venture and used cash of $21.5 million for distributions to noncontrolling interest holders of the Retail Joint Venture.</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2021, we received proceeds of $841.9 million from our February 2021 equity offering and used $716.0 million of the proceeds from the equity offering to repay the outstanding borrowings under the WRF Revolver. We also paid $464.7 million of outstanding principal owed under the Wynn Macau Term Loan and prepaid the outstanding $1.26 billion of borrowings under the Wynn Macau Credit Facilities along with related financing costs, using proceeds from the borrowing of $1.09 billion under the WM Cayman II Revolver along with $200.0 million of cash. In addition, we made quarterly amortization payments under the WRF Term Loan totaling $37.5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COVID-19 pandemic has materially impacted and is likely to continue to materially impact, our business, financial condition and results of operations. While we believe our unrestricted cash, cash flows from operations and revolver borrowing capacity will enable us to fund our current obligations for the foreseeable future, COVID-19 has resulted in significant disruptions to our operations and to the U.S. and other global economies, which has had and will likely continue to have a negative impact on our operating income and could have a negative impact on our ability to access capital in the future.</w:t>
      </w:r>
    </w:p>
    <w:p>
      <w:pPr>
        <w:spacing w:after="0" w:line="210"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and available revolver borrowing capacity, excluding capacity under intercompany loan agreements, as of September 30, 2022 (in thousands):</w:t>
      </w: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 Cash and Cash</w:t>
            </w:r>
          </w:p>
        </w:tc>
        <w:tc>
          <w:tcPr>
            <w:tcW w:w="140" w:type="dxa"/>
            <w:vAlign w:val="bottom"/>
          </w:tcPr>
          <w:p>
            <w:pPr>
              <w:spacing w:after="0"/>
              <w:rPr>
                <w:sz w:val="12"/>
                <w:szCs w:val="12"/>
                <w:color w:val="auto"/>
              </w:rPr>
            </w:pPr>
          </w:p>
        </w:tc>
        <w:tc>
          <w:tcPr>
            <w:tcW w:w="146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Revolver Borrowing</w:t>
            </w:r>
          </w:p>
        </w:tc>
      </w:tr>
      <w:tr>
        <w:trPr>
          <w:trHeight w:val="195"/>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40" w:type="dxa"/>
            <w:vAlign w:val="bottom"/>
          </w:tcPr>
          <w:p>
            <w:pPr>
              <w:spacing w:after="0"/>
              <w:rPr>
                <w:sz w:val="16"/>
                <w:szCs w:val="16"/>
                <w:color w:val="auto"/>
              </w:rPr>
            </w:pPr>
          </w:p>
        </w:tc>
        <w:tc>
          <w:tcPr>
            <w:tcW w:w="14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Wynn Resorts Finance, LLC </w:t>
            </w: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835,600</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1,943,505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835,600</w:t>
            </w:r>
          </w:p>
        </w:tc>
      </w:tr>
      <w:tr>
        <w:trPr>
          <w:trHeight w:val="21"/>
        </w:trPr>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Excluding Wynn Macau, Limited and subsidiaries.</w:t>
      </w:r>
    </w:p>
    <w:p>
      <w:pPr>
        <w:spacing w:after="0" w:line="246"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and may utilize proceeds from the WM Cayman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Revolver and its intercompany revolving loan facility with Wynn Resorts, Limited to fund working capital requirements as needed. In July 2022, we drew $211.4 million on the WM Cayman II Revolver for general corporate purposes. We expect to use this cash to fund working capital and capital expenditure requirements at WML and our Macau Operations, and to service our WML Senior Notes and WM Cayman II Revolver. WML paid no dividends during 2021 or the nine months ended September 30, 2022.</w:t>
      </w:r>
    </w:p>
    <w:p>
      <w:pPr>
        <w:spacing w:after="0" w:line="2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borrowings under the WM Cayman II Revolver bear interest at LIBOR or HIBOR plus a margin of 2.625% per annum until June 30, 2022, the date from which the margin will be 1.875% to 2.875% per annum based on WM Cayman II’s leverage ratio on a consolidated basis, subject to a floor on the interest rate margin of 2.625% per annum through June 30, 2023. The final maturity of all outstanding loans under the Revolving Facility is September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1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our portion of our cash and cash equivalents were repatriated to the U.S. on September 30, 2022, it would be subject to minimal U.S. taxes in the year of repatriation.</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due 2025, the WRF Senior Notes due 2029, and the Wynn Las Vegas (WLV) Senior Notes, and to fund working capital and capital expenditure requirements as needed.</w:t>
      </w:r>
    </w:p>
    <w:p>
      <w:pPr>
        <w:spacing w:after="0" w:line="2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June 2022, Wynn Las Vegas completed its hotel room remodel for total project costs of approximately $215 million.</w:t>
      </w:r>
    </w:p>
    <w:p>
      <w:pPr>
        <w:spacing w:after="0" w:line="2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October 2022, Wynn Las Vegas completed its theater reconfiguration for total project costs of approximately $110 million, inclusive of approximately $25 million of remaining project costs. The specially redesigned theater was custom designed to host an all-new,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which premiered in November 2022.</w:t>
      </w:r>
    </w:p>
    <w:p>
      <w:pPr>
        <w:spacing w:after="0" w:line="2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previously discussed, on February 15, 2022, we announced our entry into a sale-leaseback arrangement with respect to certain real estate assets related to Encore Boston Harbor. Upon closing of the related transactions, currently expected to take place in the fourth quarter of 2022, subject to regulatory approvals and customary closing conditions, we expect to receive cash consideration of approximately $1.7 billion in exchange for the sale of such real estate assets to an unrelated third party, and to concurrently enter into a lease agreement whereby the Company will lease such real estate assets for the purpose of continuing to operate the Encore Boston Harbor property. The lease agreement provides for an initial annual minimum rent of $100.0 million for an initial term of 30 years, subject to certain annual rent escalations and renewal provisions. We expect to use the cash proceeds from the sale of the real estate assets for general corporate purposes, which may include the repayment of certain debt obligations.</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to fund working capital needs of our subsidiaries, and for general corporate purposes.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Note 16, "Commitments and Contingencies."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April 2016, 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We repurchased 2,873,431 shares of our common stock at an average price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$57.91 per share, for an aggregate cost of $166.4 million under this equity repurchase program during the nine months ended September 30, 2022. As of September 30, 2022, we had $633.7 million in repurchase authority remaining under the program.</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w:t>
      </w:r>
    </w:p>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amount of any shares and/or notes to be repurchased, as well as the timing of any repurchases, will be based on business, market and other conditions and factors, including price, contractual requirements or consents, and capital availability.</w:t>
      </w:r>
    </w:p>
    <w:p>
      <w:pPr>
        <w:spacing w:after="0" w:line="189"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New business developments or other unforeseen events, including related to COVID-19,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these policies for the nine months ended September 30,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related disclosure in Note 2, "Basis of Presentation and Significant Accounting Policies" of Part I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54"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As of September 30, 2022, approximately 76% of our long-term debt was based on fixed rates. Based on our outstanding borrowings as of September 30, 2022, an assumed 100 basis point change in the applicable variable rates would have caused our annual interest expense to change by $29.6 million.</w:t>
      </w:r>
    </w:p>
    <w:p>
      <w:pPr>
        <w:spacing w:after="0" w:line="200" w:lineRule="exact"/>
        <w:rPr>
          <w:sz w:val="20"/>
          <w:szCs w:val="20"/>
          <w:color w:val="auto"/>
        </w:rPr>
      </w:pPr>
    </w:p>
    <w:p>
      <w:pPr>
        <w:spacing w:after="0" w:line="2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the Company entered into an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an assumed 1% change in the U.S. dollar/Hong Kong dollar exchange rate would cause a foreign currency transaction gain/loss of $43.0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16, "Commitments and Contingencies" of Part I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Part I of our Annual Report on Form 10-K for the year ended December 31, 2021. There were no material changes to those risk factors during the nine months ended September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under its publicly announced equity repurchase program during the three months ended September 30, 2022:</w:t>
      </w: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Price Paid Per</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 as Part of a</w:t>
            </w:r>
          </w:p>
        </w:tc>
        <w:tc>
          <w:tcPr>
            <w:tcW w:w="160" w:type="dxa"/>
            <w:vAlign w:val="bottom"/>
          </w:tcPr>
          <w:p>
            <w:pPr>
              <w:spacing w:after="0"/>
              <w:rPr>
                <w:sz w:val="12"/>
                <w:szCs w:val="12"/>
                <w:color w:val="auto"/>
              </w:rPr>
            </w:pPr>
          </w:p>
        </w:tc>
        <w:tc>
          <w:tcPr>
            <w:tcW w:w="1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Month Ended</w:t>
            </w:r>
          </w:p>
        </w:tc>
        <w:tc>
          <w:tcPr>
            <w:tcW w:w="2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Shares Repurchased</w:t>
            </w:r>
          </w:p>
        </w:tc>
        <w:tc>
          <w:tcPr>
            <w:tcW w:w="2200" w:type="dxa"/>
            <w:vAlign w:val="bottom"/>
            <w:gridSpan w:val="3"/>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Under the Program</w:t>
            </w:r>
          </w:p>
        </w:tc>
        <w:tc>
          <w:tcPr>
            <w:tcW w:w="0" w:type="dxa"/>
            <w:vAlign w:val="bottom"/>
          </w:tcPr>
          <w:p>
            <w:pPr>
              <w:spacing w:after="0"/>
              <w:rPr>
                <w:sz w:val="1"/>
                <w:szCs w:val="1"/>
                <w:color w:val="auto"/>
              </w:rPr>
            </w:pPr>
          </w:p>
        </w:tc>
      </w:tr>
      <w:tr>
        <w:trPr>
          <w:trHeight w:val="198"/>
        </w:trPr>
        <w:tc>
          <w:tcPr>
            <w:tcW w:w="2560" w:type="dxa"/>
            <w:vAlign w:val="bottom"/>
            <w:gridSpan w:val="2"/>
            <w:vMerge w:val="continue"/>
          </w:tcPr>
          <w:p>
            <w:pPr>
              <w:spacing w:after="0"/>
              <w:rPr>
                <w:sz w:val="17"/>
                <w:szCs w:val="17"/>
                <w:color w:val="auto"/>
              </w:rPr>
            </w:pPr>
          </w:p>
        </w:tc>
        <w:tc>
          <w:tcPr>
            <w:tcW w:w="218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Publicly Announced Program</w:t>
            </w:r>
          </w:p>
        </w:tc>
        <w:tc>
          <w:tcPr>
            <w:tcW w:w="160" w:type="dxa"/>
            <w:vAlign w:val="bottom"/>
          </w:tcPr>
          <w:p>
            <w:pPr>
              <w:spacing w:after="0"/>
              <w:rPr>
                <w:sz w:val="17"/>
                <w:szCs w:val="17"/>
                <w:color w:val="auto"/>
              </w:rPr>
            </w:pPr>
          </w:p>
        </w:tc>
        <w:tc>
          <w:tcPr>
            <w:tcW w:w="1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0" w:type="dxa"/>
            <w:vAlign w:val="bottom"/>
          </w:tcPr>
          <w:p>
            <w:pPr>
              <w:spacing w:after="0"/>
              <w:rPr>
                <w:sz w:val="1"/>
                <w:szCs w:val="1"/>
                <w:color w:val="auto"/>
              </w:rPr>
            </w:pPr>
          </w:p>
        </w:tc>
      </w:tr>
      <w:tr>
        <w:trPr>
          <w:trHeight w:val="228"/>
        </w:trPr>
        <w:tc>
          <w:tcPr>
            <w:tcW w:w="2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July 31, 2022</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662,713</w:t>
            </w:r>
          </w:p>
        </w:tc>
        <w:tc>
          <w:tcPr>
            <w:tcW w:w="0" w:type="dxa"/>
            <w:vAlign w:val="bottom"/>
          </w:tcPr>
          <w:p>
            <w:pPr>
              <w:spacing w:after="0"/>
              <w:rPr>
                <w:sz w:val="1"/>
                <w:szCs w:val="1"/>
                <w:color w:val="auto"/>
              </w:rPr>
            </w:pPr>
          </w:p>
        </w:tc>
      </w:tr>
      <w:tr>
        <w:trPr>
          <w:trHeight w:val="229"/>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August 31, 2022</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662,713</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30, 2022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633,739</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60" w:right="20" w:hanging="252"/>
        <w:spacing w:after="0" w:line="271" w:lineRule="auto"/>
        <w:tabs>
          <w:tab w:leader="none" w:pos="23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2016, the Company's Board of Directors authorized an equity repurchase program of up to $1.0 billion of our common stock. Repurchases may be made at the discretion of the Company from time to time on the open market or in privately negotiated transactions. The Company is not obligated to make any repurchases, and the repurchase program may be discontinued at any time. Any shares acquired are available for general corporate purposes. Any shares repurchased during the periods presented are held as treasury shares.</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we had $633.7 million in repurchase authority under the equity repurchase program.</w:t>
      </w:r>
    </w:p>
    <w:p>
      <w:pPr>
        <w:spacing w:after="0" w:line="252"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shares we repurchased in satisfaction of employee tax withholding obligations on vested restricted stock during the three months ended September 30, 2022, which were not part of the Company's publicly announced equity repurchase program:</w:t>
      </w: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Price Paid Per</w:t>
            </w:r>
          </w:p>
        </w:tc>
        <w:tc>
          <w:tcPr>
            <w:tcW w:w="120" w:type="dxa"/>
            <w:vAlign w:val="bottom"/>
          </w:tcPr>
          <w:p>
            <w:pPr>
              <w:spacing w:after="0"/>
              <w:rPr>
                <w:sz w:val="12"/>
                <w:szCs w:val="12"/>
                <w:color w:val="auto"/>
              </w:rPr>
            </w:pPr>
          </w:p>
        </w:tc>
        <w:tc>
          <w:tcPr>
            <w:tcW w:w="19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Month Ended</w:t>
            </w:r>
          </w:p>
        </w:tc>
        <w:tc>
          <w:tcPr>
            <w:tcW w:w="2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Shares Repurchased</w:t>
            </w:r>
          </w:p>
        </w:tc>
        <w:tc>
          <w:tcPr>
            <w:tcW w:w="2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Repurchased Shares</w:t>
            </w:r>
          </w:p>
        </w:tc>
        <w:tc>
          <w:tcPr>
            <w:tcW w:w="0" w:type="dxa"/>
            <w:vAlign w:val="bottom"/>
          </w:tcPr>
          <w:p>
            <w:pPr>
              <w:spacing w:after="0"/>
              <w:rPr>
                <w:sz w:val="1"/>
                <w:szCs w:val="1"/>
                <w:color w:val="auto"/>
              </w:rPr>
            </w:pPr>
          </w:p>
        </w:tc>
      </w:tr>
      <w:tr>
        <w:trPr>
          <w:trHeight w:val="198"/>
        </w:trPr>
        <w:tc>
          <w:tcPr>
            <w:tcW w:w="4740" w:type="dxa"/>
            <w:vAlign w:val="bottom"/>
            <w:gridSpan w:val="2"/>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7"/>
                <w:szCs w:val="17"/>
                <w:color w:val="auto"/>
              </w:rPr>
            </w:pPr>
          </w:p>
        </w:tc>
        <w:tc>
          <w:tcPr>
            <w:tcW w:w="1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July 31, 2022</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August 31, 2022</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30, 2022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4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8" w:lineRule="exact"/>
        <w:rPr>
          <w:sz w:val="20"/>
          <w:szCs w:val="20"/>
          <w:color w:val="auto"/>
        </w:rPr>
      </w:pPr>
    </w:p>
    <w:p>
      <w:pPr>
        <w:ind w:left="86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3">
        <w:r>
          <w:rPr>
            <w:rFonts w:ascii="Times New Roman" w:cs="Times New Roman" w:eastAsia="Times New Roman" w:hAnsi="Times New Roman"/>
            <w:sz w:val="18"/>
            <w:szCs w:val="18"/>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40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1220"/>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10-Q filed by the Registrant on May 8, 2015.)</w:t>
        </w:r>
      </w:hyperlink>
    </w:p>
    <w:p>
      <w:pPr>
        <w:spacing w:after="0" w:line="7" w:lineRule="exact"/>
        <w:rPr>
          <w:sz w:val="20"/>
          <w:szCs w:val="20"/>
          <w:color w:val="auto"/>
        </w:rPr>
      </w:pPr>
    </w:p>
    <w:p>
      <w:pPr>
        <w:ind w:left="1220" w:right="340" w:hanging="368"/>
        <w:spacing w:after="0" w:line="24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5">
        <w:r>
          <w:rPr>
            <w:rFonts w:ascii="Times New Roman" w:cs="Times New Roman" w:eastAsia="Times New Roman" w:hAnsi="Times New Roman"/>
            <w:sz w:val="18"/>
            <w:szCs w:val="18"/>
            <w:u w:val="single" w:color="auto"/>
            <w:color w:val="0000FF"/>
          </w:rPr>
          <w:t>Ninth Amended and Restated Bylaws of the Registrant. (Incorporated by reference from the Annual Report on Form 10-K filed by the</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Registrant on February 28, 2020.)</w:t>
        </w:r>
      </w:hyperlink>
    </w:p>
    <w:p>
      <w:pPr>
        <w:spacing w:after="0" w:line="1"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of Periodic Report Pursuant to Rule 13a – 14(a) and Rule 15d – 14(a).</w:t>
      </w:r>
    </w:p>
    <w:p>
      <w:pPr>
        <w:spacing w:after="0" w:line="23"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Periodic Report Pursuant to Rule 13a – 14(a) and Rule 15d – 14(a).</w:t>
      </w:r>
    </w:p>
    <w:p>
      <w:pPr>
        <w:spacing w:after="0" w:line="23" w:lineRule="exact"/>
        <w:rPr>
          <w:sz w:val="20"/>
          <w:szCs w:val="20"/>
          <w:color w:val="auto"/>
        </w:rPr>
      </w:pPr>
    </w:p>
    <w:p>
      <w:pPr>
        <w:ind w:left="1220" w:hanging="316"/>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(furnished herewith).</w:t>
      </w:r>
    </w:p>
    <w:p>
      <w:pPr>
        <w:spacing w:after="0" w:line="23" w:lineRule="exact"/>
        <w:rPr>
          <w:sz w:val="20"/>
          <w:szCs w:val="20"/>
          <w:color w:val="auto"/>
        </w:rPr>
      </w:pPr>
    </w:p>
    <w:p>
      <w:pPr>
        <w:jc w:val="both"/>
        <w:ind w:left="1220" w:right="20" w:hanging="406"/>
        <w:spacing w:after="0" w:line="217" w:lineRule="auto"/>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Wynn Resorts, Limited's Quarterly Report on Form 10-Q, formatted in Inline XBRL (Inline Extensible Business Reporting Language): (i) the Condensed Consolidated Balance Sheets as of September 30, 2022 and December 31, 2021; (ii) the Condensed Consolidated Statements of Operations for the three and nine months ended September 30, 2022 and 2021; (iii) the Condensed Consolidated Statements of Comprehensive Loss for the three and nine months ended September 30, 2022 and 2021; (iv) the Condensed Consolidated Statements of Stockholders' Deficit for the three and nine months ended September 30, 2022 and 2021; (v) the Condensed Consolidated Statements of Cash Flows for the nine months ended September 30, 2022 and 2021; and (vi) Notes to Condensed Consolidated Financial Statements. The instance document does not appear in the Interactive Data File because its XBRL tags are embedded within the Inline XBRL document.</w:t>
      </w:r>
    </w:p>
    <w:p>
      <w:pPr>
        <w:spacing w:after="0" w:line="1" w:lineRule="exact"/>
        <w:rPr>
          <w:sz w:val="20"/>
          <w:szCs w:val="20"/>
          <w:color w:val="auto"/>
        </w:rPr>
      </w:pPr>
    </w:p>
    <w:p>
      <w:pPr>
        <w:ind w:left="8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tab/>
        <w:t>Cover Page Interactive Data File - The cover page XBRL tags are embedded within the Inline XBRL document.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3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0740"/>
          </w:cols>
          <w:pgMar w:left="320" w:top="118" w:right="8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24765</wp:posOffset>
            </wp:positionV>
            <wp:extent cx="26231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5740" w:space="720"/>
            <w:col w:w="4280"/>
          </w:cols>
          <w:pgMar w:left="320" w:top="118" w:right="839" w:bottom="1440" w:gutter="0" w:footer="0" w:header="0"/>
          <w:type w:val="continuous"/>
        </w:sectPr>
      </w:pPr>
    </w:p>
    <w:p>
      <w:pPr>
        <w:ind w:left="646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40"/>
          </w:cols>
          <w:pgMar w:left="320" w:top="118" w:right="8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90"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03"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20" w:right="140" w:hanging="812"/>
        <w:spacing w:after="0" w:line="276" w:lineRule="auto"/>
        <w:tabs>
          <w:tab w:leader="none" w:pos="8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620" w:right="180" w:hanging="802"/>
        <w:spacing w:after="0" w:line="266" w:lineRule="auto"/>
        <w:tabs>
          <w:tab w:leader="none" w:pos="16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620" w:right="280" w:hanging="802"/>
        <w:spacing w:after="0" w:line="266"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620" w:right="140" w:hanging="802"/>
        <w:spacing w:after="0" w:line="282" w:lineRule="auto"/>
        <w:tabs>
          <w:tab w:leader="none" w:pos="16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620" w:right="420" w:hanging="802"/>
        <w:spacing w:after="0" w:line="282"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r>
      <w:tr>
        <w:trPr>
          <w:trHeight w:val="218"/>
        </w:trPr>
        <w:tc>
          <w:tcPr>
            <w:tcW w:w="68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r>
      <w:tr>
        <w:trPr>
          <w:trHeight w:val="230"/>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34"/>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98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Cameron-Doe, certify that:</w:t>
      </w:r>
    </w:p>
    <w:p>
      <w:pPr>
        <w:spacing w:after="0" w:line="90" w:lineRule="exact"/>
        <w:rPr>
          <w:sz w:val="20"/>
          <w:szCs w:val="20"/>
          <w:color w:val="auto"/>
        </w:rPr>
      </w:pPr>
    </w:p>
    <w:p>
      <w:pPr>
        <w:ind w:left="820" w:hanging="812"/>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03"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20" w:right="140" w:hanging="812"/>
        <w:spacing w:after="0" w:line="276" w:lineRule="auto"/>
        <w:tabs>
          <w:tab w:leader="none" w:pos="8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620" w:right="180" w:hanging="802"/>
        <w:spacing w:after="0" w:line="266" w:lineRule="auto"/>
        <w:tabs>
          <w:tab w:leader="none" w:pos="16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620" w:right="280" w:hanging="802"/>
        <w:spacing w:after="0" w:line="266" w:lineRule="auto"/>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620" w:right="140" w:hanging="802"/>
        <w:spacing w:after="0" w:line="282" w:lineRule="auto"/>
        <w:tabs>
          <w:tab w:leader="none" w:pos="16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620" w:right="420" w:hanging="802"/>
        <w:spacing w:after="0" w:line="282" w:lineRule="auto"/>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r>
      <w:tr>
        <w:trPr>
          <w:trHeight w:val="218"/>
        </w:trPr>
        <w:tc>
          <w:tcPr>
            <w:tcW w:w="68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r>
      <w:tr>
        <w:trPr>
          <w:trHeight w:val="230"/>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4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September 30, 2022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980" w:hanging="97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right="600" w:hanging="972"/>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9,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9,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32"/>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3" Type="http://schemas.openxmlformats.org/officeDocument/2006/relationships/hyperlink" Target="http://www.sec.gov/Archives/edgar/data/1174922/000117492215000044/ex-31.htm" TargetMode="External"/><Relationship Id="rId65"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2022-11-10T08:37:41Z</dcterms:created>
  <dcterms:modified xsi:type="dcterms:W3CDTF">2022-11-10T08:37:41Z</dcterms:modified>
</cp:coreProperties>
</file>