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74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tcPr>
          <w:p>
            <w:pPr>
              <w:ind w:left="1960"/>
              <w:spacing w:after="0"/>
              <w:rPr>
                <w:sz w:val="20"/>
                <w:szCs w:val="20"/>
                <w:color w:val="auto"/>
              </w:rPr>
            </w:pPr>
            <w:r>
              <w:rPr>
                <w:rFonts w:ascii="Arial" w:cs="Arial" w:eastAsia="Arial" w:hAnsi="Arial"/>
                <w:sz w:val="18"/>
                <w:szCs w:val="18"/>
                <w:b w:val="1"/>
                <w:bCs w:val="1"/>
                <w:color w:val="auto"/>
              </w:rPr>
              <w:t>000-50028</w:t>
            </w:r>
          </w:p>
        </w:tc>
        <w:tc>
          <w:tcPr>
            <w:tcW w:w="21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7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(State or other jurisdiction</w:t>
            </w:r>
          </w:p>
        </w:tc>
        <w:tc>
          <w:tcPr>
            <w:tcW w:w="4560" w:type="dxa"/>
            <w:vAlign w:val="bottom"/>
          </w:tcPr>
          <w:p>
            <w:pPr>
              <w:ind w:left="1940"/>
              <w:spacing w:after="0"/>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4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56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740" w:type="dxa"/>
            <w:vAlign w:val="bottom"/>
          </w:tcPr>
          <w:p>
            <w:pPr>
              <w:jc w:val="center"/>
              <w:ind w:right="159"/>
              <w:spacing w:after="0"/>
              <w:rPr>
                <w:sz w:val="20"/>
                <w:szCs w:val="20"/>
                <w:color w:val="auto"/>
              </w:rPr>
            </w:pPr>
            <w:r>
              <w:rPr>
                <w:rFonts w:ascii="Arial" w:cs="Arial" w:eastAsia="Arial" w:hAnsi="Arial"/>
                <w:sz w:val="18"/>
                <w:szCs w:val="18"/>
                <w:b w:val="1"/>
                <w:bCs w:val="1"/>
                <w:color w:val="auto"/>
                <w:w w:val="88"/>
              </w:rPr>
              <w:t>3131 Las Vegas Boulevard South</w:t>
            </w:r>
          </w:p>
        </w:tc>
        <w:tc>
          <w:tcPr>
            <w:tcW w:w="45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34"/>
        </w:trPr>
        <w:tc>
          <w:tcPr>
            <w:tcW w:w="2740" w:type="dxa"/>
            <w:vAlign w:val="bottom"/>
          </w:tcPr>
          <w:p>
            <w:pPr>
              <w:jc w:val="center"/>
              <w:ind w:right="139"/>
              <w:spacing w:after="0"/>
              <w:rPr>
                <w:sz w:val="20"/>
                <w:szCs w:val="20"/>
                <w:color w:val="auto"/>
              </w:rPr>
            </w:pPr>
            <w:r>
              <w:rPr>
                <w:rFonts w:ascii="Arial" w:cs="Arial" w:eastAsia="Arial" w:hAnsi="Arial"/>
                <w:sz w:val="18"/>
                <w:szCs w:val="18"/>
                <w:b w:val="1"/>
                <w:bCs w:val="1"/>
                <w:color w:val="auto"/>
                <w:w w:val="88"/>
              </w:rPr>
              <w:t>Las Vegas, Nevada</w:t>
            </w:r>
          </w:p>
        </w:tc>
        <w:tc>
          <w:tcPr>
            <w:tcW w:w="4560" w:type="dxa"/>
            <w:vAlign w:val="bottom"/>
          </w:tcPr>
          <w:p>
            <w:pPr>
              <w:spacing w:after="0"/>
              <w:rPr>
                <w:sz w:val="20"/>
                <w:szCs w:val="20"/>
                <w:color w:val="auto"/>
              </w:rPr>
            </w:pPr>
          </w:p>
        </w:tc>
        <w:tc>
          <w:tcPr>
            <w:tcW w:w="21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74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spacing w:after="0"/>
              <w:rPr>
                <w:sz w:val="18"/>
                <w:szCs w:val="18"/>
                <w:color w:val="auto"/>
              </w:rPr>
            </w:pPr>
          </w:p>
        </w:tc>
        <w:tc>
          <w:tcPr>
            <w:tcW w:w="2100" w:type="dxa"/>
            <w:vAlign w:val="bottom"/>
          </w:tcPr>
          <w:p>
            <w:pPr>
              <w:jc w:val="center"/>
              <w:ind w:left="901"/>
              <w:spacing w:after="0"/>
              <w:rPr>
                <w:sz w:val="20"/>
                <w:szCs w:val="20"/>
                <w:color w:val="auto"/>
              </w:rPr>
            </w:pPr>
            <w:r>
              <w:rPr>
                <w:rFonts w:ascii="Arial" w:cs="Arial" w:eastAsia="Arial" w:hAnsi="Arial"/>
                <w:sz w:val="14"/>
                <w:szCs w:val="14"/>
                <w:b w:val="1"/>
                <w:bCs w:val="1"/>
                <w:color w:val="auto"/>
                <w:w w:val="98"/>
              </w:rPr>
              <w:t>(Zip Code)</w:t>
            </w:r>
          </w:p>
        </w:tc>
      </w:tr>
      <w:tr>
        <w:trPr>
          <w:trHeight w:val="489"/>
        </w:trPr>
        <w:tc>
          <w:tcPr>
            <w:tcW w:w="27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100" w:type="dxa"/>
            <w:vAlign w:val="bottom"/>
          </w:tcPr>
          <w:p>
            <w:pPr>
              <w:spacing w:after="0"/>
              <w:rPr>
                <w:sz w:val="24"/>
                <w:szCs w:val="24"/>
                <w:color w:val="auto"/>
              </w:rPr>
            </w:pPr>
          </w:p>
        </w:tc>
      </w:tr>
      <w:tr>
        <w:trPr>
          <w:trHeight w:val="186"/>
        </w:trPr>
        <w:tc>
          <w:tcPr>
            <w:tcW w:w="274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100" w:type="dxa"/>
            <w:vAlign w:val="bottom"/>
          </w:tcPr>
          <w:p>
            <w:pPr>
              <w:spacing w:after="0"/>
              <w:rPr>
                <w:sz w:val="16"/>
                <w:szCs w:val="16"/>
                <w:color w:val="auto"/>
              </w:rPr>
            </w:pPr>
          </w:p>
        </w:tc>
      </w:tr>
      <w:tr>
        <w:trPr>
          <w:trHeight w:val="408"/>
        </w:trPr>
        <w:tc>
          <w:tcPr>
            <w:tcW w:w="27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100" w:type="dxa"/>
            <w:vAlign w:val="bottom"/>
          </w:tcPr>
          <w:p>
            <w:pPr>
              <w:spacing w:after="0"/>
              <w:rPr>
                <w:sz w:val="24"/>
                <w:szCs w:val="24"/>
                <w:color w:val="auto"/>
              </w:rPr>
            </w:pPr>
          </w:p>
        </w:tc>
      </w:tr>
      <w:tr>
        <w:trPr>
          <w:trHeight w:val="186"/>
        </w:trPr>
        <w:tc>
          <w:tcPr>
            <w:tcW w:w="274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100" w:type="dxa"/>
            <w:vAlign w:val="bottom"/>
          </w:tcPr>
          <w:p>
            <w:pPr>
              <w:spacing w:after="0"/>
              <w:rPr>
                <w:sz w:val="16"/>
                <w:szCs w:val="16"/>
                <w:color w:val="auto"/>
              </w:rPr>
            </w:pPr>
          </w:p>
        </w:tc>
      </w:tr>
      <w:tr>
        <w:trPr>
          <w:trHeight w:val="134"/>
        </w:trPr>
        <w:tc>
          <w:tcPr>
            <w:tcW w:w="2740" w:type="dxa"/>
            <w:vAlign w:val="bottom"/>
          </w:tcPr>
          <w:p>
            <w:pPr>
              <w:spacing w:after="0"/>
              <w:rPr>
                <w:sz w:val="11"/>
                <w:szCs w:val="11"/>
                <w:color w:val="auto"/>
              </w:rPr>
            </w:pPr>
          </w:p>
        </w:tc>
        <w:tc>
          <w:tcPr>
            <w:tcW w:w="456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r>
    </w:tbl>
    <w:p>
      <w:pPr>
        <w:spacing w:after="0" w:line="323"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38"/>
        </w:trPr>
        <w:tc>
          <w:tcPr>
            <w:tcW w:w="11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20" w:type="dxa"/>
            <w:vAlign w:val="bottom"/>
          </w:tcPr>
          <w:p>
            <w:pPr>
              <w:spacing w:after="0"/>
              <w:rPr>
                <w:sz w:val="24"/>
                <w:szCs w:val="24"/>
                <w:color w:val="auto"/>
              </w:rPr>
            </w:pPr>
          </w:p>
        </w:tc>
        <w:tc>
          <w:tcPr>
            <w:tcW w:w="330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456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Common stock, $0.01 par value</w:t>
            </w:r>
          </w:p>
        </w:tc>
        <w:tc>
          <w:tcPr>
            <w:tcW w:w="400" w:type="dxa"/>
            <w:vAlign w:val="bottom"/>
          </w:tcPr>
          <w:p>
            <w:pPr>
              <w:spacing w:after="0"/>
              <w:rPr>
                <w:sz w:val="24"/>
                <w:szCs w:val="24"/>
                <w:color w:val="auto"/>
              </w:rPr>
            </w:pPr>
          </w:p>
        </w:tc>
        <w:tc>
          <w:tcPr>
            <w:tcW w:w="2900" w:type="dxa"/>
            <w:vAlign w:val="bottom"/>
            <w:gridSpan w:val="2"/>
          </w:tcPr>
          <w:p>
            <w:pPr>
              <w:jc w:val="center"/>
              <w:ind w:right="1460"/>
              <w:spacing w:after="0"/>
              <w:rPr>
                <w:sz w:val="20"/>
                <w:szCs w:val="20"/>
                <w:color w:val="auto"/>
              </w:rPr>
            </w:pPr>
            <w:r>
              <w:rPr>
                <w:rFonts w:ascii="Arial" w:cs="Arial" w:eastAsia="Arial" w:hAnsi="Arial"/>
                <w:sz w:val="18"/>
                <w:szCs w:val="18"/>
                <w:color w:val="auto"/>
              </w:rPr>
              <w:t>WYNN</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47" w:right="25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20" w:space="720"/>
            <w:col w:w="9740"/>
          </w:cols>
          <w:pgMar w:left="240" w:top="1013" w:right="279" w:bottom="1440" w:gutter="0" w:footer="0" w:header="0"/>
        </w:sectPr>
      </w:pPr>
    </w:p>
    <w:p>
      <w:pPr>
        <w:ind w:right="200" w:firstLine="324"/>
        <w:spacing w:after="0" w:line="277" w:lineRule="auto"/>
        <w:rPr>
          <w:sz w:val="20"/>
          <w:szCs w:val="20"/>
          <w:color w:val="auto"/>
        </w:rPr>
      </w:pPr>
      <w:r>
        <w:rPr>
          <w:rFonts w:ascii="Arial" w:cs="Arial" w:eastAsia="Arial" w:hAnsi="Arial"/>
          <w:sz w:val="18"/>
          <w:szCs w:val="18"/>
          <w:color w:val="auto"/>
        </w:rPr>
        <w:t>On May 29, 2019, Wynn Resorts, Limited (the “Company”) entered into the following agreements, consistent with its historical practice of confirming the terms of its executive’s employment in written agreements.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May 29, 2019, the Company appointed Craig S. Billings, age 46, to serve as President and Chief Financial Officer of the Company. Mr. Billings has served as Chief Financial Officer of the Company since March 2017. The Company entered into a second amendment (the “Billings Amendment”) to the Employment Agreement, dated as of March 1, 2017, as amended on March 1, 2018, by and between the Company and Craig Billings. The Billings Amendment, effective as of May 29, 2019, provides for the following compensation changes: (i) an increase to his annual base salary from $875,000 to $1,200,000 and (ii) an annual target equity grant of restricted stock equal to 180% of his base salary. Mr. Billings continues to be eligible for annual cash bonus compensation under the Company’s incentive plan at his current target award level. The Billings Amendment extends the term of his agreement by one year. Equity awards granted to Mr. Billings previously under his existing agreement with the Company pursuant to the 2014 Omnibus Incentive Plan remain unchanged.</w:t>
      </w:r>
    </w:p>
    <w:p>
      <w:pPr>
        <w:spacing w:after="0" w:line="192" w:lineRule="exact"/>
        <w:rPr>
          <w:sz w:val="20"/>
          <w:szCs w:val="20"/>
          <w:color w:val="auto"/>
        </w:rPr>
      </w:pPr>
    </w:p>
    <w:p>
      <w:pPr>
        <w:jc w:val="both"/>
        <w:ind w:right="80" w:firstLine="324"/>
        <w:spacing w:after="0" w:line="255" w:lineRule="auto"/>
        <w:rPr>
          <w:sz w:val="20"/>
          <w:szCs w:val="20"/>
          <w:color w:val="auto"/>
        </w:rPr>
      </w:pPr>
      <w:r>
        <w:rPr>
          <w:rFonts w:ascii="Arial" w:cs="Arial" w:eastAsia="Arial" w:hAnsi="Arial"/>
          <w:sz w:val="18"/>
          <w:szCs w:val="18"/>
          <w:color w:val="auto"/>
        </w:rPr>
        <w:t>On May 29, 2019, the Company entered into a first amendment (the “Whittemore Amendment”) to the Employment Agreement, dated as of August 2, 2018, by and between the Company and Ellen Whittemore, Executive Vice President and General Counsel of the Company. The Whittemore Amendment is effective as of May 29, 2019 and provides for the following compensation changes: (i) an increase to her annual base salary from $600,000 to $700,000, (ii) an annual target bonus under the Company’s incentive plan of not less than 200% of the base salary, and (iii) an annual target equity grant of restricted stock equal to 150% of her base salary. Equity awards granted to Ms. Whittemore previously under her existing agreement with the Company pursuant to the 2014 Omnibus Incentive Plan remain unchanged.</w:t>
      </w:r>
    </w:p>
    <w:p>
      <w:pPr>
        <w:spacing w:after="0" w:line="193"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The foregoing descriptions do not purport to be complete and are qualified in their entirety by reference to the full text of the Billings Amendment and the Whittemore Amendment, which will be filed as exhibits to the Registrant’s Quarterly Report on Form 10-Q for the quarter ended June 30, 2019.</w:t>
      </w:r>
    </w:p>
    <w:p>
      <w:pPr>
        <w:sectPr>
          <w:pgSz w:w="11900" w:h="16838" w:orient="portrait"/>
          <w:cols w:equalWidth="0" w:num="1">
            <w:col w:w="11380"/>
          </w:cols>
          <w:pgMar w:left="240" w:top="1013" w:right="279" w:bottom="1440" w:gutter="0" w:footer="0" w:header="0"/>
          <w:type w:val="continuous"/>
        </w:sectPr>
      </w:pPr>
    </w:p>
    <w:bookmarkStart w:id="2" w:name="page3"/>
    <w:bookmarkEnd w:id="2"/>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180" w:val="left"/>
          <w:tab w:leader="none" w:pos="6980" w:val="left"/>
        </w:tabs>
        <w:rPr>
          <w:sz w:val="20"/>
          <w:szCs w:val="20"/>
          <w:color w:val="auto"/>
        </w:rPr>
      </w:pPr>
      <w:r>
        <w:rPr>
          <w:rFonts w:ascii="Arial" w:cs="Arial" w:eastAsia="Arial" w:hAnsi="Arial"/>
          <w:sz w:val="18"/>
          <w:szCs w:val="18"/>
          <w:color w:val="auto"/>
        </w:rPr>
        <w:t>Dated: June 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Ellen F. Whittemore</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2019-12-02T01:09:23Z</dcterms:created>
  <dcterms:modified xsi:type="dcterms:W3CDTF">2019-12-02T01:09:23Z</dcterms:modified>
</cp:coreProperties>
</file>