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67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673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MADDOX MATT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WYNN RESORTS, LIMITED</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WYNN RESORTS LTD</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WYNN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05/01/2018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6"/>
        <w:spacing w:after="0"/>
        <w:rPr>
          <w:sz w:val="20"/>
          <w:szCs w:val="20"/>
          <w:color w:val="auto"/>
        </w:rPr>
      </w:pPr>
      <w:r>
        <w:rPr>
          <w:rFonts w:ascii="Arial" w:cs="Arial" w:eastAsia="Arial" w:hAnsi="Arial"/>
          <w:sz w:val="17"/>
          <w:szCs w:val="17"/>
          <w:color w:val="0000FF"/>
        </w:rPr>
        <w:t>CEO and President</w:t>
      </w:r>
    </w:p>
    <w:p>
      <w:pPr>
        <w:spacing w:after="0" w:line="4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740" w:type="dxa"/>
            <w:vAlign w:val="bottom"/>
            <w:gridSpan w:val="6"/>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60" w:type="dxa"/>
            <w:vAlign w:val="bottom"/>
            <w:gridSpan w:val="10"/>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gridSpan w:val="2"/>
          </w:tcPr>
          <w:p>
            <w:pPr>
              <w:ind w:left="4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60" w:type="dxa"/>
            <w:vAlign w:val="bottom"/>
            <w:gridSpan w:val="10"/>
            <w:vMerge w:val="restart"/>
          </w:tcPr>
          <w:p>
            <w:pPr>
              <w:ind w:left="6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LAS VEGAS</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NV</w:t>
            </w:r>
          </w:p>
        </w:tc>
        <w:tc>
          <w:tcPr>
            <w:tcW w:w="580" w:type="dxa"/>
            <w:vAlign w:val="bottom"/>
            <w:vMerge w:val="restart"/>
          </w:tcPr>
          <w:p>
            <w:pPr>
              <w:ind w:left="60"/>
              <w:spacing w:after="0"/>
              <w:rPr>
                <w:sz w:val="20"/>
                <w:szCs w:val="20"/>
                <w:color w:val="auto"/>
              </w:rPr>
            </w:pPr>
            <w:r>
              <w:rPr>
                <w:rFonts w:ascii="Arial" w:cs="Arial" w:eastAsia="Arial" w:hAnsi="Arial"/>
                <w:sz w:val="17"/>
                <w:szCs w:val="17"/>
                <w:color w:val="0000FF"/>
              </w:rPr>
              <w:t>89109</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4"/>
          </w:tcPr>
          <w:p>
            <w:pPr>
              <w:jc w:val="center"/>
              <w:ind w:left="73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180" w:type="dxa"/>
            <w:vAlign w:val="bottom"/>
            <w:gridSpan w:val="6"/>
          </w:tcPr>
          <w:p>
            <w:pPr>
              <w:ind w:left="60"/>
              <w:spacing w:after="0"/>
              <w:rPr>
                <w:sz w:val="20"/>
                <w:szCs w:val="20"/>
                <w:color w:val="auto"/>
              </w:rPr>
            </w:pPr>
            <w:r>
              <w:rPr>
                <w:rFonts w:ascii="Arial" w:cs="Arial" w:eastAsia="Arial" w:hAnsi="Arial"/>
                <w:sz w:val="17"/>
                <w:szCs w:val="17"/>
                <w:color w:val="0000FF"/>
                <w:w w:val="97"/>
              </w:rPr>
              <w:t>Common Stock, par value $0.01 per share</w:t>
            </w:r>
          </w:p>
        </w:tc>
        <w:tc>
          <w:tcPr>
            <w:tcW w:w="1080" w:type="dxa"/>
            <w:vAlign w:val="bottom"/>
            <w:gridSpan w:val="3"/>
          </w:tcPr>
          <w:p>
            <w:pPr>
              <w:ind w:left="180"/>
              <w:spacing w:after="0"/>
              <w:rPr>
                <w:sz w:val="20"/>
                <w:szCs w:val="20"/>
                <w:color w:val="auto"/>
              </w:rPr>
            </w:pPr>
            <w:r>
              <w:rPr>
                <w:rFonts w:ascii="Arial" w:cs="Arial" w:eastAsia="Arial" w:hAnsi="Arial"/>
                <w:sz w:val="17"/>
                <w:szCs w:val="17"/>
                <w:color w:val="0000FF"/>
              </w:rPr>
              <w:t>05/01/2018</w:t>
            </w: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jc w:val="center"/>
              <w:ind w:right="278"/>
              <w:spacing w:after="0"/>
              <w:rPr>
                <w:sz w:val="20"/>
                <w:szCs w:val="20"/>
                <w:color w:val="auto"/>
              </w:rPr>
            </w:pPr>
            <w:r>
              <w:rPr>
                <w:rFonts w:ascii="Arial" w:cs="Arial" w:eastAsia="Arial" w:hAnsi="Arial"/>
                <w:sz w:val="13"/>
                <w:szCs w:val="13"/>
                <w:color w:val="0000FF"/>
              </w:rPr>
              <w:t>M</w:t>
            </w:r>
          </w:p>
        </w:tc>
        <w:tc>
          <w:tcPr>
            <w:tcW w:w="780" w:type="dxa"/>
            <w:vAlign w:val="bottom"/>
          </w:tcPr>
          <w:p>
            <w:pPr>
              <w:jc w:val="right"/>
              <w:ind w:right="52"/>
              <w:spacing w:after="0"/>
              <w:rPr>
                <w:sz w:val="20"/>
                <w:szCs w:val="20"/>
                <w:color w:val="auto"/>
              </w:rPr>
            </w:pPr>
            <w:r>
              <w:rPr>
                <w:rFonts w:ascii="Arial" w:cs="Arial" w:eastAsia="Arial" w:hAnsi="Arial"/>
                <w:sz w:val="17"/>
                <w:szCs w:val="17"/>
                <w:color w:val="0000FF"/>
              </w:rPr>
              <w:t>25,000</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107.95</w:t>
            </w:r>
          </w:p>
        </w:tc>
        <w:tc>
          <w:tcPr>
            <w:tcW w:w="120" w:type="dxa"/>
            <w:vAlign w:val="bottom"/>
          </w:tcPr>
          <w:p>
            <w:pPr>
              <w:spacing w:after="0"/>
              <w:rPr>
                <w:sz w:val="23"/>
                <w:szCs w:val="23"/>
                <w:color w:val="auto"/>
              </w:rPr>
            </w:pPr>
          </w:p>
        </w:tc>
        <w:tc>
          <w:tcPr>
            <w:tcW w:w="1220" w:type="dxa"/>
            <w:vAlign w:val="bottom"/>
            <w:gridSpan w:val="2"/>
          </w:tcPr>
          <w:p>
            <w:pPr>
              <w:ind w:left="320"/>
              <w:spacing w:after="0"/>
              <w:rPr>
                <w:sz w:val="20"/>
                <w:szCs w:val="20"/>
                <w:color w:val="auto"/>
              </w:rPr>
            </w:pPr>
            <w:r>
              <w:rPr>
                <w:rFonts w:ascii="Arial" w:cs="Arial" w:eastAsia="Arial" w:hAnsi="Arial"/>
                <w:sz w:val="17"/>
                <w:szCs w:val="17"/>
                <w:color w:val="0000FF"/>
              </w:rPr>
              <w:t>409,654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180" w:type="dxa"/>
            <w:vAlign w:val="bottom"/>
            <w:tcBorders>
              <w:bottom w:val="single" w:sz="8" w:color="2C2C2C"/>
            </w:tcBorders>
            <w:gridSpan w:val="6"/>
          </w:tcPr>
          <w:p>
            <w:pPr>
              <w:spacing w:after="0"/>
              <w:rPr>
                <w:sz w:val="5"/>
                <w:szCs w:val="5"/>
                <w:color w:val="auto"/>
              </w:rPr>
            </w:pPr>
          </w:p>
        </w:tc>
        <w:tc>
          <w:tcPr>
            <w:tcW w:w="108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7"/>
              </w:rPr>
              <w:t>Common Stock, par value $0.01 per share</w:t>
            </w:r>
          </w:p>
        </w:tc>
        <w:tc>
          <w:tcPr>
            <w:tcW w:w="108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0000FF"/>
              </w:rPr>
              <w:t>05/01/2018</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91"/>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18,450</w:t>
            </w:r>
            <w:r>
              <w:rPr>
                <w:rFonts w:ascii="Arial" w:cs="Arial" w:eastAsia="Arial" w:hAnsi="Arial"/>
                <w:sz w:val="22"/>
                <w:szCs w:val="22"/>
                <w:color w:val="008000"/>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191.09</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391,204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60" w:type="dxa"/>
            <w:vAlign w:val="bottom"/>
            <w:gridSpan w:val="10"/>
          </w:tcPr>
          <w:p>
            <w:pPr>
              <w:ind w:lef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3"/>
              </w:rPr>
              <w:t>Stock,</w:t>
            </w: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25,000</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107.95</w:t>
            </w:r>
          </w:p>
        </w:tc>
        <w:tc>
          <w:tcPr>
            <w:tcW w:w="140" w:type="dxa"/>
            <w:vAlign w:val="bottom"/>
          </w:tcPr>
          <w:p>
            <w:pPr>
              <w:spacing w:after="0"/>
              <w:rPr>
                <w:sz w:val="5"/>
                <w:szCs w:val="5"/>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3"/>
                <w:szCs w:val="13"/>
                <w:color w:val="0000FF"/>
              </w:rPr>
              <w:t>05/01/2018</w:t>
            </w: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360" w:type="dxa"/>
            <w:vAlign w:val="bottom"/>
          </w:tcPr>
          <w:p>
            <w:pPr>
              <w:spacing w:after="0"/>
              <w:rPr>
                <w:sz w:val="5"/>
                <w:szCs w:val="5"/>
                <w:color w:val="auto"/>
              </w:rPr>
            </w:pPr>
          </w:p>
        </w:tc>
        <w:tc>
          <w:tcPr>
            <w:tcW w:w="820" w:type="dxa"/>
            <w:vAlign w:val="bottom"/>
            <w:vMerge w:val="restart"/>
          </w:tcPr>
          <w:p>
            <w:pPr>
              <w:ind w:left="380"/>
              <w:spacing w:after="0"/>
              <w:rPr>
                <w:sz w:val="20"/>
                <w:szCs w:val="20"/>
                <w:color w:val="auto"/>
              </w:rPr>
            </w:pPr>
            <w:r>
              <w:rPr>
                <w:rFonts w:ascii="Arial" w:cs="Arial" w:eastAsia="Arial" w:hAnsi="Arial"/>
                <w:sz w:val="13"/>
                <w:szCs w:val="13"/>
                <w:color w:val="0000FF"/>
              </w:rPr>
              <w:t>25,000</w:t>
            </w:r>
          </w:p>
        </w:tc>
        <w:tc>
          <w:tcPr>
            <w:tcW w:w="820" w:type="dxa"/>
            <w:vAlign w:val="bottom"/>
            <w:vMerge w:val="restart"/>
          </w:tcPr>
          <w:p>
            <w:pPr>
              <w:ind w:left="100"/>
              <w:spacing w:after="0"/>
              <w:rPr>
                <w:sz w:val="20"/>
                <w:szCs w:val="20"/>
                <w:color w:val="auto"/>
              </w:rPr>
            </w:pPr>
            <w:r>
              <w:rPr>
                <w:rFonts w:ascii="Arial" w:cs="Arial" w:eastAsia="Arial" w:hAnsi="Arial"/>
                <w:sz w:val="13"/>
                <w:szCs w:val="13"/>
                <w:color w:val="0000FF"/>
              </w:rPr>
              <w:t>12/05/2016</w:t>
            </w:r>
          </w:p>
        </w:tc>
        <w:tc>
          <w:tcPr>
            <w:tcW w:w="780" w:type="dxa"/>
            <w:vAlign w:val="bottom"/>
            <w:vMerge w:val="restart"/>
          </w:tcPr>
          <w:p>
            <w:pPr>
              <w:ind w:left="80"/>
              <w:spacing w:after="0"/>
              <w:rPr>
                <w:sz w:val="20"/>
                <w:szCs w:val="20"/>
                <w:color w:val="auto"/>
              </w:rPr>
            </w:pPr>
            <w:r>
              <w:rPr>
                <w:rFonts w:ascii="Arial" w:cs="Arial" w:eastAsia="Arial" w:hAnsi="Arial"/>
                <w:sz w:val="13"/>
                <w:szCs w:val="13"/>
                <w:color w:val="0000FF"/>
              </w:rPr>
              <w:t>05/06/2018</w:t>
            </w: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par value</w:t>
            </w: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gridSpan w:val="2"/>
          </w:tcPr>
          <w:p>
            <w:pPr>
              <w:ind w:left="60"/>
              <w:spacing w:after="0" w:line="92" w:lineRule="exact"/>
              <w:rPr>
                <w:sz w:val="20"/>
                <w:szCs w:val="20"/>
                <w:color w:val="auto"/>
              </w:rPr>
            </w:pPr>
            <w:r>
              <w:rPr>
                <w:rFonts w:ascii="Arial" w:cs="Arial" w:eastAsia="Arial" w:hAnsi="Arial"/>
                <w:sz w:val="10"/>
                <w:szCs w:val="10"/>
                <w:color w:val="0000FF"/>
              </w:rPr>
              <w:t>(right to</w:t>
            </w:r>
          </w:p>
        </w:tc>
        <w:tc>
          <w:tcPr>
            <w:tcW w:w="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36"/>
        </w:trPr>
        <w:tc>
          <w:tcPr>
            <w:tcW w:w="36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900" w:type="dxa"/>
            <w:vAlign w:val="bottom"/>
          </w:tcPr>
          <w:p>
            <w:pPr>
              <w:jc w:val="center"/>
              <w:ind w:left="3313"/>
              <w:spacing w:after="0" w:line="136" w:lineRule="exact"/>
              <w:rPr>
                <w:sz w:val="20"/>
                <w:szCs w:val="20"/>
                <w:color w:val="auto"/>
              </w:rPr>
            </w:pPr>
            <w:r>
              <w:rPr>
                <w:rFonts w:ascii="Arial" w:cs="Arial" w:eastAsia="Arial" w:hAnsi="Arial"/>
                <w:sz w:val="13"/>
                <w:szCs w:val="13"/>
                <w:color w:val="0000FF"/>
                <w:w w:val="94"/>
              </w:rPr>
              <w:t>$0.01 per</w:t>
            </w:r>
          </w:p>
        </w:tc>
        <w:tc>
          <w:tcPr>
            <w:tcW w:w="0" w:type="dxa"/>
            <w:vAlign w:val="bottom"/>
          </w:tcPr>
          <w:p>
            <w:pPr>
              <w:spacing w:after="0"/>
              <w:rPr>
                <w:sz w:val="1"/>
                <w:szCs w:val="1"/>
                <w:color w:val="auto"/>
              </w:rPr>
            </w:pPr>
          </w:p>
        </w:tc>
      </w:tr>
      <w:tr>
        <w:trPr>
          <w:trHeight w:val="91"/>
        </w:trPr>
        <w:tc>
          <w:tcPr>
            <w:tcW w:w="3640" w:type="dxa"/>
            <w:vAlign w:val="bottom"/>
            <w:vMerge w:val="continue"/>
          </w:tcPr>
          <w:p>
            <w:pPr>
              <w:spacing w:after="0"/>
              <w:rPr>
                <w:sz w:val="7"/>
                <w:szCs w:val="7"/>
                <w:color w:val="auto"/>
              </w:rPr>
            </w:pPr>
          </w:p>
        </w:tc>
        <w:tc>
          <w:tcPr>
            <w:tcW w:w="3900" w:type="dxa"/>
            <w:vAlign w:val="bottom"/>
            <w:vMerge w:val="restart"/>
          </w:tcPr>
          <w:p>
            <w:pPr>
              <w:jc w:val="center"/>
              <w:ind w:left="3313"/>
              <w:spacing w:after="0"/>
              <w:rPr>
                <w:sz w:val="20"/>
                <w:szCs w:val="20"/>
                <w:color w:val="auto"/>
              </w:rPr>
            </w:pPr>
            <w:r>
              <w:rPr>
                <w:rFonts w:ascii="Arial" w:cs="Arial" w:eastAsia="Arial" w:hAnsi="Arial"/>
                <w:sz w:val="13"/>
                <w:szCs w:val="13"/>
                <w:color w:val="0000FF"/>
                <w:w w:val="85"/>
              </w:rPr>
              <w:t>share</w:t>
            </w:r>
          </w:p>
        </w:tc>
        <w:tc>
          <w:tcPr>
            <w:tcW w:w="0" w:type="dxa"/>
            <w:vAlign w:val="bottom"/>
          </w:tcPr>
          <w:p>
            <w:pPr>
              <w:spacing w:after="0"/>
              <w:rPr>
                <w:sz w:val="1"/>
                <w:szCs w:val="1"/>
                <w:color w:val="auto"/>
              </w:rPr>
            </w:pPr>
          </w:p>
        </w:tc>
      </w:tr>
      <w:tr>
        <w:trPr>
          <w:trHeight w:val="80"/>
        </w:trPr>
        <w:tc>
          <w:tcPr>
            <w:tcW w:w="3640" w:type="dxa"/>
            <w:vAlign w:val="bottom"/>
          </w:tcPr>
          <w:p>
            <w:pPr>
              <w:spacing w:after="0"/>
              <w:rPr>
                <w:sz w:val="6"/>
                <w:szCs w:val="6"/>
                <w:color w:val="auto"/>
              </w:rPr>
            </w:pPr>
          </w:p>
        </w:tc>
        <w:tc>
          <w:tcPr>
            <w:tcW w:w="3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Maddox exercised options that were granted in 2008 and scheduled to expire on May 6, 2018. He sold shares only to pay the exercise price and associated taxes on the options, and retained the net number of shares.</w:t>
      </w:r>
    </w:p>
    <w:p>
      <w:pPr>
        <w:spacing w:after="0" w:line="9" w:lineRule="exact"/>
        <w:rPr>
          <w:rFonts w:ascii="Arial" w:cs="Arial" w:eastAsia="Arial" w:hAnsi="Arial"/>
          <w:sz w:val="13"/>
          <w:szCs w:val="13"/>
          <w:color w:val="008000"/>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weighted average price of multiple transactions with a range of prices between $190.78 and $191.57. The reporting person, upon request by the staff of the SEC, Wynn Resorts, Limited (the "Company") or by a security holder of the Company, undertakes to provide further information regarding the number of securities sold at each price.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Kathleen Tam,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05/03/2018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 for Matt Maddox</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587"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2019-12-04T01:00:24Z</dcterms:created>
  <dcterms:modified xsi:type="dcterms:W3CDTF">2019-12-04T01:00:24Z</dcterms:modified>
</cp:coreProperties>
</file>