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80"/>
        <w:spacing w:after="0"/>
        <w:tabs>
          <w:tab w:leader="none" w:pos="8140" w:val="left"/>
        </w:tabs>
        <w:rPr>
          <w:sz w:val="20"/>
          <w:szCs w:val="20"/>
          <w:color w:val="auto"/>
        </w:rPr>
      </w:pPr>
      <w:r>
        <w:rPr>
          <w:rFonts w:ascii="Arial" w:cs="Arial" w:eastAsia="Arial" w:hAnsi="Arial"/>
          <w:sz w:val="14"/>
          <w:szCs w:val="14"/>
          <w:b w:val="1"/>
          <w:bCs w:val="1"/>
          <w:color w:val="auto"/>
        </w:rPr>
        <w:t>As filed with the Securities and Exchange Commission on November 6, 2019</w:t>
      </w:r>
      <w:r>
        <w:rPr>
          <w:sz w:val="20"/>
          <w:szCs w:val="20"/>
          <w:color w:val="auto"/>
        </w:rPr>
        <w:tab/>
      </w: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168910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WYNN RESORTS, LIMITED</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177800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880" w:type="dxa"/>
        <w:tblCellMar>
          <w:top w:w="0" w:type="dxa"/>
          <w:left w:w="0" w:type="dxa"/>
          <w:bottom w:w="0" w:type="dxa"/>
          <w:right w:w="0" w:type="dxa"/>
        </w:tblCellMar>
      </w:tblPr>
      <w:tr>
        <w:trPr>
          <w:trHeight w:val="186"/>
        </w:trPr>
        <w:tc>
          <w:tcPr>
            <w:tcW w:w="3980" w:type="dxa"/>
            <w:vAlign w:val="bottom"/>
          </w:tcPr>
          <w:p>
            <w:pPr>
              <w:jc w:val="center"/>
              <w:ind w:right="2048"/>
              <w:spacing w:after="0"/>
              <w:rPr>
                <w:sz w:val="20"/>
                <w:szCs w:val="20"/>
                <w:color w:val="auto"/>
              </w:rPr>
            </w:pPr>
            <w:r>
              <w:rPr>
                <w:rFonts w:ascii="Arial" w:cs="Arial" w:eastAsia="Arial" w:hAnsi="Arial"/>
                <w:sz w:val="14"/>
                <w:szCs w:val="14"/>
                <w:b w:val="1"/>
                <w:bCs w:val="1"/>
                <w:color w:val="auto"/>
                <w:w w:val="92"/>
              </w:rPr>
              <w:t>Nevada</w:t>
            </w:r>
          </w:p>
        </w:tc>
        <w:tc>
          <w:tcPr>
            <w:tcW w:w="3540" w:type="dxa"/>
            <w:vAlign w:val="bottom"/>
          </w:tcPr>
          <w:p>
            <w:pPr>
              <w:jc w:val="center"/>
              <w:ind w:left="2048"/>
              <w:spacing w:after="0"/>
              <w:rPr>
                <w:sz w:val="20"/>
                <w:szCs w:val="20"/>
                <w:color w:val="auto"/>
              </w:rPr>
            </w:pPr>
            <w:r>
              <w:rPr>
                <w:rFonts w:ascii="Arial" w:cs="Arial" w:eastAsia="Arial" w:hAnsi="Arial"/>
                <w:sz w:val="14"/>
                <w:szCs w:val="14"/>
                <w:b w:val="1"/>
                <w:bCs w:val="1"/>
                <w:color w:val="auto"/>
                <w:w w:val="93"/>
              </w:rPr>
              <w:t>46-0484987</w:t>
            </w:r>
          </w:p>
        </w:tc>
      </w:tr>
      <w:tr>
        <w:trPr>
          <w:trHeight w:val="165"/>
        </w:trPr>
        <w:tc>
          <w:tcPr>
            <w:tcW w:w="3980" w:type="dxa"/>
            <w:vAlign w:val="bottom"/>
          </w:tcPr>
          <w:p>
            <w:pPr>
              <w:jc w:val="center"/>
              <w:ind w:right="2048"/>
              <w:spacing w:after="0"/>
              <w:rPr>
                <w:sz w:val="20"/>
                <w:szCs w:val="20"/>
                <w:color w:val="auto"/>
              </w:rPr>
            </w:pPr>
            <w:r>
              <w:rPr>
                <w:rFonts w:ascii="Arial" w:cs="Arial" w:eastAsia="Arial" w:hAnsi="Arial"/>
                <w:sz w:val="14"/>
                <w:szCs w:val="14"/>
                <w:b w:val="1"/>
                <w:bCs w:val="1"/>
                <w:color w:val="auto"/>
                <w:w w:val="92"/>
              </w:rPr>
              <w:t>(State or other jurisdiction of</w:t>
            </w:r>
          </w:p>
        </w:tc>
        <w:tc>
          <w:tcPr>
            <w:tcW w:w="3540" w:type="dxa"/>
            <w:vAlign w:val="bottom"/>
          </w:tcPr>
          <w:p>
            <w:pPr>
              <w:jc w:val="center"/>
              <w:ind w:left="202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2048"/>
              <w:spacing w:after="0"/>
              <w:rPr>
                <w:sz w:val="20"/>
                <w:szCs w:val="20"/>
                <w:color w:val="auto"/>
              </w:rPr>
            </w:pPr>
            <w:r>
              <w:rPr>
                <w:rFonts w:ascii="Arial" w:cs="Arial" w:eastAsia="Arial" w:hAnsi="Arial"/>
                <w:sz w:val="14"/>
                <w:szCs w:val="14"/>
                <w:b w:val="1"/>
                <w:bCs w:val="1"/>
                <w:color w:val="auto"/>
                <w:w w:val="93"/>
              </w:rPr>
              <w:t>incorporation or organization)</w:t>
            </w:r>
          </w:p>
        </w:tc>
        <w:tc>
          <w:tcPr>
            <w:tcW w:w="3540" w:type="dxa"/>
            <w:vAlign w:val="bottom"/>
          </w:tcPr>
          <w:p>
            <w:pPr>
              <w:jc w:val="center"/>
              <w:ind w:left="204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3131 Las Vegas Boulevard South</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Las Vegas, Nevada 89109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(702) 770-7555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Ellen Whittemore</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Executive Vice President, General Counsel and Secretary</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Wynn Resorts, Limited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3131 Las Vegas Boulevard South</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Las Vegas, Nevada 89109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(702) 770-7555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With a copy to:</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Joshua N. Korff, Esq. and Michael Kim, Esq.</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Kirkland &amp; Ellis LLP</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601 Lexington Avenue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NY 10022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446-4800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ind w:left="3600"/>
        <w:spacing w:after="0"/>
        <w:rPr>
          <w:sz w:val="20"/>
          <w:szCs w:val="20"/>
          <w:color w:val="auto"/>
        </w:rPr>
      </w:pPr>
      <w:r>
        <w:rPr>
          <w:rFonts w:ascii="Arial" w:cs="Arial" w:eastAsia="Arial" w:hAnsi="Arial"/>
          <w:sz w:val="14"/>
          <w:szCs w:val="14"/>
          <w:b w:val="1"/>
          <w:bCs w:val="1"/>
          <w:color w:val="auto"/>
        </w:rPr>
        <w:t>From time to time after this registration statement becomes effective.</w:t>
      </w:r>
    </w:p>
    <w:p>
      <w:pPr>
        <w:spacing w:after="0" w:line="17" w:lineRule="exact"/>
        <w:rPr>
          <w:sz w:val="24"/>
          <w:szCs w:val="24"/>
          <w:color w:val="auto"/>
        </w:rPr>
      </w:pPr>
    </w:p>
    <w:p>
      <w:pPr>
        <w:ind w:left="3620"/>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65" w:lineRule="exact"/>
        <w:rPr>
          <w:sz w:val="24"/>
          <w:szCs w:val="24"/>
          <w:color w:val="auto"/>
        </w:rPr>
      </w:pPr>
    </w:p>
    <w:p>
      <w:pPr>
        <w:ind w:right="20" w:firstLine="324"/>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76"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176"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firstLine="324"/>
        <w:spacing w:after="0" w:line="2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4"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26"/>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296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342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296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162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5280" w:type="dxa"/>
            <w:vAlign w:val="bottom"/>
          </w:tcPr>
          <w:p>
            <w:pPr>
              <w:ind w:left="296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53" w:lineRule="exact"/>
        <w:rPr>
          <w:sz w:val="20"/>
          <w:szCs w:val="20"/>
          <w:color w:val="auto"/>
        </w:rPr>
      </w:pPr>
    </w:p>
    <w:p>
      <w:pPr>
        <w:ind w:right="42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289560</wp:posOffset>
            </wp:positionV>
            <wp:extent cx="2169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1123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12331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2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Proposed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4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Title of each class of</w:t>
            </w:r>
          </w:p>
        </w:tc>
        <w:tc>
          <w:tcPr>
            <w:tcW w:w="1680" w:type="dxa"/>
            <w:vAlign w:val="bottom"/>
            <w:vMerge w:val="continue"/>
          </w:tcPr>
          <w:p>
            <w:pPr>
              <w:spacing w:after="0"/>
              <w:rPr>
                <w:sz w:val="12"/>
                <w:szCs w:val="12"/>
                <w:color w:val="auto"/>
              </w:rPr>
            </w:pPr>
          </w:p>
        </w:tc>
        <w:tc>
          <w:tcPr>
            <w:tcW w:w="16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4"/>
              </w:rPr>
              <w:t>maximum</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7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40" w:type="dxa"/>
            <w:vAlign w:val="bottom"/>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4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securities to be registered(1)</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registered(2)</w:t>
            </w:r>
          </w:p>
        </w:tc>
        <w:tc>
          <w:tcPr>
            <w:tcW w:w="16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per share(2)</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price(2)</w:t>
            </w:r>
          </w:p>
        </w:tc>
        <w:tc>
          <w:tcPr>
            <w:tcW w:w="178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3"/>
              </w:rPr>
              <w:t>registration fee(2)(3)</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Common stock, par value $0.01 per share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78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Preferred stock, par value $0.01 per share</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78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Depositary shares representing preferred stock(4)</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w w:val="99"/>
              </w:rPr>
              <w: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78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6"/>
        </w:trPr>
        <w:tc>
          <w:tcPr>
            <w:tcW w:w="4640" w:type="dxa"/>
            <w:vAlign w:val="bottom"/>
          </w:tcPr>
          <w:p>
            <w:pPr>
              <w:ind w:left="40"/>
              <w:spacing w:after="0" w:line="157" w:lineRule="exact"/>
              <w:rPr>
                <w:sz w:val="20"/>
                <w:szCs w:val="20"/>
                <w:color w:val="auto"/>
              </w:rPr>
            </w:pPr>
            <w:r>
              <w:rPr>
                <w:rFonts w:ascii="Arial" w:cs="Arial" w:eastAsia="Arial" w:hAnsi="Arial"/>
                <w:sz w:val="14"/>
                <w:szCs w:val="14"/>
                <w:color w:val="auto"/>
              </w:rPr>
              <w:t>Senior debt securities, senior subordinated debt securities, subordinated</w:t>
            </w:r>
          </w:p>
        </w:tc>
        <w:tc>
          <w:tcPr>
            <w:tcW w:w="1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640" w:type="dxa"/>
            <w:vAlign w:val="bottom"/>
          </w:tcPr>
          <w:p>
            <w:pPr>
              <w:ind w:left="40"/>
              <w:spacing w:after="0"/>
              <w:rPr>
                <w:sz w:val="20"/>
                <w:szCs w:val="20"/>
                <w:color w:val="auto"/>
              </w:rPr>
            </w:pPr>
            <w:r>
              <w:rPr>
                <w:rFonts w:ascii="Arial" w:cs="Arial" w:eastAsia="Arial" w:hAnsi="Arial"/>
                <w:sz w:val="14"/>
                <w:szCs w:val="14"/>
                <w:color w:val="auto"/>
              </w:rPr>
              <w:t>debt securities and junior subordinated debt securities</w:t>
            </w:r>
          </w:p>
        </w:tc>
        <w:tc>
          <w:tcPr>
            <w:tcW w:w="1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Pr>
          <w:p>
            <w:pPr>
              <w:jc w:val="center"/>
              <w:ind w:left="8"/>
              <w:spacing w:after="0"/>
              <w:rPr>
                <w:sz w:val="20"/>
                <w:szCs w:val="20"/>
                <w:color w:val="auto"/>
              </w:rPr>
            </w:pPr>
            <w:r>
              <w:rPr>
                <w:rFonts w:ascii="Arial" w:cs="Arial" w:eastAsia="Arial" w:hAnsi="Arial"/>
                <w:sz w:val="14"/>
                <w:szCs w:val="14"/>
                <w:color w:val="auto"/>
                <w:w w:val="99"/>
              </w:rPr>
              <w:t>—</w:t>
            </w:r>
          </w:p>
        </w:tc>
        <w:tc>
          <w:tcPr>
            <w:tcW w:w="17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780" w:type="dxa"/>
            <w:vAlign w:val="bottom"/>
          </w:tcPr>
          <w:p>
            <w:pPr>
              <w:jc w:val="center"/>
              <w:ind w:left="1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7" w:lineRule="exact"/>
        <w:rPr>
          <w:sz w:val="20"/>
          <w:szCs w:val="20"/>
          <w:color w:val="auto"/>
        </w:rPr>
      </w:pPr>
    </w:p>
    <w:p>
      <w:pPr>
        <w:ind w:left="460" w:hanging="330"/>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Any securities registered hereunder may be sold separately or as units with other securities registered hereunder.</w:t>
      </w:r>
    </w:p>
    <w:p>
      <w:pPr>
        <w:spacing w:after="0" w:line="13" w:lineRule="exact"/>
        <w:rPr>
          <w:rFonts w:ascii="Arial" w:cs="Arial" w:eastAsia="Arial" w:hAnsi="Arial"/>
          <w:sz w:val="14"/>
          <w:szCs w:val="14"/>
          <w:color w:val="auto"/>
        </w:rPr>
      </w:pPr>
    </w:p>
    <w:p>
      <w:pPr>
        <w:ind w:left="460" w:right="20" w:hanging="330"/>
        <w:spacing w:after="0" w:line="241"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aggregate offering price or number of securities of each identified class to be offered at indeterminate prices from time to time is being registered pursuant to this registration statement.</w:t>
      </w:r>
    </w:p>
    <w:p>
      <w:pPr>
        <w:ind w:left="460" w:hanging="330"/>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Rules 456(b) and 457(r), Wynn Resorts, Limited is deferring payment of the registration fee.</w:t>
      </w:r>
    </w:p>
    <w:p>
      <w:pPr>
        <w:spacing w:after="0" w:line="1" w:lineRule="exact"/>
        <w:rPr>
          <w:rFonts w:ascii="Arial" w:cs="Arial" w:eastAsia="Arial" w:hAnsi="Arial"/>
          <w:sz w:val="14"/>
          <w:szCs w:val="14"/>
          <w:color w:val="auto"/>
        </w:rPr>
      </w:pPr>
    </w:p>
    <w:p>
      <w:pPr>
        <w:ind w:left="460" w:hanging="330"/>
        <w:spacing w:after="0" w:line="255"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Such indeterminate number of depositary shares to be evidenced by depositary receipts issued under a deposit agreement. If fractional interests in shares of preferred stock are issued, depositary receipts will be distributed for such fractional interests and the shares of preferred stock will be issued to the depositary under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154940</wp:posOffset>
            </wp:positionV>
            <wp:extent cx="2950210" cy="127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5021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Wynn Resorts,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relates to offers and sales to the public from time to time of:</w:t>
      </w:r>
    </w:p>
    <w:p>
      <w:pPr>
        <w:spacing w:after="0" w:line="131" w:lineRule="exact"/>
        <w:rPr>
          <w:sz w:val="20"/>
          <w:szCs w:val="20"/>
          <w:color w:val="auto"/>
        </w:rPr>
      </w:pPr>
    </w:p>
    <w:p>
      <w:pPr>
        <w:ind w:left="640" w:hanging="321"/>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common stock, par value $0.01 per share;</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preferred stock, par value $0.01;</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depositary shares representing preferred stock;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Prospectus supplements will be filed and other offering material may be provided at later dates that will contain specific terms of each offering of our securities.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"WYNN." Our principal executive offices are located at 3131 Las Vegas Boulevard South, Las Vegas, Nevada 89109 and the telephone number of our principal executive offices is (702) 770-7555.</w:t>
      </w:r>
    </w:p>
    <w:p>
      <w:pPr>
        <w:spacing w:after="0" w:line="2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We urge you to read carefully this prospectus, any accompanying prospectus supplement and any other offering materials filed or provided by us before you make your investment decision. 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1.</w:t>
      </w:r>
    </w:p>
    <w:p>
      <w:pPr>
        <w:spacing w:after="0" w:line="32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Neither the Securities and Exchange Commission (the "SEC")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securities offered hereby. Any representation to the contrary is unlawful.</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6, 2019.</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100" w:type="dxa"/>
            <w:vAlign w:val="bottom"/>
            <w:gridSpan w:val="2"/>
          </w:tcPr>
          <w:p>
            <w:pPr>
              <w:jc w:val="right"/>
              <w:ind w:right="4630"/>
              <w:spacing w:after="0"/>
              <w:rPr>
                <w:sz w:val="20"/>
                <w:szCs w:val="20"/>
                <w:color w:val="auto"/>
              </w:rPr>
            </w:pPr>
            <w:r>
              <w:rPr>
                <w:rFonts w:ascii="Arial" w:cs="Arial" w:eastAsia="Arial" w:hAnsi="Arial"/>
                <w:sz w:val="18"/>
                <w:szCs w:val="18"/>
                <w:b w:val="1"/>
                <w:bCs w:val="1"/>
                <w:color w:val="auto"/>
              </w:rPr>
              <w:t>TABLE OF CONTENTS</w:t>
            </w:r>
          </w:p>
        </w:tc>
      </w:tr>
      <w:tr>
        <w:trPr>
          <w:trHeight w:val="918"/>
        </w:trPr>
        <w:tc>
          <w:tcPr>
            <w:tcW w:w="426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10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50"/>
        </w:trPr>
        <w:tc>
          <w:tcPr>
            <w:tcW w:w="2220" w:type="dxa"/>
            <w:vAlign w:val="bottom"/>
            <w:tcBorders>
              <w:top w:val="single" w:sz="8" w:color="0000EE"/>
            </w:tcBorders>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2040" w:type="dxa"/>
            <w:vAlign w:val="bottom"/>
            <w:gridSpan w:val="5"/>
          </w:tcPr>
          <w:p>
            <w:pPr>
              <w:spacing w:after="0"/>
              <w:rPr>
                <w:sz w:val="21"/>
                <w:szCs w:val="21"/>
                <w:color w:val="auto"/>
              </w:rPr>
            </w:pPr>
          </w:p>
        </w:tc>
        <w:tc>
          <w:tcPr>
            <w:tcW w:w="700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26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710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50"/>
        </w:trPr>
        <w:tc>
          <w:tcPr>
            <w:tcW w:w="2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INCORPORATION BY REFERENCE</w:t>
              </w:r>
            </w:hyperlink>
          </w:p>
        </w:tc>
        <w:tc>
          <w:tcPr>
            <w:tcW w:w="980" w:type="dxa"/>
            <w:vAlign w:val="bottom"/>
            <w:tcBorders>
              <w:top w:val="single" w:sz="8" w:color="0000EE"/>
            </w:tcBorders>
            <w:gridSpan w:val="3"/>
          </w:tcPr>
          <w:p>
            <w:pPr>
              <w:spacing w:after="0"/>
              <w:rPr>
                <w:sz w:val="21"/>
                <w:szCs w:val="21"/>
                <w:color w:val="auto"/>
              </w:rPr>
            </w:pPr>
          </w:p>
        </w:tc>
        <w:tc>
          <w:tcPr>
            <w:tcW w:w="46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r>
      <w:tr>
        <w:trPr>
          <w:trHeight w:val="250"/>
        </w:trPr>
        <w:tc>
          <w:tcPr>
            <w:tcW w:w="426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FORWARD-LOOKING STATEMENTS</w:t>
              </w:r>
            </w:hyperlink>
          </w:p>
        </w:tc>
        <w:tc>
          <w:tcPr>
            <w:tcW w:w="710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50"/>
        </w:trPr>
        <w:tc>
          <w:tcPr>
            <w:tcW w:w="1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THE COMPANY</w:t>
              </w:r>
            </w:hyperlink>
          </w:p>
        </w:tc>
        <w:tc>
          <w:tcPr>
            <w:tcW w:w="1640" w:type="dxa"/>
            <w:vAlign w:val="bottom"/>
            <w:tcBorders>
              <w:top w:val="single" w:sz="8" w:color="0000EE"/>
            </w:tcBorders>
            <w:gridSpan w:val="6"/>
          </w:tcPr>
          <w:p>
            <w:pPr>
              <w:spacing w:after="0"/>
              <w:rPr>
                <w:sz w:val="21"/>
                <w:szCs w:val="21"/>
                <w:color w:val="auto"/>
              </w:rPr>
            </w:pPr>
          </w:p>
        </w:tc>
        <w:tc>
          <w:tcPr>
            <w:tcW w:w="1340" w:type="dxa"/>
            <w:vAlign w:val="bottom"/>
            <w:gridSpan w:val="2"/>
          </w:tcPr>
          <w:p>
            <w:pPr>
              <w:spacing w:after="0"/>
              <w:rPr>
                <w:sz w:val="21"/>
                <w:szCs w:val="21"/>
                <w:color w:val="auto"/>
              </w:rPr>
            </w:pPr>
          </w:p>
        </w:tc>
        <w:tc>
          <w:tcPr>
            <w:tcW w:w="7000" w:type="dxa"/>
            <w:vAlign w:val="bottom"/>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r>
      <w:tr>
        <w:trPr>
          <w:trHeight w:val="250"/>
        </w:trPr>
        <w:tc>
          <w:tcPr>
            <w:tcW w:w="15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USE OF PROCEEDS</w:t>
              </w:r>
            </w:hyperlink>
          </w:p>
        </w:tc>
        <w:tc>
          <w:tcPr>
            <w:tcW w:w="2680" w:type="dxa"/>
            <w:vAlign w:val="bottom"/>
            <w:gridSpan w:val="6"/>
          </w:tcPr>
          <w:p>
            <w:pPr>
              <w:spacing w:after="0"/>
              <w:rPr>
                <w:sz w:val="21"/>
                <w:szCs w:val="21"/>
                <w:color w:val="auto"/>
              </w:rPr>
            </w:pPr>
          </w:p>
        </w:tc>
        <w:tc>
          <w:tcPr>
            <w:tcW w:w="700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r>
      <w:tr>
        <w:trPr>
          <w:trHeight w:val="250"/>
        </w:trPr>
        <w:tc>
          <w:tcPr>
            <w:tcW w:w="426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DESCRIPTION OF THE SECURITIES</w:t>
              </w:r>
            </w:hyperlink>
          </w:p>
        </w:tc>
        <w:tc>
          <w:tcPr>
            <w:tcW w:w="710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50"/>
        </w:trPr>
        <w:tc>
          <w:tcPr>
            <w:tcW w:w="2900" w:type="dxa"/>
            <w:vAlign w:val="bottom"/>
            <w:tcBorders>
              <w:top w:val="single" w:sz="8" w:color="0000EE"/>
            </w:tcBorders>
            <w:gridSpan w:val="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LEGAL MATTERS</w:t>
              </w:r>
            </w:hyperlink>
          </w:p>
        </w:tc>
        <w:tc>
          <w:tcPr>
            <w:tcW w:w="1360" w:type="dxa"/>
            <w:vAlign w:val="bottom"/>
            <w:gridSpan w:val="3"/>
          </w:tcPr>
          <w:p>
            <w:pPr>
              <w:spacing w:after="0"/>
              <w:rPr>
                <w:sz w:val="21"/>
                <w:szCs w:val="21"/>
                <w:color w:val="auto"/>
              </w:rPr>
            </w:pPr>
          </w:p>
        </w:tc>
        <w:tc>
          <w:tcPr>
            <w:tcW w:w="700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r>
      <w:tr>
        <w:trPr>
          <w:trHeight w:val="250"/>
        </w:trPr>
        <w:tc>
          <w:tcPr>
            <w:tcW w:w="1440" w:type="dxa"/>
            <w:vAlign w:val="bottom"/>
            <w:tcBorders>
              <w:top w:val="single" w:sz="8" w:color="0000EE"/>
            </w:tcBorders>
            <w:gridSpan w:val="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EXPERTS</w:t>
              </w:r>
            </w:hyperlink>
          </w:p>
        </w:tc>
        <w:tc>
          <w:tcPr>
            <w:tcW w:w="2820" w:type="dxa"/>
            <w:vAlign w:val="bottom"/>
            <w:gridSpan w:val="7"/>
          </w:tcPr>
          <w:p>
            <w:pPr>
              <w:spacing w:after="0"/>
              <w:rPr>
                <w:sz w:val="21"/>
                <w:szCs w:val="21"/>
                <w:color w:val="auto"/>
              </w:rPr>
            </w:pPr>
          </w:p>
        </w:tc>
        <w:tc>
          <w:tcPr>
            <w:tcW w:w="700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 Nevada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process, the securities described in this prospectus may be offered and sold to the public in one or more offerings. This prospectus provides you with a general description of the securities we may offer. Each time securities are offered and sold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Investing in our securities involves risks. You are urged to read and carefully consider the information under the heading "Risk Factors" in our Annual Report on Form 10-K for the year ended December 31, 2018,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into this prospectus. The risks and uncertainties that we have described are not the only ones facing us. The prospectus supplement applicable to each offering of our securities will contain additional information about risks applicable to an investment in us and shares of our securities.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that we file with the SEC may be read and copied at the SEC's Public Reference Room at 100 F Street, N.E., Washington, D.C. 20549. You may obtain information on the operation of the Public Reference Room by calling the SEC at 1-800-SEC-0330. The SEC also maintains an Internet site at http://www.sec.gov that contains reports, proxy, and information statements, and other information regarding issuers, like Wynn Resorts, that file electronically with the SEC. Our filings with the SEC also may be accessed through our Internet website at http://www.wynnresorts.com. Our website, and the information contained in, accessible from or connected to our website, shall not be deemed to be incorporated into, or otherwise constitute a part of, this prospectus.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131" w:lineRule="exact"/>
        <w:rPr>
          <w:sz w:val="20"/>
          <w:szCs w:val="20"/>
          <w:color w:val="auto"/>
        </w:rPr>
      </w:pPr>
    </w:p>
    <w:p>
      <w:pPr>
        <w:ind w:left="640" w:hanging="321"/>
        <w:spacing w:after="0" w:line="25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documents, including exhibits and other information not included in this prospectus or a prospectus supplement, are considered part of this prospectus;</w:t>
      </w:r>
    </w:p>
    <w:p>
      <w:pPr>
        <w:spacing w:after="0" w:line="1"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disclosing important business and financial information to you by referring you to those documents; and</w:t>
      </w:r>
    </w:p>
    <w:p>
      <w:pPr>
        <w:spacing w:after="0" w:line="9" w:lineRule="exact"/>
        <w:rPr>
          <w:rFonts w:ascii="Arial" w:cs="Arial" w:eastAsia="Arial" w:hAnsi="Arial"/>
          <w:sz w:val="18"/>
          <w:szCs w:val="18"/>
          <w:color w:val="auto"/>
        </w:rPr>
      </w:pPr>
    </w:p>
    <w:p>
      <w:pPr>
        <w:ind w:left="640" w:hanging="321"/>
        <w:spacing w:after="0" w:line="261"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into this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are incorporating by reference into this prospectus the following documents filed with the SEC:</w:t>
      </w:r>
    </w:p>
    <w:p>
      <w:pPr>
        <w:spacing w:after="0" w:line="131" w:lineRule="exact"/>
        <w:rPr>
          <w:sz w:val="20"/>
          <w:szCs w:val="20"/>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2018;</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2019, June 30, 2019 and September 30, 2019;</w:t>
      </w:r>
    </w:p>
    <w:p>
      <w:pPr>
        <w:spacing w:after="0" w:line="9" w:lineRule="exact"/>
        <w:rPr>
          <w:rFonts w:ascii="Arial" w:cs="Arial" w:eastAsia="Arial" w:hAnsi="Arial"/>
          <w:sz w:val="18"/>
          <w:szCs w:val="18"/>
          <w:color w:val="auto"/>
        </w:rPr>
      </w:pPr>
    </w:p>
    <w:p>
      <w:pPr>
        <w:jc w:val="both"/>
        <w:ind w:left="640" w:hanging="321"/>
        <w:spacing w:after="0" w:line="265"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current reports on Form 8-K filed on January 29, 2019 (with respect to Item 8.01 only), January 30, 2019 (with respect to Item 8.01 only), May 2, 2019 (with respect to Item 8.01 only), May 9, 2019 (with respect to Item 8.01 only), May 13, 2019, June 4, 2019, August 6, 2019 (with respect to Item 8.01 only), September 12, 2019, September 20, 2019, and November 6, 2019 (with respect to Item 8.01 only);</w:t>
      </w:r>
    </w:p>
    <w:p>
      <w:pPr>
        <w:ind w:left="640" w:hanging="321"/>
        <w:spacing w:after="0" w:line="265"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description of our common stock set forth in our Registration Statement on Form 8-A, filed on October 7, 2002 (File No. 000-50028), including any amendment or reports filed for the purpose of updating the description of our common stock contained therein; and</w:t>
      </w:r>
    </w:p>
    <w:p>
      <w:pPr>
        <w:ind w:left="640" w:right="20" w:hanging="321"/>
        <w:spacing w:after="0" w:line="29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 other documents that we file with the SEC pursuant to Section 13(a), 13(c), 14 or 15(d) of the Exchange Act after the date of this prospectus and prior to termination of the offering of securities offered by this prospectus and any accompanying prospectus supplement.</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into this prospectus.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 w:name="page6"/>
    <w:bookmarkEnd w:id="5"/>
    <w:p>
      <w:pPr>
        <w:jc w:val="both"/>
        <w:spacing w:after="0" w:line="276" w:lineRule="auto"/>
        <w:rPr>
          <w:sz w:val="20"/>
          <w:szCs w:val="20"/>
          <w:color w:val="auto"/>
        </w:rPr>
      </w:pPr>
      <w:r>
        <w:rPr>
          <w:rFonts w:ascii="Arial" w:cs="Arial" w:eastAsia="Arial" w:hAnsi="Arial"/>
          <w:sz w:val="17"/>
          <w:szCs w:val="17"/>
          <w:color w:val="auto"/>
        </w:rPr>
        <w:t>You should rely only on the information contained or incorporated by reference into this prospectus. We have not authorized anyone to provide you with any additional information. Any statement contained in this prospectus, or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Copies of the documents incorporated by reference into this prospectus are available from us upon request. We will provide to each person, including any beneficial owner, to whom a prospectus is delivered, a copy of any or all of the information that has been incorporated by reference into this prospectus, but not delivered with this prospectus, without charge to the requester, upon written or oral request. Exhibits to information incorporated by reference into this prospectus will not be sent, however, unless those exhibits have specifically been incorporated by reference into such information. Requests for such copies should be directed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5580" w:hanging="428"/>
        <w:spacing w:after="0"/>
        <w:tabs>
          <w:tab w:leader="none" w:pos="5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770-7555</w:t>
      </w:r>
    </w:p>
    <w:p>
      <w:pPr>
        <w:spacing w:after="0" w:line="9" w:lineRule="exact"/>
        <w:rPr>
          <w:rFonts w:ascii="Arial" w:cs="Arial" w:eastAsia="Arial" w:hAnsi="Arial"/>
          <w:sz w:val="18"/>
          <w:szCs w:val="18"/>
          <w:color w:val="auto"/>
        </w:rPr>
      </w:pPr>
    </w:p>
    <w:p>
      <w:pPr>
        <w:ind w:left="466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into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prospectus, including the documents incorporated by reference into this prospectus, contains forward-looking statements, including, but not limited to, information about our business strategy, development activities, competition and possible or assumed future results of operations. Any statements contained in this prospectus, including the documents incorporated by reference into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similar expressions.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192"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controversy and litigation related to Stephen A. Wynn and his separation from the Company;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global political and economic conditions, in the U.S. and China (including the Chinese government's ongoing anti-corruption campaign), which may impact levels of travel, leisure and consumer spending;</w:t>
      </w: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300" w:hanging="644"/>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hanging="644"/>
        <w:spacing w:after="0" w:line="250"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Arial" w:cs="Arial" w:eastAsia="Arial" w:hAnsi="Arial"/>
          <w:sz w:val="18"/>
          <w:szCs w:val="18"/>
          <w:color w:val="auto"/>
        </w:rPr>
      </w:pPr>
    </w:p>
    <w:p>
      <w:pPr>
        <w:ind w:left="1300" w:right="20" w:hanging="644"/>
        <w:spacing w:after="0" w:line="261"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0" w:right="239" w:bottom="1440" w:gutter="0" w:footer="0" w:header="0"/>
        </w:sectPr>
      </w:pPr>
    </w:p>
    <w:bookmarkStart w:id="6" w:name="page7"/>
    <w:bookmarkEnd w:id="6"/>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legalization and growth of gaming in other jurisdictions;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stockholder of ours;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information on potential factors that could affect our financial condition, results of operations and business are included in the sections entitled "Risk Factors" in our Annual Report on Form 10-K for the year ended December 31, 2018,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designer, developer, owner and operator of destination casino resorts (integrated resorts). In the Macau Special Administrative Region of the People's Republic of China, we own approximately 72% of Wynn Macau, Limited which includes the operations of the Wynn Palace and Wynn Macau resorts. In Las Vegas, Nevada, we operate and, with the exception of certain retail space, own 100% of Wynn Las Vegas. Additionally, we are a 50.1% owner and managing member of a joint venture that owns and leases certain retail space at Wynn Las Vegas. In Everett, Massachusetts, we own and operate Encore Boston Harbor.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Unless otherwise stated in the applicable prospectus supplement, we intend to use the net proceeds of any securities sold by us for general corporate purposes, including, without limitation, repayment of debt, acquisitions, additions to working capital, capital expenditures, and/or investments in our subsidiaries.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description of the specific terms of any common stock, preferred stock, depositary shares or debt securities that may be offered under this prospectus will be set forth in the applicable prospectus supplement relating to those securities. The terms of the offering of the securities, the initial offering price and the net proceeds to us will also be contained in any applicable prospectus supplement or other offering materials relating to such offer. Such materials may also add, update or change information contained in this prospectus.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specified in connection with the particular offering of securities, the validity of any securities issued under this prospectus will be passed upon for us by Kirkland &amp; Ellis LLP, New York, New York, and, with respect to matters of Nevada law, by Brownstein Hyatt Farber Schreck, LLP, Las Vegas, Nevada. Any underwriters will be represented by their own legal counsel.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financial statements and schedule of Wynn Resorts, Limited appearing in Wynn Resorts, Limited's Annual Report (Form 10-K) for the year ended December 31, 2018, and the effectiveness of Wynn Resorts, Limited's internal control over financial reporting as of December 31, 2018, have been audited by Ernst &amp; Young LLP, independent registered public accounting firm, as set forth in their reports thereon, included therein, and incorporated herein by reference. Such consolidated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the fees and expenses payable by the registrant in connection with the registration and sale of the securities being registered hereby. All of such fees and expenses are estimated.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 registration fee</w:t>
            </w:r>
          </w:p>
        </w:tc>
        <w:tc>
          <w:tcPr>
            <w:tcW w:w="9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Accounting fees and expenses</w:t>
            </w:r>
          </w:p>
        </w:tc>
        <w:tc>
          <w:tcPr>
            <w:tcW w:w="9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fees and expenses</w:t>
            </w:r>
          </w:p>
        </w:tc>
        <w:tc>
          <w:tcPr>
            <w:tcW w:w="9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Printing fees and expenses</w:t>
            </w:r>
          </w:p>
        </w:tc>
        <w:tc>
          <w:tcPr>
            <w:tcW w:w="9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
        </w:trPr>
        <w:tc>
          <w:tcPr>
            <w:tcW w:w="9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listing fee</w:t>
            </w:r>
          </w:p>
        </w:tc>
        <w:tc>
          <w:tcPr>
            <w:tcW w:w="9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Miscellaneous</w:t>
            </w:r>
          </w:p>
        </w:tc>
        <w:tc>
          <w:tcPr>
            <w:tcW w:w="9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left="720" w:hanging="685"/>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accordance with Rules 456(b) and 457(r), the registrant is deferring payment of the registration fee for the securities offered by this prospectus.</w:t>
      </w:r>
    </w:p>
    <w:p>
      <w:pPr>
        <w:spacing w:after="0" w:line="221" w:lineRule="exact"/>
        <w:rPr>
          <w:sz w:val="20"/>
          <w:szCs w:val="20"/>
          <w:color w:val="auto"/>
        </w:rPr>
      </w:pPr>
    </w:p>
    <w:p>
      <w:pPr>
        <w:jc w:val="both"/>
        <w:ind w:left="720" w:right="20" w:hanging="685"/>
        <w:spacing w:after="0" w:line="264"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fees cannot be estimated at this time as they are calculated based on the securities offered and the number of issuances. An estimate of the aggregate expenses in connection with the sale and distribution of the securities being offered will be included in the applicable prospectus supplement.</w:t>
      </w:r>
    </w:p>
    <w:p>
      <w:pPr>
        <w:spacing w:after="0" w:line="366" w:lineRule="exact"/>
        <w:rPr>
          <w:sz w:val="20"/>
          <w:szCs w:val="20"/>
          <w:color w:val="auto"/>
        </w:rPr>
      </w:pPr>
    </w:p>
    <w:p>
      <w:pPr>
        <w:ind w:left="40"/>
        <w:spacing w:after="0"/>
        <w:tabs>
          <w:tab w:leader="none" w:pos="12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Nevada Revised Statutes 78.7502,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Indemnification pursuant to Nevada Revised Statutes 78.7502 may not be made if it is determined by a court that such officer or director is liable to the corporation or responsible for any amounts paid to the corporation in settlement, unless a court also determines that the officer or director is fairly and reasonably entitled to indemnification in light of all of the relevant facts and circumstances.</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Nevada Revised Statutes 78.751 requires a corporation to indemnify an officer or director to the extent he or she is successful on the merits or otherwise successfully defends the action. Nevada Revised Statutes 78.751 further provides that indemnification pursuant to Nevada Revised Statutes 78.7502 does not exclude any other rights to which a person seeking indemnification or advancement of expenses may be entitled under the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Nevada Revised Statutes 78.7502 or for the advancement of expenses, may not be made to or on behalf of any director or officer finally adjudged by a court of competent jurisdiction, after exhaustion of any appeals, to be liable for intentional misconduct, fraud or a knowing violation of law, and such misconduct, fraud or violation was material to the cause of action.</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Wynn Resorts' bylaws provide that it will indemnify its directors and officers to the fullest extent permitted by Nevada law, including in circumstances in which indemnification otherwise would be discretionary under Nevada law as described above. In addition, Wynn Resorts has entered into separate indemnification agreements with certain of its directors and officers that require Wynn Resorts, among other things, to indemnify such directors and officers against certain liabilities that may arise by reason of their status or service. Wynn Resorts also intends to maintain director and officer liability insurance, if available on reasonable terms.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- 1</w:t>
      </w:r>
    </w:p>
    <w:p>
      <w:pPr>
        <w:sectPr>
          <w:pgSz w:w="11900" w:h="16838" w:orient="portrait"/>
          <w:cols w:equalWidth="0" w:num="1">
            <w:col w:w="11420"/>
          </w:cols>
          <w:pgMar w:left="240" w:top="580" w:right="239" w:bottom="1440" w:gutter="0" w:footer="0" w:header="0"/>
        </w:sectPr>
      </w:pPr>
    </w:p>
    <w:bookmarkStart w:id="9" w:name="page10"/>
    <w:bookmarkEnd w:id="9"/>
    <w:p>
      <w:pPr>
        <w:ind w:left="40"/>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with or incorporated by reference into this registration statement:</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500" w:type="dxa"/>
            <w:vAlign w:val="bottom"/>
          </w:tcPr>
          <w:p>
            <w:pPr>
              <w:jc w:val="center"/>
              <w:ind w:right="1711"/>
              <w:spacing w:after="0"/>
              <w:rPr>
                <w:sz w:val="20"/>
                <w:szCs w:val="20"/>
                <w:color w:val="auto"/>
              </w:rPr>
            </w:pPr>
            <w:r>
              <w:rPr>
                <w:rFonts w:ascii="Arial" w:cs="Arial" w:eastAsia="Arial" w:hAnsi="Arial"/>
                <w:sz w:val="14"/>
                <w:szCs w:val="14"/>
                <w:b w:val="1"/>
                <w:bCs w:val="1"/>
                <w:color w:val="auto"/>
                <w:w w:val="95"/>
              </w:rPr>
              <w:t>Exhibit No.</w:t>
            </w:r>
          </w:p>
        </w:tc>
        <w:tc>
          <w:tcPr>
            <w:tcW w:w="886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539"/>
        </w:trPr>
        <w:tc>
          <w:tcPr>
            <w:tcW w:w="2500" w:type="dxa"/>
            <w:vAlign w:val="bottom"/>
          </w:tcPr>
          <w:p>
            <w:pPr>
              <w:jc w:val="center"/>
              <w:ind w:right="1711"/>
              <w:spacing w:after="0"/>
              <w:rPr>
                <w:sz w:val="20"/>
                <w:szCs w:val="20"/>
                <w:color w:val="auto"/>
              </w:rPr>
            </w:pPr>
            <w:r>
              <w:rPr>
                <w:rFonts w:ascii="Arial" w:cs="Arial" w:eastAsia="Arial" w:hAnsi="Arial"/>
                <w:sz w:val="18"/>
                <w:szCs w:val="18"/>
                <w:color w:val="auto"/>
                <w:w w:val="87"/>
              </w:rPr>
              <w:t>4.1</w:t>
            </w:r>
          </w:p>
        </w:tc>
        <w:tc>
          <w:tcPr>
            <w:tcW w:w="8860" w:type="dxa"/>
            <w:vAlign w:val="bottom"/>
            <w:tcBorders>
              <w:bottom w:val="single" w:sz="8" w:color="0000EE"/>
            </w:tcBorders>
            <w:gridSpan w:val="13"/>
          </w:tcPr>
          <w:p>
            <w:pPr>
              <w:spacing w:after="0"/>
              <w:rPr>
                <w:rFonts w:ascii="Arial" w:cs="Arial" w:eastAsia="Arial" w:hAnsi="Arial"/>
                <w:sz w:val="18"/>
                <w:szCs w:val="18"/>
                <w:color w:val="0000EE"/>
                <w:w w:val="94"/>
              </w:rPr>
            </w:pPr>
            <w:hyperlink r:id="rId23">
              <w:r>
                <w:rPr>
                  <w:rFonts w:ascii="Arial" w:cs="Arial" w:eastAsia="Arial" w:hAnsi="Arial"/>
                  <w:sz w:val="18"/>
                  <w:szCs w:val="18"/>
                  <w:color w:val="0000EE"/>
                  <w:w w:val="94"/>
                </w:rPr>
                <w:t>Third Amended and Restated Articles of Incorporation of the Registrant. (Incorporated by reference from the Quarterly</w:t>
              </w:r>
            </w:hyperlink>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45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Report on Form 10-Q filed by the Registrant on May 8, 2015.)</w:t>
              </w:r>
            </w:hyperlink>
          </w:p>
        </w:tc>
        <w:tc>
          <w:tcPr>
            <w:tcW w:w="4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2500" w:type="dxa"/>
            <w:vAlign w:val="bottom"/>
          </w:tcPr>
          <w:p>
            <w:pPr>
              <w:jc w:val="center"/>
              <w:ind w:right="1711"/>
              <w:spacing w:after="0"/>
              <w:rPr>
                <w:sz w:val="20"/>
                <w:szCs w:val="20"/>
                <w:color w:val="auto"/>
              </w:rPr>
            </w:pPr>
            <w:r>
              <w:rPr>
                <w:rFonts w:ascii="Arial" w:cs="Arial" w:eastAsia="Arial" w:hAnsi="Arial"/>
                <w:sz w:val="18"/>
                <w:szCs w:val="18"/>
                <w:color w:val="auto"/>
                <w:w w:val="87"/>
              </w:rPr>
              <w:t>4.2</w:t>
            </w:r>
          </w:p>
        </w:tc>
        <w:tc>
          <w:tcPr>
            <w:tcW w:w="8860" w:type="dxa"/>
            <w:vAlign w:val="bottom"/>
            <w:tcBorders>
              <w:bottom w:val="single" w:sz="8" w:color="0000EE"/>
            </w:tcBorders>
            <w:gridSpan w:val="13"/>
          </w:tcPr>
          <w:p>
            <w:pPr>
              <w:spacing w:after="0"/>
              <w:rPr>
                <w:rFonts w:ascii="Arial" w:cs="Arial" w:eastAsia="Arial" w:hAnsi="Arial"/>
                <w:sz w:val="18"/>
                <w:szCs w:val="18"/>
                <w:color w:val="0000EE"/>
                <w:w w:val="93"/>
              </w:rPr>
            </w:pPr>
            <w:hyperlink r:id="rId24">
              <w:r>
                <w:rPr>
                  <w:rFonts w:ascii="Arial" w:cs="Arial" w:eastAsia="Arial" w:hAnsi="Arial"/>
                  <w:sz w:val="18"/>
                  <w:szCs w:val="18"/>
                  <w:color w:val="0000EE"/>
                  <w:w w:val="93"/>
                </w:rPr>
                <w:t>Eighth Amended and Restated Bylaws of the Registrant. (Incorporated by reference from the Quarterly Report on Form</w:t>
              </w:r>
            </w:hyperlink>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8860" w:type="dxa"/>
            <w:vAlign w:val="bottom"/>
            <w:gridSpan w:val="13"/>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10-Q filed by the Registrant on November 6, 2015.)</w:t>
              </w:r>
            </w:hyperlink>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500" w:type="dxa"/>
            <w:vAlign w:val="bottom"/>
          </w:tcPr>
          <w:p>
            <w:pPr>
              <w:jc w:val="center"/>
              <w:ind w:right="1711"/>
              <w:spacing w:after="0"/>
              <w:rPr>
                <w:sz w:val="20"/>
                <w:szCs w:val="20"/>
                <w:color w:val="auto"/>
              </w:rPr>
            </w:pPr>
            <w:r>
              <w:rPr>
                <w:rFonts w:ascii="Arial" w:cs="Arial" w:eastAsia="Arial" w:hAnsi="Arial"/>
                <w:sz w:val="18"/>
                <w:szCs w:val="18"/>
                <w:color w:val="auto"/>
                <w:w w:val="87"/>
              </w:rPr>
              <w:t>4.3</w:t>
            </w:r>
          </w:p>
        </w:tc>
        <w:tc>
          <w:tcPr>
            <w:tcW w:w="8860" w:type="dxa"/>
            <w:vAlign w:val="bottom"/>
            <w:tcBorders>
              <w:bottom w:val="single" w:sz="8" w:color="0000EE"/>
            </w:tcBorders>
            <w:gridSpan w:val="13"/>
          </w:tcPr>
          <w:p>
            <w:pPr>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 xml:space="preserve">Specimen certificate for shares of common stock, </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0.01 par value per share, of the Registrant. (Incorporated by reference</w:t>
              </w:r>
            </w:hyperlink>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8860" w:type="dxa"/>
            <w:vAlign w:val="bottom"/>
            <w:gridSpan w:val="13"/>
          </w:tcPr>
          <w:p>
            <w:pPr>
              <w:spacing w:after="0" w:line="196" w:lineRule="exact"/>
              <w:rPr>
                <w:rFonts w:ascii="Arial" w:cs="Arial" w:eastAsia="Arial" w:hAnsi="Arial"/>
                <w:sz w:val="18"/>
                <w:szCs w:val="18"/>
                <w:color w:val="0000EE"/>
                <w:w w:val="96"/>
              </w:rPr>
            </w:pPr>
            <w:hyperlink r:id="rId25">
              <w:r>
                <w:rPr>
                  <w:rFonts w:ascii="Arial" w:cs="Arial" w:eastAsia="Arial" w:hAnsi="Arial"/>
                  <w:sz w:val="18"/>
                  <w:szCs w:val="18"/>
                  <w:color w:val="0000EE"/>
                  <w:w w:val="96"/>
                </w:rPr>
                <w:t>to Exhibit 4.1 to Amendment No. 4 to the Form S-1 filed by the registrant on October 7, 2002 (File No. 333-90600).)</w:t>
              </w:r>
            </w:hyperlink>
          </w:p>
        </w:tc>
        <w:tc>
          <w:tcPr>
            <w:tcW w:w="0" w:type="dxa"/>
            <w:vAlign w:val="bottom"/>
          </w:tcPr>
          <w:p>
            <w:pPr>
              <w:spacing w:after="0"/>
              <w:rPr>
                <w:sz w:val="1"/>
                <w:szCs w:val="1"/>
                <w:color w:val="auto"/>
              </w:rPr>
            </w:pPr>
          </w:p>
        </w:tc>
      </w:tr>
      <w:tr>
        <w:trPr>
          <w:trHeight w:val="20"/>
        </w:trPr>
        <w:tc>
          <w:tcPr>
            <w:tcW w:w="2500" w:type="dxa"/>
            <w:vAlign w:val="bottom"/>
            <w:vMerge w:val="restart"/>
          </w:tcPr>
          <w:p>
            <w:pPr>
              <w:jc w:val="center"/>
              <w:ind w:right="1711"/>
              <w:spacing w:after="0"/>
              <w:rPr>
                <w:sz w:val="20"/>
                <w:szCs w:val="20"/>
                <w:color w:val="auto"/>
              </w:rPr>
            </w:pPr>
            <w:r>
              <w:rPr>
                <w:rFonts w:ascii="Arial" w:cs="Arial" w:eastAsia="Arial" w:hAnsi="Arial"/>
                <w:sz w:val="18"/>
                <w:szCs w:val="18"/>
                <w:color w:val="auto"/>
                <w:w w:val="87"/>
              </w:rPr>
              <w:t>4.4</w:t>
            </w: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500" w:type="dxa"/>
            <w:vAlign w:val="bottom"/>
            <w:vMerge w:val="continue"/>
          </w:tcPr>
          <w:p>
            <w:pPr>
              <w:spacing w:after="0"/>
              <w:rPr>
                <w:sz w:val="24"/>
                <w:szCs w:val="24"/>
                <w:color w:val="auto"/>
              </w:rPr>
            </w:pPr>
          </w:p>
        </w:tc>
        <w:tc>
          <w:tcPr>
            <w:tcW w:w="8860" w:type="dxa"/>
            <w:vAlign w:val="bottom"/>
            <w:gridSpan w:val="13"/>
            <w:vMerge w:val="restart"/>
          </w:tcPr>
          <w:p>
            <w:pPr>
              <w:spacing w:after="0"/>
              <w:rPr>
                <w:rFonts w:ascii="Arial" w:cs="Arial" w:eastAsia="Arial" w:hAnsi="Arial"/>
                <w:sz w:val="18"/>
                <w:szCs w:val="18"/>
                <w:color w:val="0000EE"/>
                <w:w w:val="92"/>
              </w:rPr>
            </w:pPr>
            <w:hyperlink r:id="rId26">
              <w:r>
                <w:rPr>
                  <w:rFonts w:ascii="Arial" w:cs="Arial" w:eastAsia="Arial" w:hAnsi="Arial"/>
                  <w:sz w:val="18"/>
                  <w:szCs w:val="18"/>
                  <w:color w:val="0000EE"/>
                  <w:w w:val="92"/>
                </w:rPr>
                <w:t>Indenture, dated as of March 29, 2004, between the registrant and U.S. Bank National Association, as indenture trustee.</w:t>
              </w:r>
            </w:hyperlink>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886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Pr>
          <w:p>
            <w:pPr>
              <w:spacing w:after="0"/>
              <w:rPr>
                <w:sz w:val="17"/>
                <w:szCs w:val="17"/>
                <w:color w:val="auto"/>
              </w:rPr>
            </w:pPr>
          </w:p>
        </w:tc>
        <w:tc>
          <w:tcPr>
            <w:tcW w:w="88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6">
              <w:r>
                <w:rPr>
                  <w:rFonts w:ascii="Arial" w:cs="Arial" w:eastAsia="Arial" w:hAnsi="Arial"/>
                  <w:sz w:val="18"/>
                  <w:szCs w:val="18"/>
                  <w:color w:val="0000EE"/>
                  <w:w w:val="91"/>
                </w:rPr>
                <w:t>(Incorporated by reference to the Registration Statement on Form S-3 filed by the Registrant on March 30, 2004 (File No.</w:t>
              </w:r>
            </w:hyperlink>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26">
              <w:r>
                <w:rPr>
                  <w:rFonts w:ascii="Arial" w:cs="Arial" w:eastAsia="Arial" w:hAnsi="Arial"/>
                  <w:sz w:val="18"/>
                  <w:szCs w:val="18"/>
                  <w:color w:val="0000EE"/>
                  <w:w w:val="90"/>
                </w:rPr>
                <w:t>333-114022).)</w:t>
              </w:r>
            </w:hyperlink>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2500" w:type="dxa"/>
            <w:vAlign w:val="bottom"/>
          </w:tcPr>
          <w:p>
            <w:pPr>
              <w:jc w:val="center"/>
              <w:ind w:right="1711"/>
              <w:spacing w:after="0"/>
              <w:rPr>
                <w:sz w:val="20"/>
                <w:szCs w:val="20"/>
                <w:color w:val="auto"/>
              </w:rPr>
            </w:pPr>
            <w:r>
              <w:rPr>
                <w:rFonts w:ascii="Arial" w:cs="Arial" w:eastAsia="Arial" w:hAnsi="Arial"/>
                <w:sz w:val="18"/>
                <w:szCs w:val="18"/>
                <w:color w:val="auto"/>
                <w:w w:val="87"/>
              </w:rPr>
              <w:t>4.5</w:t>
            </w:r>
          </w:p>
        </w:tc>
        <w:tc>
          <w:tcPr>
            <w:tcW w:w="8860" w:type="dxa"/>
            <w:vAlign w:val="bottom"/>
            <w:gridSpan w:val="13"/>
          </w:tcPr>
          <w:p>
            <w:pPr>
              <w:spacing w:after="0"/>
              <w:rPr>
                <w:rFonts w:ascii="Arial" w:cs="Arial" w:eastAsia="Arial" w:hAnsi="Arial"/>
                <w:sz w:val="18"/>
                <w:szCs w:val="18"/>
                <w:color w:val="0000EE"/>
                <w:w w:val="92"/>
              </w:rPr>
            </w:pPr>
            <w:hyperlink r:id="rId27">
              <w:r>
                <w:rPr>
                  <w:rFonts w:ascii="Arial" w:cs="Arial" w:eastAsia="Arial" w:hAnsi="Arial"/>
                  <w:sz w:val="18"/>
                  <w:szCs w:val="18"/>
                  <w:color w:val="0000EE"/>
                  <w:w w:val="92"/>
                </w:rPr>
                <w:t>Form of Deposit Agreement. (Incorporated by reference to Exhibit 4.5 to the Registration Statement on Form S-3 filed by</w:t>
              </w:r>
            </w:hyperlink>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the Registrant on March 30, 2004 (File No. 333-114022).)</w:t>
              </w:r>
            </w:hyperlink>
          </w:p>
        </w:tc>
        <w:tc>
          <w:tcPr>
            <w:tcW w:w="464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2500" w:type="dxa"/>
            <w:vAlign w:val="bottom"/>
          </w:tcPr>
          <w:p>
            <w:pPr>
              <w:jc w:val="center"/>
              <w:ind w:right="1711"/>
              <w:spacing w:after="0"/>
              <w:rPr>
                <w:sz w:val="20"/>
                <w:szCs w:val="20"/>
                <w:color w:val="auto"/>
              </w:rPr>
            </w:pPr>
            <w:r>
              <w:rPr>
                <w:rFonts w:ascii="Arial" w:cs="Arial" w:eastAsia="Arial" w:hAnsi="Arial"/>
                <w:sz w:val="18"/>
                <w:szCs w:val="18"/>
                <w:color w:val="auto"/>
                <w:w w:val="87"/>
              </w:rPr>
              <w:t>4.6</w:t>
            </w:r>
          </w:p>
        </w:tc>
        <w:tc>
          <w:tcPr>
            <w:tcW w:w="3740" w:type="dxa"/>
            <w:vAlign w:val="bottom"/>
            <w:tcBorders>
              <w:bottom w:val="single" w:sz="8" w:color="0000EE"/>
            </w:tcBorders>
            <w:gridSpan w:val="5"/>
          </w:tcPr>
          <w:p>
            <w:pPr>
              <w:spacing w:after="0"/>
              <w:rPr>
                <w:rFonts w:ascii="Arial" w:cs="Arial" w:eastAsia="Arial" w:hAnsi="Arial"/>
                <w:sz w:val="18"/>
                <w:szCs w:val="18"/>
                <w:color w:val="0000EE"/>
                <w:w w:val="92"/>
              </w:rPr>
            </w:pPr>
            <w:hyperlink r:id="rId27">
              <w:r>
                <w:rPr>
                  <w:rFonts w:ascii="Arial" w:cs="Arial" w:eastAsia="Arial" w:hAnsi="Arial"/>
                  <w:sz w:val="18"/>
                  <w:szCs w:val="18"/>
                  <w:color w:val="0000EE"/>
                  <w:w w:val="92"/>
                </w:rPr>
                <w:t>Form of Depositary Share (included in Exhibit 4.5)</w:t>
              </w:r>
            </w:hyperlink>
          </w:p>
        </w:tc>
        <w:tc>
          <w:tcPr>
            <w:tcW w:w="51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500" w:type="dxa"/>
            <w:vAlign w:val="bottom"/>
          </w:tcPr>
          <w:p>
            <w:pPr>
              <w:jc w:val="center"/>
              <w:ind w:right="1831"/>
              <w:spacing w:after="0"/>
              <w:rPr>
                <w:sz w:val="20"/>
                <w:szCs w:val="20"/>
                <w:color w:val="auto"/>
              </w:rPr>
            </w:pPr>
            <w:r>
              <w:rPr>
                <w:rFonts w:ascii="Arial" w:cs="Arial" w:eastAsia="Arial" w:hAnsi="Arial"/>
                <w:sz w:val="18"/>
                <w:szCs w:val="18"/>
                <w:color w:val="auto"/>
                <w:w w:val="93"/>
              </w:rPr>
              <w:t>*5.1</w:t>
            </w:r>
          </w:p>
        </w:tc>
        <w:tc>
          <w:tcPr>
            <w:tcW w:w="8860" w:type="dxa"/>
            <w:vAlign w:val="bottom"/>
            <w:gridSpan w:val="13"/>
          </w:tcPr>
          <w:p>
            <w:pPr>
              <w:spacing w:after="0"/>
              <w:rPr>
                <w:sz w:val="20"/>
                <w:szCs w:val="20"/>
                <w:color w:val="auto"/>
              </w:rPr>
            </w:pPr>
            <w:r>
              <w:rPr>
                <w:rFonts w:ascii="Arial" w:cs="Arial" w:eastAsia="Arial" w:hAnsi="Arial"/>
                <w:sz w:val="18"/>
                <w:szCs w:val="18"/>
                <w:color w:val="0000EE"/>
              </w:rPr>
              <w:t>Opinion of Kirkland &amp; Ellis LLP</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500" w:type="dxa"/>
            <w:vAlign w:val="bottom"/>
          </w:tcPr>
          <w:p>
            <w:pPr>
              <w:jc w:val="center"/>
              <w:ind w:right="1831"/>
              <w:spacing w:after="0"/>
              <w:rPr>
                <w:sz w:val="20"/>
                <w:szCs w:val="20"/>
                <w:color w:val="auto"/>
              </w:rPr>
            </w:pPr>
            <w:r>
              <w:rPr>
                <w:rFonts w:ascii="Arial" w:cs="Arial" w:eastAsia="Arial" w:hAnsi="Arial"/>
                <w:sz w:val="18"/>
                <w:szCs w:val="18"/>
                <w:color w:val="auto"/>
                <w:w w:val="93"/>
              </w:rPr>
              <w:t>*5.2</w:t>
            </w:r>
          </w:p>
        </w:tc>
        <w:tc>
          <w:tcPr>
            <w:tcW w:w="8860" w:type="dxa"/>
            <w:vAlign w:val="bottom"/>
            <w:gridSpan w:val="13"/>
          </w:tcPr>
          <w:p>
            <w:pPr>
              <w:spacing w:after="0"/>
              <w:rPr>
                <w:sz w:val="20"/>
                <w:szCs w:val="20"/>
                <w:color w:val="auto"/>
              </w:rPr>
            </w:pPr>
            <w:r>
              <w:rPr>
                <w:rFonts w:ascii="Arial" w:cs="Arial" w:eastAsia="Arial" w:hAnsi="Arial"/>
                <w:sz w:val="18"/>
                <w:szCs w:val="18"/>
                <w:color w:val="0000EE"/>
              </w:rPr>
              <w:t>Opinion of Brownstein Hyatt Farber Schreck, LLP</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500" w:type="dxa"/>
            <w:vAlign w:val="bottom"/>
          </w:tcPr>
          <w:p>
            <w:pPr>
              <w:jc w:val="center"/>
              <w:ind w:right="1831"/>
              <w:spacing w:after="0"/>
              <w:rPr>
                <w:sz w:val="20"/>
                <w:szCs w:val="20"/>
                <w:color w:val="auto"/>
              </w:rPr>
            </w:pPr>
            <w:r>
              <w:rPr>
                <w:rFonts w:ascii="Arial" w:cs="Arial" w:eastAsia="Arial" w:hAnsi="Arial"/>
                <w:sz w:val="18"/>
                <w:szCs w:val="18"/>
                <w:color w:val="auto"/>
                <w:w w:val="99"/>
              </w:rPr>
              <w:t>*23.1</w:t>
            </w:r>
          </w:p>
        </w:tc>
        <w:tc>
          <w:tcPr>
            <w:tcW w:w="8860" w:type="dxa"/>
            <w:vAlign w:val="bottom"/>
            <w:gridSpan w:val="13"/>
          </w:tcPr>
          <w:p>
            <w:pPr>
              <w:spacing w:after="0"/>
              <w:rPr>
                <w:sz w:val="20"/>
                <w:szCs w:val="20"/>
                <w:color w:val="auto"/>
              </w:rPr>
            </w:pPr>
            <w:r>
              <w:rPr>
                <w:rFonts w:ascii="Arial" w:cs="Arial" w:eastAsia="Arial" w:hAnsi="Arial"/>
                <w:sz w:val="18"/>
                <w:szCs w:val="18"/>
                <w:color w:val="0000EE"/>
              </w:rPr>
              <w:t>Consent of Ernst &amp; Young LLP, Independent Registered Public Accounting Firm</w:t>
            </w:r>
          </w:p>
        </w:tc>
        <w:tc>
          <w:tcPr>
            <w:tcW w:w="0" w:type="dxa"/>
            <w:vAlign w:val="bottom"/>
          </w:tcPr>
          <w:p>
            <w:pPr>
              <w:spacing w:after="0"/>
              <w:rPr>
                <w:sz w:val="1"/>
                <w:szCs w:val="1"/>
                <w:color w:val="auto"/>
              </w:rPr>
            </w:pPr>
          </w:p>
        </w:tc>
      </w:tr>
      <w:tr>
        <w:trPr>
          <w:trHeight w:val="574"/>
        </w:trPr>
        <w:tc>
          <w:tcPr>
            <w:tcW w:w="2500" w:type="dxa"/>
            <w:vAlign w:val="bottom"/>
          </w:tcPr>
          <w:p>
            <w:pPr>
              <w:jc w:val="center"/>
              <w:ind w:right="1831"/>
              <w:spacing w:after="0"/>
              <w:rPr>
                <w:sz w:val="20"/>
                <w:szCs w:val="20"/>
                <w:color w:val="auto"/>
              </w:rPr>
            </w:pPr>
            <w:r>
              <w:rPr>
                <w:rFonts w:ascii="Arial" w:cs="Arial" w:eastAsia="Arial" w:hAnsi="Arial"/>
                <w:sz w:val="18"/>
                <w:szCs w:val="18"/>
                <w:color w:val="auto"/>
                <w:w w:val="99"/>
              </w:rPr>
              <w:t>*23.2</w:t>
            </w:r>
          </w:p>
        </w:tc>
        <w:tc>
          <w:tcPr>
            <w:tcW w:w="422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5"/>
              </w:rPr>
              <w:t>Consent of Kirkland &amp; Ellis LLP (included in Exhibit 5.1)</w:t>
            </w:r>
          </w:p>
        </w:tc>
        <w:tc>
          <w:tcPr>
            <w:tcW w:w="1620" w:type="dxa"/>
            <w:vAlign w:val="bottom"/>
            <w:tcBorders>
              <w:top w:val="single" w:sz="8" w:color="0000EE"/>
            </w:tcBorders>
            <w:gridSpan w:val="3"/>
          </w:tcPr>
          <w:p>
            <w:pPr>
              <w:spacing w:after="0"/>
              <w:rPr>
                <w:sz w:val="24"/>
                <w:szCs w:val="24"/>
                <w:color w:val="auto"/>
              </w:rPr>
            </w:pPr>
          </w:p>
        </w:tc>
        <w:tc>
          <w:tcPr>
            <w:tcW w:w="30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500" w:type="dxa"/>
            <w:vAlign w:val="bottom"/>
          </w:tcPr>
          <w:p>
            <w:pPr>
              <w:jc w:val="center"/>
              <w:ind w:right="1831"/>
              <w:spacing w:after="0"/>
              <w:rPr>
                <w:sz w:val="20"/>
                <w:szCs w:val="20"/>
                <w:color w:val="auto"/>
              </w:rPr>
            </w:pPr>
            <w:r>
              <w:rPr>
                <w:rFonts w:ascii="Arial" w:cs="Arial" w:eastAsia="Arial" w:hAnsi="Arial"/>
                <w:sz w:val="18"/>
                <w:szCs w:val="18"/>
                <w:color w:val="auto"/>
                <w:w w:val="99"/>
              </w:rPr>
              <w:t>*23.3</w:t>
            </w:r>
          </w:p>
        </w:tc>
        <w:tc>
          <w:tcPr>
            <w:tcW w:w="54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2"/>
              </w:rPr>
              <w:t>Consent of Brownstein Hyatt Farber Schreck, LLP (included in Exhibit 5.2)</w:t>
            </w:r>
          </w:p>
        </w:tc>
        <w:tc>
          <w:tcPr>
            <w:tcW w:w="33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500" w:type="dxa"/>
            <w:vAlign w:val="bottom"/>
          </w:tcPr>
          <w:p>
            <w:pPr>
              <w:jc w:val="right"/>
              <w:ind w:right="2051"/>
              <w:spacing w:after="0"/>
              <w:rPr>
                <w:sz w:val="20"/>
                <w:szCs w:val="20"/>
                <w:color w:val="auto"/>
              </w:rPr>
            </w:pPr>
            <w:r>
              <w:rPr>
                <w:rFonts w:ascii="Arial" w:cs="Arial" w:eastAsia="Arial" w:hAnsi="Arial"/>
                <w:sz w:val="18"/>
                <w:szCs w:val="18"/>
                <w:color w:val="auto"/>
              </w:rPr>
              <w:t>*24</w:t>
            </w:r>
          </w:p>
        </w:tc>
        <w:tc>
          <w:tcPr>
            <w:tcW w:w="886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2">
              <w:r>
                <w:rPr>
                  <w:rFonts w:ascii="Arial" w:cs="Arial" w:eastAsia="Arial" w:hAnsi="Arial"/>
                  <w:sz w:val="18"/>
                  <w:szCs w:val="18"/>
                  <w:color w:val="0000EE"/>
                  <w:w w:val="95"/>
                </w:rPr>
                <w:t>Powers of Attorney of officers and directors of Wynn Resorts, Limited (included on signature page of this registration</w:t>
              </w:r>
            </w:hyperlink>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12">
              <w:r>
                <w:rPr>
                  <w:rFonts w:ascii="Arial" w:cs="Arial" w:eastAsia="Arial" w:hAnsi="Arial"/>
                  <w:sz w:val="18"/>
                  <w:szCs w:val="18"/>
                  <w:color w:val="0000EE"/>
                  <w:w w:val="86"/>
                </w:rPr>
                <w:t>statement)</w:t>
              </w:r>
            </w:hyperlink>
          </w:p>
        </w:tc>
        <w:tc>
          <w:tcPr>
            <w:tcW w:w="81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420" w:type="dxa"/>
            <w:vAlign w:val="bottom"/>
          </w:tcPr>
          <w:p>
            <w:pPr>
              <w:jc w:val="right"/>
              <w:ind w:right="2050"/>
              <w:spacing w:after="0"/>
              <w:rPr>
                <w:sz w:val="20"/>
                <w:szCs w:val="20"/>
                <w:color w:val="auto"/>
              </w:rPr>
            </w:pPr>
            <w:r>
              <w:rPr>
                <w:rFonts w:ascii="Arial" w:cs="Arial" w:eastAsia="Arial" w:hAnsi="Arial"/>
                <w:sz w:val="18"/>
                <w:szCs w:val="18"/>
                <w:color w:val="auto"/>
                <w:w w:val="96"/>
              </w:rPr>
              <w:t>*25</w:t>
            </w:r>
          </w:p>
        </w:tc>
        <w:tc>
          <w:tcPr>
            <w:tcW w:w="8840" w:type="dxa"/>
            <w:vAlign w:val="bottom"/>
            <w:gridSpan w:val="2"/>
            <w:vMerge w:val="restart"/>
          </w:tcPr>
          <w:p>
            <w:pPr>
              <w:spacing w:after="0"/>
              <w:rPr>
                <w:sz w:val="20"/>
                <w:szCs w:val="20"/>
                <w:color w:val="auto"/>
              </w:rPr>
            </w:pPr>
            <w:r>
              <w:rPr>
                <w:rFonts w:ascii="Arial" w:cs="Arial" w:eastAsia="Arial" w:hAnsi="Arial"/>
                <w:sz w:val="18"/>
                <w:szCs w:val="18"/>
                <w:color w:val="0000EE"/>
              </w:rPr>
              <w:t>Statement of Eligibility on Form T-1 under the Trust Indenture Act of 1939, as amended, of U.S. Bank National</w:t>
            </w:r>
          </w:p>
        </w:tc>
        <w:tc>
          <w:tcPr>
            <w:tcW w:w="0" w:type="dxa"/>
            <w:vAlign w:val="bottom"/>
          </w:tcPr>
          <w:p>
            <w:pPr>
              <w:spacing w:after="0"/>
              <w:rPr>
                <w:sz w:val="1"/>
                <w:szCs w:val="1"/>
                <w:color w:val="auto"/>
              </w:rPr>
            </w:pPr>
          </w:p>
        </w:tc>
      </w:tr>
      <w:tr>
        <w:trPr>
          <w:trHeight w:val="46"/>
        </w:trPr>
        <w:tc>
          <w:tcPr>
            <w:tcW w:w="2420" w:type="dxa"/>
            <w:vAlign w:val="bottom"/>
          </w:tcPr>
          <w:p>
            <w:pPr>
              <w:spacing w:after="0"/>
              <w:rPr>
                <w:sz w:val="3"/>
                <w:szCs w:val="3"/>
                <w:color w:val="auto"/>
              </w:rPr>
            </w:pPr>
          </w:p>
        </w:tc>
        <w:tc>
          <w:tcPr>
            <w:tcW w:w="8840" w:type="dxa"/>
            <w:vAlign w:val="bottom"/>
            <w:tcBorders>
              <w:bottom w:val="single" w:sz="8" w:color="0000EE"/>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420" w:type="dxa"/>
            <w:vAlign w:val="bottom"/>
          </w:tcPr>
          <w:p>
            <w:pPr>
              <w:spacing w:after="0"/>
              <w:rPr>
                <w:sz w:val="17"/>
                <w:szCs w:val="17"/>
                <w:color w:val="auto"/>
              </w:rPr>
            </w:pPr>
          </w:p>
        </w:tc>
        <w:tc>
          <w:tcPr>
            <w:tcW w:w="8840" w:type="dxa"/>
            <w:vAlign w:val="bottom"/>
            <w:gridSpan w:val="2"/>
          </w:tcPr>
          <w:p>
            <w:pPr>
              <w:spacing w:after="0" w:line="196" w:lineRule="exact"/>
              <w:rPr>
                <w:sz w:val="20"/>
                <w:szCs w:val="20"/>
                <w:color w:val="auto"/>
              </w:rPr>
            </w:pPr>
            <w:r>
              <w:rPr>
                <w:rFonts w:ascii="Arial" w:cs="Arial" w:eastAsia="Arial" w:hAnsi="Arial"/>
                <w:sz w:val="18"/>
                <w:szCs w:val="18"/>
                <w:color w:val="0000EE"/>
              </w:rPr>
              <w:t>Association, trustee under the Indenture, with respect to the Debt Securities</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00" w:hanging="465"/>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700" w:hanging="260"/>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5540" w:right="4160" w:hanging="4654"/>
        <w:spacing w:after="0" w:line="559" w:lineRule="auto"/>
        <w:tabs>
          <w:tab w:leader="none" w:pos="110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II - 2</w:t>
      </w:r>
    </w:p>
    <w:p>
      <w:pPr>
        <w:sectPr>
          <w:pgSz w:w="11900" w:h="16838" w:orient="portrait"/>
          <w:cols w:equalWidth="0" w:num="1">
            <w:col w:w="11400"/>
          </w:cols>
          <w:pgMar w:left="240" w:top="742" w:right="259" w:bottom="1440" w:gutter="0" w:footer="0" w:header="0"/>
        </w:sectPr>
      </w:pPr>
    </w:p>
    <w:bookmarkStart w:id="10" w:name="page11"/>
    <w:bookmarkEnd w:id="10"/>
    <w:p>
      <w:pPr>
        <w:jc w:val="both"/>
        <w:ind w:firstLine="886"/>
        <w:spacing w:after="0" w:line="273" w:lineRule="auto"/>
        <w:tabs>
          <w:tab w:leader="none" w:pos="11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0" w:lineRule="exact"/>
        <w:rPr>
          <w:rFonts w:ascii="Arial" w:cs="Arial" w:eastAsia="Arial" w:hAnsi="Arial"/>
          <w:sz w:val="17"/>
          <w:szCs w:val="17"/>
          <w:color w:val="auto"/>
        </w:rPr>
      </w:pPr>
    </w:p>
    <w:p>
      <w:pPr>
        <w:ind w:right="20" w:firstLine="886"/>
        <w:spacing w:after="0" w:line="277" w:lineRule="auto"/>
        <w:tabs>
          <w:tab w:leader="none" w:pos="1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firstLine="440"/>
        <w:spacing w:after="0" w:line="264" w:lineRule="auto"/>
        <w:tabs>
          <w:tab w:leader="none" w:pos="6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firstLine="440"/>
        <w:spacing w:after="0" w:line="277" w:lineRule="auto"/>
        <w:tabs>
          <w:tab w:leader="none" w:pos="69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700" w:hanging="260"/>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firstLine="886"/>
        <w:spacing w:after="0" w:line="277" w:lineRule="auto"/>
        <w:tabs>
          <w:tab w:leader="none" w:pos="118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jc w:val="both"/>
        <w:ind w:firstLine="886"/>
        <w:spacing w:after="0" w:line="288" w:lineRule="auto"/>
        <w:tabs>
          <w:tab w:leader="none" w:pos="1170"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w:t>
      </w:r>
    </w:p>
    <w:p>
      <w:pPr>
        <w:spacing w:after="0" w:line="169" w:lineRule="exact"/>
        <w:rPr>
          <w:rFonts w:ascii="Arial" w:cs="Arial" w:eastAsia="Arial" w:hAnsi="Arial"/>
          <w:sz w:val="16"/>
          <w:szCs w:val="16"/>
          <w:color w:val="auto"/>
        </w:rPr>
      </w:pPr>
    </w:p>
    <w:p>
      <w:pPr>
        <w:ind w:firstLine="440"/>
        <w:spacing w:after="0" w:line="277"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6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9" w:lineRule="exact"/>
        <w:rPr>
          <w:sz w:val="20"/>
          <w:szCs w:val="20"/>
          <w:color w:val="auto"/>
        </w:rPr>
      </w:pPr>
    </w:p>
    <w:p>
      <w:pPr>
        <w:ind w:left="1100" w:hanging="214"/>
        <w:spacing w:after="0"/>
        <w:tabs>
          <w:tab w:leader="none" w:pos="11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firstLine="886"/>
        <w:spacing w:after="0" w:line="277" w:lineRule="auto"/>
        <w:tabs>
          <w:tab w:leader="none" w:pos="11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6" w:lineRule="exact"/>
        <w:rPr>
          <w:rFonts w:ascii="Arial" w:cs="Arial" w:eastAsia="Arial" w:hAnsi="Arial"/>
          <w:sz w:val="18"/>
          <w:szCs w:val="18"/>
          <w:color w:val="auto"/>
        </w:rPr>
      </w:pPr>
    </w:p>
    <w:p>
      <w:pPr>
        <w:ind w:right="20" w:firstLine="886"/>
        <w:spacing w:after="0" w:line="277" w:lineRule="auto"/>
        <w:tabs>
          <w:tab w:leader="none" w:pos="1202"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200" w:hanging="314"/>
        <w:spacing w:after="0"/>
        <w:tabs>
          <w:tab w:leader="none" w:pos="12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firstLine="440"/>
        <w:spacing w:after="0" w:line="277" w:lineRule="auto"/>
        <w:tabs>
          <w:tab w:leader="none" w:pos="6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 for purposes of determining any liability under the Securities Act of 1933, each filing of the registrant's annual report pursuant to Section 13(a) or 15(d) of the Securities Exchange Act of 1934</w:t>
      </w:r>
    </w:p>
    <w:p>
      <w:pPr>
        <w:spacing w:after="0" w:line="197" w:lineRule="exact"/>
        <w:rPr>
          <w:rFonts w:ascii="Arial" w:cs="Arial" w:eastAsia="Arial" w:hAnsi="Arial"/>
          <w:sz w:val="18"/>
          <w:szCs w:val="18"/>
          <w:color w:val="auto"/>
        </w:rPr>
      </w:pPr>
    </w:p>
    <w:p>
      <w:pPr>
        <w:ind w:left="5700" w:hanging="166"/>
        <w:spacing w:after="0"/>
        <w:tabs>
          <w:tab w:leader="none" w:pos="57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- 3</w:t>
      </w:r>
    </w:p>
    <w:p>
      <w:pPr>
        <w:sectPr>
          <w:pgSz w:w="11900" w:h="16838" w:orient="portrait"/>
          <w:cols w:equalWidth="0" w:num="1">
            <w:col w:w="11420"/>
          </w:cols>
          <w:pgMar w:left="240" w:top="692" w:right="239" w:bottom="1440" w:gutter="0" w:footer="0" w:header="0"/>
        </w:sectPr>
      </w:pPr>
    </w:p>
    <w:bookmarkStart w:id="11" w:name="page12"/>
    <w:bookmarkEnd w:id="11"/>
    <w:p>
      <w:pPr>
        <w:jc w:val="both"/>
        <w:ind w:right="20"/>
        <w:spacing w:after="0" w:line="264" w:lineRule="auto"/>
        <w:rPr>
          <w:sz w:val="20"/>
          <w:szCs w:val="20"/>
          <w:color w:val="auto"/>
        </w:rPr>
      </w:pPr>
      <w:r>
        <w:rPr>
          <w:rFonts w:ascii="Arial" w:cs="Arial" w:eastAsia="Arial" w:hAnsi="Arial"/>
          <w:sz w:val="18"/>
          <w:szCs w:val="18"/>
          <w:color w:val="auto"/>
        </w:rPr>
        <w:t>(and,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Las Vegas, State of Nevada, on this 6th day of November, 2019.</w:t>
      </w:r>
    </w:p>
    <w:p>
      <w:pPr>
        <w:spacing w:after="0" w:line="200" w:lineRule="exact"/>
        <w:rPr>
          <w:sz w:val="20"/>
          <w:szCs w:val="20"/>
          <w:color w:val="auto"/>
        </w:rPr>
      </w:pPr>
    </w:p>
    <w:p>
      <w:pPr>
        <w:spacing w:after="0" w:line="25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WYNN RESORTS, LIMITED</w:t>
      </w:r>
    </w:p>
    <w:p>
      <w:pPr>
        <w:spacing w:after="0" w:line="387" w:lineRule="exact"/>
        <w:rPr>
          <w:sz w:val="20"/>
          <w:szCs w:val="20"/>
          <w:color w:val="auto"/>
        </w:rPr>
      </w:pPr>
    </w:p>
    <w:p>
      <w:pPr>
        <w:ind w:left="5780"/>
        <w:spacing w:after="0"/>
        <w:tabs>
          <w:tab w:leader="none" w:pos="8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left="678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jc w:val="center"/>
        <w:ind w:left="678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jc w:val="center"/>
        <w:ind w:left="67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Matt Maddox, Craig S. Billings, and Ellen Whittemore, and each of them acting individually, with full power to act without the others, as his or her true and lawful attorney-in-fact and agent with full power of substitution and resubstitution, for him or her and in his or her name, place and stead, in any and all capacities, to sign any or all amendments to this registration statement (including post-effective amendments, or any abbreviated registration statement and any amendments thereto filed pursuant to Rule 462 under the Securities Act of 1933 and otherwise),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said attorney-in-fact and agent or his or her substitute or substitutes, may lawfully do or cause to be done by virtue hereof.</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- 4</w:t>
      </w:r>
    </w:p>
    <w:p>
      <w:pPr>
        <w:sectPr>
          <w:pgSz w:w="11900" w:h="16838" w:orient="portrait"/>
          <w:cols w:equalWidth="0" w:num="1">
            <w:col w:w="11420"/>
          </w:cols>
          <w:pgMar w:left="240" w:top="80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2060" w:type="dxa"/>
            <w:vAlign w:val="bottom"/>
          </w:tcPr>
          <w:p>
            <w:pPr>
              <w:spacing w:after="0"/>
              <w:rPr>
                <w:sz w:val="14"/>
                <w:szCs w:val="14"/>
                <w:color w:val="auto"/>
              </w:rPr>
            </w:pPr>
          </w:p>
        </w:tc>
        <w:tc>
          <w:tcPr>
            <w:tcW w:w="2300" w:type="dxa"/>
            <w:vAlign w:val="bottom"/>
            <w:gridSpan w:val="2"/>
          </w:tcPr>
          <w:p>
            <w:pPr>
              <w:spacing w:after="0"/>
              <w:rPr>
                <w:sz w:val="20"/>
                <w:szCs w:val="20"/>
                <w:color w:val="auto"/>
              </w:rPr>
            </w:pPr>
            <w:r>
              <w:rPr>
                <w:rFonts w:ascii="Arial" w:cs="Arial" w:eastAsia="Arial" w:hAnsi="Arial"/>
                <w:sz w:val="14"/>
                <w:szCs w:val="14"/>
                <w:color w:val="auto"/>
              </w:rPr>
              <w:t>Title</w:t>
            </w:r>
          </w:p>
        </w:tc>
        <w:tc>
          <w:tcPr>
            <w:tcW w:w="1860" w:type="dxa"/>
            <w:vAlign w:val="bottom"/>
            <w:gridSpan w:val="3"/>
          </w:tcPr>
          <w:p>
            <w:pPr>
              <w:jc w:val="center"/>
              <w:ind w:left="412"/>
              <w:spacing w:after="0"/>
              <w:rPr>
                <w:sz w:val="20"/>
                <w:szCs w:val="20"/>
                <w:color w:val="auto"/>
              </w:rPr>
            </w:pPr>
            <w:r>
              <w:rPr>
                <w:rFonts w:ascii="Arial" w:cs="Arial" w:eastAsia="Arial" w:hAnsi="Arial"/>
                <w:sz w:val="14"/>
                <w:szCs w:val="14"/>
                <w:color w:val="auto"/>
                <w:w w:val="94"/>
              </w:rPr>
              <w:t>Date</w:t>
            </w:r>
          </w:p>
        </w:tc>
      </w:tr>
      <w:tr>
        <w:trPr>
          <w:trHeight w:val="20"/>
        </w:trPr>
        <w:tc>
          <w:tcPr>
            <w:tcW w:w="2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1"/>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360" w:type="dxa"/>
            <w:vAlign w:val="bottom"/>
            <w:gridSpan w:val="3"/>
          </w:tcPr>
          <w:p>
            <w:pPr>
              <w:ind w:left="380"/>
              <w:spacing w:after="0"/>
              <w:rPr>
                <w:sz w:val="20"/>
                <w:szCs w:val="20"/>
                <w:color w:val="auto"/>
              </w:rPr>
            </w:pPr>
            <w:r>
              <w:rPr>
                <w:rFonts w:ascii="Arial" w:cs="Arial" w:eastAsia="Arial" w:hAnsi="Arial"/>
                <w:sz w:val="18"/>
                <w:szCs w:val="18"/>
                <w:color w:val="auto"/>
              </w:rPr>
              <w:t>Director, Chief Executive Officer (Principal</w:t>
            </w:r>
          </w:p>
        </w:tc>
        <w:tc>
          <w:tcPr>
            <w:tcW w:w="186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November 6, 2019</w:t>
            </w:r>
          </w:p>
        </w:tc>
      </w:tr>
      <w:tr>
        <w:trPr>
          <w:trHeight w:val="230"/>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Matt Maddox</w:t>
            </w:r>
          </w:p>
        </w:tc>
        <w:tc>
          <w:tcPr>
            <w:tcW w:w="4360" w:type="dxa"/>
            <w:vAlign w:val="bottom"/>
            <w:gridSpan w:val="3"/>
          </w:tcPr>
          <w:p>
            <w:pPr>
              <w:ind w:left="380"/>
              <w:spacing w:after="0"/>
              <w:rPr>
                <w:sz w:val="20"/>
                <w:szCs w:val="20"/>
                <w:color w:val="auto"/>
              </w:rPr>
            </w:pPr>
            <w:r>
              <w:rPr>
                <w:rFonts w:ascii="Arial" w:cs="Arial" w:eastAsia="Arial" w:hAnsi="Arial"/>
                <w:sz w:val="18"/>
                <w:szCs w:val="18"/>
                <w:color w:val="auto"/>
              </w:rPr>
              <w:t>Executive Officer)</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Matt Maddox</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77"/>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360" w:type="dxa"/>
            <w:vAlign w:val="bottom"/>
            <w:gridSpan w:val="3"/>
          </w:tcPr>
          <w:p>
            <w:pPr>
              <w:ind w:left="380"/>
              <w:spacing w:after="0"/>
              <w:rPr>
                <w:sz w:val="20"/>
                <w:szCs w:val="20"/>
                <w:color w:val="auto"/>
              </w:rPr>
            </w:pPr>
            <w:r>
              <w:rPr>
                <w:rFonts w:ascii="Arial" w:cs="Arial" w:eastAsia="Arial" w:hAnsi="Arial"/>
                <w:sz w:val="18"/>
                <w:szCs w:val="18"/>
                <w:color w:val="auto"/>
              </w:rPr>
              <w:t>President, Chief Financial Officer and Treasurer</w:t>
            </w:r>
          </w:p>
        </w:tc>
        <w:tc>
          <w:tcPr>
            <w:tcW w:w="186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November 6, 2019</w:t>
            </w:r>
          </w:p>
        </w:tc>
      </w:tr>
      <w:tr>
        <w:trPr>
          <w:trHeight w:val="230"/>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Craig S. Billings</w:t>
            </w:r>
          </w:p>
        </w:tc>
        <w:tc>
          <w:tcPr>
            <w:tcW w:w="4360" w:type="dxa"/>
            <w:vAlign w:val="bottom"/>
            <w:gridSpan w:val="3"/>
          </w:tcPr>
          <w:p>
            <w:pPr>
              <w:ind w:left="380"/>
              <w:spacing w:after="0"/>
              <w:rPr>
                <w:sz w:val="20"/>
                <w:szCs w:val="20"/>
                <w:color w:val="auto"/>
              </w:rPr>
            </w:pPr>
            <w:r>
              <w:rPr>
                <w:rFonts w:ascii="Arial" w:cs="Arial" w:eastAsia="Arial" w:hAnsi="Arial"/>
                <w:sz w:val="18"/>
                <w:szCs w:val="18"/>
                <w:color w:val="auto"/>
              </w:rPr>
              <w:t>(Principal Financial and Accounting Officer)</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Craig S. Billings</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77"/>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360" w:type="dxa"/>
            <w:vAlign w:val="bottom"/>
            <w:gridSpan w:val="3"/>
          </w:tcPr>
          <w:p>
            <w:pPr>
              <w:ind w:left="380"/>
              <w:spacing w:after="0"/>
              <w:rPr>
                <w:sz w:val="20"/>
                <w:szCs w:val="20"/>
                <w:color w:val="auto"/>
              </w:rPr>
            </w:pPr>
            <w:r>
              <w:rPr>
                <w:rFonts w:ascii="Arial" w:cs="Arial" w:eastAsia="Arial" w:hAnsi="Arial"/>
                <w:sz w:val="18"/>
                <w:szCs w:val="18"/>
                <w:color w:val="auto"/>
              </w:rPr>
              <w:t>Non-Executive Chairman of the Board and</w:t>
            </w:r>
          </w:p>
        </w:tc>
        <w:tc>
          <w:tcPr>
            <w:tcW w:w="186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November 6, 2019</w:t>
            </w:r>
          </w:p>
        </w:tc>
      </w:tr>
      <w:tr>
        <w:trPr>
          <w:trHeight w:val="230"/>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Philip G. Satre</w:t>
            </w:r>
          </w:p>
        </w:tc>
        <w:tc>
          <w:tcPr>
            <w:tcW w:w="43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Philip G. Satre</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Betsy S. Atkins</w:t>
            </w:r>
          </w:p>
        </w:tc>
        <w:tc>
          <w:tcPr>
            <w:tcW w:w="43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November 6, 2019</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Betsy S. Atkins</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Richard J. Byrne</w:t>
            </w:r>
          </w:p>
        </w:tc>
        <w:tc>
          <w:tcPr>
            <w:tcW w:w="43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November 6, 2019</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Richard J. Byrne</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Jay L. Johnson</w:t>
            </w:r>
          </w:p>
        </w:tc>
        <w:tc>
          <w:tcPr>
            <w:tcW w:w="43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November 6, 2019</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Jay L. Johnson</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Patricia Mulroy</w:t>
            </w:r>
          </w:p>
        </w:tc>
        <w:tc>
          <w:tcPr>
            <w:tcW w:w="43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November 6, 2019</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Patricia Mulroy</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Margaret J. Myers</w:t>
            </w:r>
          </w:p>
        </w:tc>
        <w:tc>
          <w:tcPr>
            <w:tcW w:w="43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November 6, 2019</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Margaret J. Myers</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Clark T. Randt, Jr.</w:t>
            </w:r>
          </w:p>
        </w:tc>
        <w:tc>
          <w:tcPr>
            <w:tcW w:w="43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November 6, 2019</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Clark T. Randt, Jr.</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Winifred Webb</w:t>
            </w:r>
          </w:p>
        </w:tc>
        <w:tc>
          <w:tcPr>
            <w:tcW w:w="436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86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November 6, 2019</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Winifred Webb</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ectPr>
          <w:pgSz w:w="11900" w:h="16838" w:orient="portrait"/>
          <w:cols w:equalWidth="0" w:num="1">
            <w:col w:w="11020"/>
          </w:cols>
          <w:pgMar w:left="240" w:top="964" w:right="6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17145</wp:posOffset>
            </wp:positionV>
            <wp:extent cx="2032635"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0326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000"/>
        <w:spacing w:after="0"/>
        <w:rPr>
          <w:sz w:val="20"/>
          <w:szCs w:val="20"/>
          <w:color w:val="auto"/>
        </w:rPr>
      </w:pPr>
      <w:r>
        <w:rPr>
          <w:rFonts w:ascii="Arial" w:cs="Arial" w:eastAsia="Arial" w:hAnsi="Arial"/>
          <w:sz w:val="14"/>
          <w:szCs w:val="14"/>
          <w:color w:val="auto"/>
        </w:rPr>
        <w:t>601 Lexington Avenue</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New York, NY 10022</w:t>
      </w:r>
    </w:p>
    <w:p>
      <w:pPr>
        <w:spacing w:after="0" w:line="1" w:lineRule="exact"/>
        <w:rPr>
          <w:sz w:val="20"/>
          <w:szCs w:val="20"/>
          <w:color w:val="auto"/>
        </w:rPr>
      </w:pPr>
    </w:p>
    <w:p>
      <w:pPr>
        <w:ind w:left="5600" w:hanging="378"/>
        <w:spacing w:after="0"/>
        <w:tabs>
          <w:tab w:leader="none" w:pos="5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446-4800</w:t>
      </w:r>
    </w:p>
    <w:p>
      <w:pPr>
        <w:spacing w:after="0" w:line="163" w:lineRule="exact"/>
        <w:rPr>
          <w:rFonts w:ascii="Arial" w:cs="Arial" w:eastAsia="Arial" w:hAnsi="Arial"/>
          <w:sz w:val="14"/>
          <w:szCs w:val="14"/>
          <w:color w:val="auto"/>
        </w:rPr>
      </w:pPr>
    </w:p>
    <w:p>
      <w:pPr>
        <w:ind w:left="5140"/>
        <w:spacing w:after="0"/>
        <w:rPr>
          <w:rFonts w:ascii="Arial" w:cs="Arial" w:eastAsia="Arial" w:hAnsi="Arial"/>
          <w:sz w:val="14"/>
          <w:szCs w:val="14"/>
          <w:color w:val="auto"/>
        </w:rPr>
      </w:pPr>
      <w:r>
        <w:rPr>
          <w:rFonts w:ascii="Arial" w:cs="Arial" w:eastAsia="Arial" w:hAnsi="Arial"/>
          <w:sz w:val="14"/>
          <w:szCs w:val="14"/>
          <w:color w:val="auto"/>
        </w:rPr>
        <w:t>www.kirkland.com</w:t>
      </w:r>
    </w:p>
    <w:p>
      <w:pPr>
        <w:spacing w:after="0" w:line="217" w:lineRule="exact"/>
        <w:rPr>
          <w:sz w:val="20"/>
          <w:szCs w:val="20"/>
          <w:color w:val="auto"/>
        </w:rPr>
      </w:pPr>
    </w:p>
    <w:p>
      <w:pPr>
        <w:jc w:val="center"/>
        <w:ind w:left="8900"/>
        <w:spacing w:after="0"/>
        <w:rPr>
          <w:sz w:val="20"/>
          <w:szCs w:val="20"/>
          <w:color w:val="auto"/>
        </w:rPr>
      </w:pPr>
      <w:r>
        <w:rPr>
          <w:rFonts w:ascii="Arial" w:cs="Arial" w:eastAsia="Arial" w:hAnsi="Arial"/>
          <w:sz w:val="14"/>
          <w:szCs w:val="14"/>
          <w:color w:val="auto"/>
        </w:rPr>
        <w:t>Facsimile:</w:t>
      </w:r>
    </w:p>
    <w:p>
      <w:pPr>
        <w:spacing w:after="0" w:line="55" w:lineRule="exact"/>
        <w:rPr>
          <w:sz w:val="20"/>
          <w:szCs w:val="20"/>
          <w:color w:val="auto"/>
        </w:rPr>
      </w:pPr>
    </w:p>
    <w:p>
      <w:pPr>
        <w:ind w:left="9680"/>
        <w:spacing w:after="0"/>
        <w:rPr>
          <w:sz w:val="20"/>
          <w:szCs w:val="20"/>
          <w:color w:val="auto"/>
        </w:rPr>
      </w:pPr>
      <w:r>
        <w:rPr>
          <w:rFonts w:ascii="Arial" w:cs="Arial" w:eastAsia="Arial" w:hAnsi="Arial"/>
          <w:sz w:val="14"/>
          <w:szCs w:val="14"/>
          <w:color w:val="auto"/>
        </w:rPr>
        <w:t>(212) 446-4900</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November 6, 2019</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3131 Las Vegas Boulevard South</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(702) 770-7555</w:t>
      </w:r>
    </w:p>
    <w:p>
      <w:pPr>
        <w:spacing w:after="0" w:line="4"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Registration Statement of Wynn Resorts Limited on Form S-3ASR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We have examined the Registration Statement on Form S-3ASR (the “</w:t>
      </w:r>
      <w:r>
        <w:rPr>
          <w:rFonts w:ascii="Arial" w:cs="Arial" w:eastAsia="Arial" w:hAnsi="Arial"/>
          <w:sz w:val="21"/>
          <w:szCs w:val="21"/>
          <w:u w:val="single" w:color="auto"/>
          <w:color w:val="auto"/>
        </w:rPr>
        <w:t>Registration Statement</w:t>
      </w:r>
      <w:r>
        <w:rPr>
          <w:rFonts w:ascii="Arial" w:cs="Arial" w:eastAsia="Arial" w:hAnsi="Arial"/>
          <w:sz w:val="21"/>
          <w:szCs w:val="21"/>
          <w:color w:val="auto"/>
        </w:rPr>
        <w:t>”) to be filed with the Securities and Exchange Commission (the “</w:t>
      </w:r>
      <w:r>
        <w:rPr>
          <w:rFonts w:ascii="Arial" w:cs="Arial" w:eastAsia="Arial" w:hAnsi="Arial"/>
          <w:sz w:val="21"/>
          <w:szCs w:val="21"/>
          <w:u w:val="single" w:color="auto"/>
          <w:color w:val="auto"/>
        </w:rPr>
        <w:t>Commission</w:t>
      </w:r>
      <w:r>
        <w:rPr>
          <w:rFonts w:ascii="Arial" w:cs="Arial" w:eastAsia="Arial" w:hAnsi="Arial"/>
          <w:sz w:val="21"/>
          <w:szCs w:val="21"/>
          <w:color w:val="auto"/>
        </w:rPr>
        <w:t>”) by Wynn Resorts Limited, a Nevada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to register the following securities: (a) senior debt securities, senior subordinated debt securities, subordinated debt securities and junior subordinated debt securities of the Company (collectively, the “</w:t>
      </w:r>
      <w:r>
        <w:rPr>
          <w:rFonts w:ascii="Arial" w:cs="Arial" w:eastAsia="Arial" w:hAnsi="Arial"/>
          <w:sz w:val="21"/>
          <w:szCs w:val="21"/>
          <w:u w:val="single" w:color="auto"/>
          <w:color w:val="auto"/>
        </w:rPr>
        <w:t>Debt Securities</w:t>
      </w:r>
      <w:r>
        <w:rPr>
          <w:rFonts w:ascii="Arial" w:cs="Arial" w:eastAsia="Arial" w:hAnsi="Arial"/>
          <w:sz w:val="21"/>
          <w:szCs w:val="21"/>
          <w:color w:val="auto"/>
        </w:rPr>
        <w:t>”), (b) shares of common stock, par value $0.01 per share, of the Company (the “</w:t>
      </w:r>
      <w:r>
        <w:rPr>
          <w:rFonts w:ascii="Arial" w:cs="Arial" w:eastAsia="Arial" w:hAnsi="Arial"/>
          <w:sz w:val="21"/>
          <w:szCs w:val="21"/>
          <w:u w:val="single" w:color="auto"/>
          <w:color w:val="auto"/>
        </w:rPr>
        <w:t>Common Stock</w:t>
      </w:r>
      <w:r>
        <w:rPr>
          <w:rFonts w:ascii="Arial" w:cs="Arial" w:eastAsia="Arial" w:hAnsi="Arial"/>
          <w:sz w:val="21"/>
          <w:szCs w:val="21"/>
          <w:color w:val="auto"/>
        </w:rPr>
        <w:t>”), (c) shares of preferred stock, par value $0.01 per share, of the Company (the “</w:t>
      </w:r>
      <w:r>
        <w:rPr>
          <w:rFonts w:ascii="Arial" w:cs="Arial" w:eastAsia="Arial" w:hAnsi="Arial"/>
          <w:sz w:val="21"/>
          <w:szCs w:val="21"/>
          <w:u w:val="single" w:color="auto"/>
          <w:color w:val="auto"/>
        </w:rPr>
        <w:t>Preferred Stock</w:t>
      </w:r>
      <w:r>
        <w:rPr>
          <w:rFonts w:ascii="Arial" w:cs="Arial" w:eastAsia="Arial" w:hAnsi="Arial"/>
          <w:sz w:val="21"/>
          <w:szCs w:val="21"/>
          <w:color w:val="auto"/>
        </w:rPr>
        <w:t>”), and (d) depositary shares representing preferred stock of the Company (the “</w:t>
      </w:r>
      <w:r>
        <w:rPr>
          <w:rFonts w:ascii="Arial" w:cs="Arial" w:eastAsia="Arial" w:hAnsi="Arial"/>
          <w:sz w:val="21"/>
          <w:szCs w:val="21"/>
          <w:u w:val="single" w:color="auto"/>
          <w:color w:val="auto"/>
        </w:rPr>
        <w:t>Depositary Shares</w:t>
      </w:r>
      <w:r>
        <w:rPr>
          <w:rFonts w:ascii="Arial" w:cs="Arial" w:eastAsia="Arial" w:hAnsi="Arial"/>
          <w:sz w:val="21"/>
          <w:szCs w:val="21"/>
          <w:color w:val="auto"/>
        </w:rPr>
        <w:t>”); all of which securities may be issued from time to time on a delayed or continuous basis pursuant to Rule 415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In connection with this opinion, we have assumed that (a) the Registration Statement, and any amendments thereto (including post-effective amendments), relating to the offered securities will have become effective under the Securities Act, (b) a prospectus supplement will have been prepared and filed with the Commission describing the securities offered thereby, (c) all offered securities will be issued and sold in compliance with applicable federal and state securities laws and in the manner stated in the Registration Statement and the appropriate prospectus supplement, (d) a definitive purchase, underwriting, sales agency or similar agreement with respect to the offered securities will have been duly authorized and validly executed and delivered by the Company and the other parties thereto, (e) any applicable indenture and indenture trustee will have been qualified under the Trust Indenture Act of 1939, as amended; and (f) that the Company will receive at least par value for any equity security issued.</w:t>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2953385</wp:posOffset>
            </wp:positionH>
            <wp:positionV relativeFrom="page">
              <wp:posOffset>406400</wp:posOffset>
            </wp:positionV>
            <wp:extent cx="165544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655445" cy="137160"/>
                    </a:xfrm>
                    <a:prstGeom prst="rect">
                      <a:avLst/>
                    </a:prstGeom>
                    <a:noFill/>
                  </pic:spPr>
                </pic:pic>
              </a:graphicData>
            </a:graphic>
          </wp:anchor>
        </w:drawing>
        <w:t>Wynn Resorts Limited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November 6,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Based on the foregoing, and having regard for such legal considerations as we have deemed relevant, we are of the opinion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02" w:lineRule="exact"/>
        <w:rPr>
          <w:sz w:val="20"/>
          <w:szCs w:val="20"/>
          <w:color w:val="auto"/>
        </w:rPr>
      </w:pPr>
    </w:p>
    <w:p>
      <w:pPr>
        <w:jc w:val="both"/>
        <w:ind w:left="660" w:hanging="652"/>
        <w:spacing w:after="0" w:line="261" w:lineRule="auto"/>
        <w:tabs>
          <w:tab w:leader="none" w:pos="660" w:val="left"/>
        </w:tabs>
        <w:numPr>
          <w:ilvl w:val="0"/>
          <w:numId w:val="17"/>
        </w:numPr>
        <w:rPr>
          <w:rFonts w:ascii="Arial" w:cs="Arial" w:eastAsia="Arial" w:hAnsi="Arial"/>
          <w:sz w:val="21"/>
          <w:szCs w:val="21"/>
          <w:color w:val="auto"/>
        </w:rPr>
      </w:pPr>
      <w:r>
        <w:rPr>
          <w:rFonts w:ascii="Arial" w:cs="Arial" w:eastAsia="Arial" w:hAnsi="Arial"/>
          <w:sz w:val="21"/>
          <w:szCs w:val="21"/>
          <w:color w:val="auto"/>
        </w:rPr>
        <w:t>When the Debt Securities and the applicable indenture have been authorized by appropriate corporate authorization, the applicable indenture has been duly executed by the parties thereto, and the Debt Securities have been executed, authenticated and delivered in accordance with the applicable indenture against payment therefore, the Debt Securities will be validly issued and the Debt Securities will constitute binding obligations of the Company, in each case subject to bankruptcy, insolvency, fraudulent transfer, reorganization, moratorium and similar laws of general applicability relating to or affecting creditors’ rights and to general equity principles.</w:t>
      </w:r>
    </w:p>
    <w:p>
      <w:pPr>
        <w:spacing w:after="0" w:line="180" w:lineRule="exact"/>
        <w:rPr>
          <w:rFonts w:ascii="Arial" w:cs="Arial" w:eastAsia="Arial" w:hAnsi="Arial"/>
          <w:sz w:val="21"/>
          <w:szCs w:val="21"/>
          <w:color w:val="auto"/>
        </w:rPr>
      </w:pPr>
    </w:p>
    <w:p>
      <w:pPr>
        <w:jc w:val="both"/>
        <w:ind w:left="660" w:hanging="652"/>
        <w:spacing w:after="0" w:line="253"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When the Common Stock and/or the Preferred Stock have been duly authorized by appropriate corporate authorization and issued upon receipt of payment therefor, the Common Stock and/or Preferred Stock will be validly issued, fully paid, and non-assessable.</w:t>
      </w:r>
    </w:p>
    <w:p>
      <w:pPr>
        <w:spacing w:after="0" w:line="185" w:lineRule="exact"/>
        <w:rPr>
          <w:rFonts w:ascii="Arial" w:cs="Arial" w:eastAsia="Arial" w:hAnsi="Arial"/>
          <w:sz w:val="22"/>
          <w:szCs w:val="22"/>
          <w:color w:val="auto"/>
        </w:rPr>
      </w:pPr>
    </w:p>
    <w:p>
      <w:pPr>
        <w:jc w:val="both"/>
        <w:ind w:left="660" w:hanging="652"/>
        <w:spacing w:after="0" w:line="247"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When the Depositary Shares have been duly authorized by appropriate corporate authorization and duly established in accordance with the applicable deposit agreements and applicable law, the Preferred Stock represented by the Depositary Shares has been duly delivered to the depositary under the applicable deposit agreement, and the depositary receipts evidencing the Depositary Shares have been duly executed, attested, issued and delivered by duly authorized officers, such Depositary Shares will be validly issued and will entitle the holders thereof to the rights specified in the applicable deposit agreement.</w:t>
      </w:r>
    </w:p>
    <w:p>
      <w:pPr>
        <w:spacing w:after="0" w:line="19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This opinion does not cover the law of any jurisdiction other than the law of the State of New York. We did not find it necessary for the purposes of this opinion, and accordingly we do not purport to cover herein, the application of the securities or “Blue Sky” laws of the various states. We undertake no responsibility to update or supplement this opinion in response to changes in law or future events or other circumstances. The opinion expressed herein concerns only the effect of the law (excluding the principles of conflicts of law) of the State of New York as currently in effect.</w:t>
      </w:r>
    </w:p>
    <w:p>
      <w:pPr>
        <w:spacing w:after="0" w:line="1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opinion is being furnished in accordance with the requirements of Item 601 of Regulation S-K promulgated under the Securities Act, and no opinion is expressed herein as to any matter pertaining to the contents of the Registration Statement, other than as to the specific issues addressed herein, and no opinion may be inferred or implied beyond that expressly stated herein.</w:t>
      </w:r>
    </w:p>
    <w:p>
      <w:pPr>
        <w:sectPr>
          <w:pgSz w:w="11900" w:h="16838" w:orient="portrait"/>
          <w:cols w:equalWidth="0" w:num="1">
            <w:col w:w="11420"/>
          </w:cols>
          <w:pgMar w:left="240" w:top="1063"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2953385</wp:posOffset>
            </wp:positionH>
            <wp:positionV relativeFrom="page">
              <wp:posOffset>243205</wp:posOffset>
            </wp:positionV>
            <wp:extent cx="165544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655445" cy="137160"/>
                    </a:xfrm>
                    <a:prstGeom prst="rect">
                      <a:avLst/>
                    </a:prstGeom>
                    <a:noFill/>
                  </pic:spPr>
                </pic:pic>
              </a:graphicData>
            </a:graphic>
          </wp:anchor>
        </w:drawing>
        <w:t>Wynn Resorts Limited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November 6, 2019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opinion is rendered solely for your benefit and may not be used, circulated, quoted relied upon or otherwise referred to by any other person for any other purpose without our prior written consent.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We have relied as to certain matters on information obtained from public officials, officers of the Company and other sources believed by us to be responsible.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hereby consent to the filing of this opinion as an exhibit to the Registration Statement and to the reference to this opinion in the Registration Statement in the section “Legal Matters.” In giving this consent, we do not thereby admit that we are “experts” within the meaning of the Securities Act.</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KIRKLAND &amp; ELLIS LLP</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KIRKLAND &amp; ELLIS LLP</w:t>
      </w:r>
    </w:p>
    <w:p>
      <w:pPr>
        <w:sectPr>
          <w:pgSz w:w="11900" w:h="16838" w:orient="portrait"/>
          <w:cols w:equalWidth="0" w:num="1">
            <w:col w:w="11420"/>
          </w:cols>
          <w:pgMar w:left="240" w:top="1023"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09395"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50939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November 6,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We have acted as special Nevada counsel to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filing by the Company of a Registration Statement on Form S-3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relating to the registration for offering and sale from time to time by the Company of an indeterminate number of the following securities of the Company: (i) shares (the “</w:t>
      </w:r>
      <w:r>
        <w:rPr>
          <w:rFonts w:ascii="Arial" w:cs="Arial" w:eastAsia="Arial" w:hAnsi="Arial"/>
          <w:sz w:val="18"/>
          <w:szCs w:val="18"/>
          <w:u w:val="single" w:color="auto"/>
          <w:color w:val="auto"/>
        </w:rPr>
        <w:t>Common Shares</w:t>
      </w:r>
      <w:r>
        <w:rPr>
          <w:rFonts w:ascii="Arial" w:cs="Arial" w:eastAsia="Arial" w:hAnsi="Arial"/>
          <w:sz w:val="18"/>
          <w:szCs w:val="18"/>
          <w:color w:val="auto"/>
        </w:rPr>
        <w:t>”) of the Company’s common stock, par value $0.01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(ii) shares (the “</w:t>
      </w:r>
      <w:r>
        <w:rPr>
          <w:rFonts w:ascii="Arial" w:cs="Arial" w:eastAsia="Arial" w:hAnsi="Arial"/>
          <w:sz w:val="18"/>
          <w:szCs w:val="18"/>
          <w:u w:val="single" w:color="auto"/>
          <w:color w:val="auto"/>
        </w:rPr>
        <w:t>Preferred Shares</w:t>
      </w:r>
      <w:r>
        <w:rPr>
          <w:rFonts w:ascii="Arial" w:cs="Arial" w:eastAsia="Arial" w:hAnsi="Arial"/>
          <w:sz w:val="18"/>
          <w:szCs w:val="18"/>
          <w:color w:val="auto"/>
        </w:rPr>
        <w:t>”, and together with the Common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preferred stock, par value $0.01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in one or more series, (iii) depositary shares (the “</w:t>
      </w:r>
      <w:r>
        <w:rPr>
          <w:rFonts w:ascii="Arial" w:cs="Arial" w:eastAsia="Arial" w:hAnsi="Arial"/>
          <w:sz w:val="18"/>
          <w:szCs w:val="18"/>
          <w:u w:val="single" w:color="auto"/>
          <w:color w:val="auto"/>
        </w:rPr>
        <w:t>Depositary Shares</w:t>
      </w:r>
      <w:r>
        <w:rPr>
          <w:rFonts w:ascii="Arial" w:cs="Arial" w:eastAsia="Arial" w:hAnsi="Arial"/>
          <w:sz w:val="18"/>
          <w:szCs w:val="18"/>
          <w:color w:val="auto"/>
        </w:rPr>
        <w:t>”) representing fractional interests in shares of Preferred Stock to be issued pursuant to a deposit agreement (each, a “</w:t>
      </w:r>
      <w:r>
        <w:rPr>
          <w:rFonts w:ascii="Arial" w:cs="Arial" w:eastAsia="Arial" w:hAnsi="Arial"/>
          <w:sz w:val="18"/>
          <w:szCs w:val="18"/>
          <w:u w:val="single" w:color="auto"/>
          <w:color w:val="auto"/>
        </w:rPr>
        <w:t>Deposit Agreement</w:t>
      </w:r>
      <w:r>
        <w:rPr>
          <w:rFonts w:ascii="Arial" w:cs="Arial" w:eastAsia="Arial" w:hAnsi="Arial"/>
          <w:sz w:val="18"/>
          <w:szCs w:val="18"/>
          <w:color w:val="auto"/>
        </w:rPr>
        <w:t>”) and (iv) senior debt securities, senior subordinated debt securities, subordinated debt securities and junior subordinated debt securities (collectively, the “</w:t>
      </w:r>
      <w:r>
        <w:rPr>
          <w:rFonts w:ascii="Arial" w:cs="Arial" w:eastAsia="Arial" w:hAnsi="Arial"/>
          <w:sz w:val="18"/>
          <w:szCs w:val="18"/>
          <w:u w:val="single" w:color="auto"/>
          <w:color w:val="auto"/>
        </w:rPr>
        <w:t>Debt Securities</w:t>
      </w:r>
      <w:r>
        <w:rPr>
          <w:rFonts w:ascii="Arial" w:cs="Arial" w:eastAsia="Arial" w:hAnsi="Arial"/>
          <w:sz w:val="18"/>
          <w:szCs w:val="18"/>
          <w:color w:val="auto"/>
        </w:rPr>
        <w:t>” and together with the Depositary Shares and the Shares, the “</w:t>
      </w:r>
      <w:r>
        <w:rPr>
          <w:rFonts w:ascii="Arial" w:cs="Arial" w:eastAsia="Arial" w:hAnsi="Arial"/>
          <w:sz w:val="18"/>
          <w:szCs w:val="18"/>
          <w:u w:val="single" w:color="auto"/>
          <w:color w:val="auto"/>
        </w:rPr>
        <w:t>Securities</w:t>
      </w:r>
      <w:r>
        <w:rPr>
          <w:rFonts w:ascii="Arial" w:cs="Arial" w:eastAsia="Arial" w:hAnsi="Arial"/>
          <w:sz w:val="18"/>
          <w:szCs w:val="18"/>
          <w:color w:val="auto"/>
        </w:rPr>
        <w:t>”) to be issued pursuant to the Indenture, dated as of March 29, 2004 (the “</w:t>
      </w:r>
      <w:r>
        <w:rPr>
          <w:rFonts w:ascii="Arial" w:cs="Arial" w:eastAsia="Arial" w:hAnsi="Arial"/>
          <w:sz w:val="18"/>
          <w:szCs w:val="18"/>
          <w:u w:val="single" w:color="auto"/>
          <w:color w:val="auto"/>
        </w:rPr>
        <w:t>Indenture</w:t>
      </w:r>
      <w:r>
        <w:rPr>
          <w:rFonts w:ascii="Arial" w:cs="Arial" w:eastAsia="Arial" w:hAnsi="Arial"/>
          <w:sz w:val="18"/>
          <w:szCs w:val="18"/>
          <w:color w:val="auto"/>
        </w:rPr>
        <w:t>”), by and between the Company and U.S. Bank National Association, as trustee. This opinion letter is being furnished at your request in accordance with the requirements of Item 601(b)(5) of Regulation S-K under the Act.</w:t>
      </w:r>
    </w:p>
    <w:p>
      <w:pPr>
        <w:spacing w:after="0" w:line="211" w:lineRule="exact"/>
        <w:rPr>
          <w:sz w:val="20"/>
          <w:szCs w:val="20"/>
          <w:color w:val="auto"/>
        </w:rPr>
      </w:pPr>
    </w:p>
    <w:p>
      <w:pPr>
        <w:jc w:val="both"/>
        <w:ind w:right="200" w:firstLine="648"/>
        <w:spacing w:after="0" w:line="254" w:lineRule="auto"/>
        <w:rPr>
          <w:sz w:val="20"/>
          <w:szCs w:val="20"/>
          <w:color w:val="auto"/>
        </w:rPr>
      </w:pPr>
      <w:r>
        <w:rPr>
          <w:rFonts w:ascii="Arial" w:cs="Arial" w:eastAsia="Arial" w:hAnsi="Arial"/>
          <w:sz w:val="18"/>
          <w:szCs w:val="18"/>
          <w:color w:val="auto"/>
        </w:rPr>
        <w:t>In our capacity as such counsel, we are familiar with the proceedings taken and proposed to be taken by the Company in connection with the registration of the Securities, as described in the Registration Statement. For purposes of this opinion letter, and except to the extent set forth in the opinions below, we have assumed all such proceedings have been timely completed or will be timely completed in the manner presently proposed in the Registration Statement.</w:t>
      </w:r>
    </w:p>
    <w:p>
      <w:pPr>
        <w:spacing w:after="0" w:line="204"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For purposes of rendering this opinion letter, we have made such legal and factual examinations and inquiries, including an examination of originals or copies certified or otherwise identified to our satisfaction as being true copies of (i) the Registration Statement, including the form of Deposit Agreement and the form of Receipt (as defined therein) incorporated by reference as exhibits thereto, (ii) the Indenture, (iii) the articles of incorporation and bylaws of the Company (collectively, the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and (iv) such other agreements, instruments, corporate records and other documents as we have deemed necessary or appropriate for the purpose of issuing this opinion letter, and we have obtained from officers and other representatives and agents of the Company and from public officials, and have relied upon, such certificates, representations and assurances as we have deemed necessary or appropriate.</w:t>
      </w:r>
    </w:p>
    <w:p>
      <w:pPr>
        <w:spacing w:after="0" w:line="20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Without limiting the generality of the foregoing, in our examination and in rendering this opinion letter, we have, with your permission, assumed without independent verification, that (i) each document we</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6,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have reviewed or which is referenced herein has been or will be duly executed and delivered by the parties thereto to the extent due execution and delivery are prerequisites to the effectiveness thereof; (ii) the statements of fact and representations and warranties set forth in the documents we have reviewed are, or at all relevant times will be, true and correct as to factual matters; (iii) each natural person executing a document has or will have sufficient legal capacity to do so; (iv) all documents submitted to us as originals are authentic, the signatures on all documents that we have examined are genuine, and all documents submitted to us as certified, conformed, photostatic, electronic or facsimile copies conform to the original documents; (v) all corporate records made available to us by the Company, and all public records we have reviewed, are accurate and complete; (vi) the Deposit Agreement and any and all Receipts will be executed in substantially the form incorporated by reference as an exhibit to the Registration Statement; (vii) any and all agreements, instruments or other documents relating to the offering, issuance or sale of any Securities, including, without limitation, the Indenture, the Deposit Agreement and any Receipts (collectively, the “</w:t>
      </w:r>
      <w:r>
        <w:rPr>
          <w:rFonts w:ascii="Arial" w:cs="Arial" w:eastAsia="Arial" w:hAnsi="Arial"/>
          <w:sz w:val="18"/>
          <w:szCs w:val="18"/>
          <w:u w:val="single" w:color="auto"/>
          <w:color w:val="auto"/>
        </w:rPr>
        <w:t>Securities Documents</w:t>
      </w:r>
      <w:r>
        <w:rPr>
          <w:rFonts w:ascii="Arial" w:cs="Arial" w:eastAsia="Arial" w:hAnsi="Arial"/>
          <w:sz w:val="18"/>
          <w:szCs w:val="18"/>
          <w:color w:val="auto"/>
        </w:rPr>
        <w:t>”), have been or will be duly authorized, executed and delivered by the Company; (viii) the obligations of each party set forth in the Securities Documents are or will be its valid and binding obligations, enforceable in accordance with their respective terms; (ix) no Securities will be offered, issued or sold in violation or breach of, nor will any such offering, issuance or sale result in a default under, any agreement or instrument that is binding upon the Company or any requirement or restriction imposed by any governmental or regulatory agency, authority or body; (x) the Company has taken or will take all corporate action required in connection with the authorization, offering, issuance and sale of Securities (including, without limitation, any Shares or other securities of the Company underlying any Debt Securities or any Depositary Shares or Receipts), and all Securities will be offered, issued and sold, in compliance with all applicable laws, the Governing Documents and the relevant Securities Documents in effect at all relevant times, and any and all certificates evidencing Shares will be properly signed, registered and delivered, as necessary, in accordance with all applicable laws, the Governing Documents and the relevant Securities Documents (collectively, “</w:t>
      </w:r>
      <w:r>
        <w:rPr>
          <w:rFonts w:ascii="Arial" w:cs="Arial" w:eastAsia="Arial" w:hAnsi="Arial"/>
          <w:sz w:val="18"/>
          <w:szCs w:val="18"/>
          <w:u w:val="single" w:color="auto"/>
          <w:color w:val="auto"/>
        </w:rPr>
        <w:t>Corporate Proceedings</w:t>
      </w:r>
      <w:r>
        <w:rPr>
          <w:rFonts w:ascii="Arial" w:cs="Arial" w:eastAsia="Arial" w:hAnsi="Arial"/>
          <w:sz w:val="18"/>
          <w:szCs w:val="18"/>
          <w:color w:val="auto"/>
        </w:rPr>
        <w:t>”); (xi) after any issuance of Common Shares, the total number of issued and outstanding shares of Common Stock, together with the total number of shares of Common Stock then reserved for issuance or obligated to be issued by the Company pursuant to any agreement or arrangement or otherwise, will not exceed the total number of shares of Common Stock then authorized under the Governing Documents; (xii) the voting rights, designations, preferences, limitations, restrictions, privileges and relative rights of each series of Preferred Shares will be fixed in a certificate of designation relating to such series, prepared in the form prescribed by applicable laws, duly signed by an officer of the Company and properly filed with the Nevada Secretary of State (each, a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and at no time will the total number of shares of Preferred Stock designated pursuant to all then-effective Certificates of Designation exceed the total number of shares of Preferred Stock then authorized under the Governing Documents; and (xiii) after any issuance of Preferred Shares, the total number of issued and outstanding shares of each series thereof, together with the total number of shares of such series then reserved for issuance or obligated to be issued by the Company pursuant to any agreement or arrangement or otherwise, will not exceed the total number of shares of such series then designated under the Certificate of Designation for such series.</w:t>
      </w:r>
    </w:p>
    <w:p>
      <w:pPr>
        <w:spacing w:after="0" w:line="230"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are qualified to practice law in the State of Nevada. The opinions set forth herein are expressly limited to and based exclusively on the general corporate laws of the State of Nevada, and we do not purport to be experts on, or to express any opinion with respect to the applicability or effect of, the laws of any other jurisdiction. We express no opinion concerning, and we assume no responsibility as to laws or judicial decisions related to any federal laws, rules or regulations, including any federal securities laws, rules or regulations, or any state securities or “Blue Sky” laws, rules or regulations.</w:t>
      </w:r>
    </w:p>
    <w:p>
      <w:pPr>
        <w:spacing w:after="0" w:line="206" w:lineRule="exact"/>
        <w:rPr>
          <w:sz w:val="20"/>
          <w:szCs w:val="20"/>
          <w:color w:val="auto"/>
        </w:rPr>
      </w:pPr>
    </w:p>
    <w:p>
      <w:pPr>
        <w:ind w:right="520" w:firstLine="648"/>
        <w:spacing w:after="0" w:line="262" w:lineRule="auto"/>
        <w:rPr>
          <w:sz w:val="20"/>
          <w:szCs w:val="20"/>
          <w:color w:val="auto"/>
        </w:rPr>
      </w:pPr>
      <w:r>
        <w:rPr>
          <w:rFonts w:ascii="Arial" w:cs="Arial" w:eastAsia="Arial" w:hAnsi="Arial"/>
          <w:sz w:val="18"/>
          <w:szCs w:val="18"/>
          <w:color w:val="auto"/>
        </w:rPr>
        <w:t>Based upon the foregoing and in reliance thereon, and having regard to legal considerations and other information that we deem relevant, we are of the opinion that:</w:t>
      </w:r>
    </w:p>
    <w:p>
      <w:pPr>
        <w:sectPr>
          <w:pgSz w:w="11900" w:h="16838" w:orient="portrait"/>
          <w:cols w:equalWidth="0" w:num="1">
            <w:col w:w="11400"/>
          </w:cols>
          <w:pgMar w:left="240" w:top="382"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6,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68" w:lineRule="exact"/>
        <w:rPr>
          <w:sz w:val="20"/>
          <w:szCs w:val="20"/>
          <w:color w:val="auto"/>
        </w:rPr>
      </w:pPr>
    </w:p>
    <w:p>
      <w:pPr>
        <w:ind w:firstLine="656"/>
        <w:spacing w:after="0" w:line="301" w:lineRule="auto"/>
        <w:tabs>
          <w:tab w:leader="none" w:pos="14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and when all Corporate Proceedings have been taken and completed in respect of any offering, issuance or sale of Shares, and to the extent such Shares have been issued in accordance with all applicable terms and conditions set forth in the relevant Securities Documents, including payment in full of all consideration required therefor as authorized by such Corporate Proceedings and prescribed by such Securities Documents, such Shares will be duly authorized, validly issued, fully paid and non-assessable.</w:t>
      </w:r>
    </w:p>
    <w:p>
      <w:pPr>
        <w:spacing w:after="0" w:line="204" w:lineRule="exact"/>
        <w:rPr>
          <w:rFonts w:ascii="Arial" w:cs="Arial" w:eastAsia="Arial" w:hAnsi="Arial"/>
          <w:sz w:val="18"/>
          <w:szCs w:val="18"/>
          <w:color w:val="auto"/>
        </w:rPr>
      </w:pPr>
    </w:p>
    <w:p>
      <w:pPr>
        <w:ind w:right="680" w:firstLine="656"/>
        <w:spacing w:after="0" w:line="309" w:lineRule="auto"/>
        <w:tabs>
          <w:tab w:leader="none" w:pos="14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and when all Corporate Proceedings have been taken and completed in respect of any offering, issuance or sale of Securities, such Securities will be duly authorized.</w:t>
      </w:r>
    </w:p>
    <w:p>
      <w:pPr>
        <w:spacing w:after="0" w:line="16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opinions expressed herein are based upon the applicable laws of the State of Nevada and the facts in existence on the date hereof. In delivering this opinion letter to you, we disclaim any obligation to update or supplement the opinions set forth herein or to apprise you of any changes in such laws or facts after such time as the Registration Statement is declared effective. No opinion is offered or implied as to any matter, and no inference may be drawn, beyond the strict scope of the specific issues expressly addressed by the opinions set forth herein.</w:t>
      </w:r>
    </w:p>
    <w:p>
      <w:pPr>
        <w:spacing w:after="0" w:line="20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consent to your filing this opinion letter as an exhibit to the Registration Statement and to the reference to our firm therein under the heading “Legal Matters”. In giving such consent, we do not admit that we are in the category of persons whose consent is required under Section 7 of the Act or the rules and regulations of the Commission promulgated thereunder.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 Brownstein Hyatt Farber Schreck, LLP</w:t>
      </w:r>
    </w:p>
    <w:p>
      <w:pPr>
        <w:sectPr>
          <w:pgSz w:w="11900" w:h="16838" w:orient="portrait"/>
          <w:cols w:equalWidth="0" w:num="1">
            <w:col w:w="11420"/>
          </w:cols>
          <w:pgMar w:left="240" w:top="38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S-3) and related Prospectus of Wynn Resorts, Limited for the registration of common stock, preferred stock, depositary shares representing preferred stock and senior debt securities, senior subordinated debt securities, subordinated debt securities and junior subordinated debt securities, and to the incorporation by reference therein of our reports dated February 28, 2019, with respect to the consolidated financial statements and schedule of Wynn Resorts, Limited, and the effectiveness of internal control over financial reporting of Wynn Resorts, Limited, included in its Annual Report (Form 10-K) for the year ended December 31, 2018, filed with the Securities and Exchange Commission.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6, 2019</w:t>
      </w:r>
    </w:p>
    <w:p>
      <w:pPr>
        <w:sectPr>
          <w:pgSz w:w="11900" w:h="16838" w:orient="portrait"/>
          <w:cols w:equalWidth="0" w:num="1">
            <w:col w:w="11420"/>
          </w:cols>
          <w:pgMar w:left="240" w:top="580" w:right="239" w:bottom="1440" w:gutter="0" w:footer="0" w:header="0"/>
        </w:sectPr>
      </w:pPr>
    </w:p>
    <w:bookmarkStart w:id="20" w:name="page21"/>
    <w:bookmarkEnd w:id="20"/>
    <w:p>
      <w:pPr>
        <w:ind w:left="10620"/>
        <w:spacing w:after="0"/>
        <w:rPr>
          <w:sz w:val="20"/>
          <w:szCs w:val="20"/>
          <w:color w:val="auto"/>
        </w:rPr>
      </w:pPr>
      <w:r>
        <w:rPr>
          <w:rFonts w:ascii="Arial" w:cs="Arial" w:eastAsia="Arial" w:hAnsi="Arial"/>
          <w:sz w:val="17"/>
          <w:szCs w:val="17"/>
          <w:b w:val="1"/>
          <w:bCs w:val="1"/>
          <w:color w:val="auto"/>
        </w:rPr>
        <w:t>Exhibit 25</w:t>
      </w:r>
    </w:p>
    <w:p>
      <w:pPr>
        <w:spacing w:after="0" w:line="39" w:lineRule="exact"/>
        <w:rPr>
          <w:sz w:val="20"/>
          <w:szCs w:val="20"/>
          <w:color w:val="auto"/>
        </w:rPr>
      </w:pPr>
    </w:p>
    <w:p>
      <w:pPr>
        <w:ind w:left="1560"/>
        <w:spacing w:after="0"/>
        <w:rPr>
          <w:sz w:val="20"/>
          <w:szCs w:val="20"/>
          <w:color w:val="auto"/>
        </w:rPr>
      </w:pPr>
      <w:r>
        <w:rPr>
          <w:rFonts w:ascii="Arial" w:cs="Arial" w:eastAsia="Arial" w:hAnsi="Arial"/>
          <w:sz w:val="22"/>
          <w:szCs w:val="22"/>
          <w:u w:val="single" w:color="auto"/>
          <w:color w:val="auto"/>
        </w:rPr>
        <w:t>_____________________________________________________________________________</w:t>
      </w: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ind w:left="4420"/>
        <w:spacing w:after="0"/>
        <w:rPr>
          <w:sz w:val="20"/>
          <w:szCs w:val="20"/>
          <w:color w:val="auto"/>
        </w:rPr>
      </w:pPr>
      <w:r>
        <w:rPr>
          <w:rFonts w:ascii="Arial" w:cs="Arial" w:eastAsia="Arial" w:hAnsi="Arial"/>
          <w:sz w:val="20"/>
          <w:szCs w:val="20"/>
          <w:color w:val="auto"/>
        </w:rPr>
        <w:t>__________________________</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FORM T-1</w:t>
      </w: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STATEMENT OF ELIGIBILITY UNDER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THE TRUST INDENTURE ACT OF 1939 OF A</w:t>
      </w:r>
    </w:p>
    <w:p>
      <w:pPr>
        <w:jc w:val="center"/>
        <w:ind w:right="20"/>
        <w:spacing w:after="0"/>
        <w:rPr>
          <w:sz w:val="20"/>
          <w:szCs w:val="20"/>
          <w:color w:val="auto"/>
        </w:rPr>
      </w:pPr>
      <w:r>
        <w:rPr>
          <w:rFonts w:ascii="Arial" w:cs="Arial" w:eastAsia="Arial" w:hAnsi="Arial"/>
          <w:sz w:val="20"/>
          <w:szCs w:val="20"/>
          <w:b w:val="1"/>
          <w:bCs w:val="1"/>
          <w:color w:val="auto"/>
        </w:rPr>
        <w:t>CORPORATION DESIGNATED TO ACT AS TRUSTEE</w:t>
      </w:r>
    </w:p>
    <w:p>
      <w:pPr>
        <w:jc w:val="center"/>
        <w:ind w:right="20"/>
        <w:spacing w:after="0"/>
        <w:rPr>
          <w:sz w:val="20"/>
          <w:szCs w:val="20"/>
          <w:color w:val="auto"/>
        </w:rPr>
      </w:pPr>
      <w:r>
        <w:rPr>
          <w:rFonts w:ascii="Arial" w:cs="Arial" w:eastAsia="Arial" w:hAnsi="Arial"/>
          <w:sz w:val="20"/>
          <w:szCs w:val="20"/>
          <w:color w:val="auto"/>
        </w:rPr>
        <w:t>Check if an Application to Determine Eligibility of</w:t>
      </w:r>
    </w:p>
    <w:p>
      <w:pPr>
        <w:jc w:val="center"/>
        <w:ind w:right="20"/>
        <w:spacing w:after="0"/>
        <w:rPr>
          <w:sz w:val="20"/>
          <w:szCs w:val="20"/>
          <w:color w:val="auto"/>
        </w:rPr>
      </w:pPr>
      <w:r>
        <w:rPr>
          <w:rFonts w:ascii="Arial" w:cs="Arial" w:eastAsia="Arial" w:hAnsi="Arial"/>
          <w:sz w:val="20"/>
          <w:szCs w:val="20"/>
          <w:color w:val="auto"/>
        </w:rPr>
        <w:t>a Trustee Pursuant to Section 305(b)(2)</w:t>
      </w:r>
    </w:p>
    <w:p>
      <w:pPr>
        <w:ind w:left="3000"/>
        <w:spacing w:after="0"/>
        <w:rPr>
          <w:sz w:val="20"/>
          <w:szCs w:val="20"/>
          <w:color w:val="auto"/>
        </w:rPr>
      </w:pPr>
      <w:r>
        <w:rPr>
          <w:rFonts w:ascii="Arial" w:cs="Arial" w:eastAsia="Arial" w:hAnsi="Arial"/>
          <w:sz w:val="20"/>
          <w:szCs w:val="20"/>
          <w:color w:val="auto"/>
        </w:rPr>
        <w:t>_______________________________________________________</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U.S. BANK NATIONAL ASSOCIATION</w:t>
      </w:r>
    </w:p>
    <w:p>
      <w:pPr>
        <w:spacing w:after="0" w:line="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(Exact name of Trustee as specified in its charter)</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31-0841368</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I.R.S. Employer Identification No.</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Borders>
              <w:top w:val="single" w:sz="8" w:color="00000A"/>
            </w:tcBorders>
            <w:shd w:val="clear" w:color="auto" w:fill="00000A"/>
          </w:tcPr>
          <w:p>
            <w:pPr>
              <w:spacing w:after="0"/>
              <w:rPr>
                <w:sz w:val="22"/>
                <w:szCs w:val="22"/>
                <w:color w:val="auto"/>
              </w:rPr>
            </w:pPr>
          </w:p>
        </w:tc>
        <w:tc>
          <w:tcPr>
            <w:tcW w:w="5720" w:type="dxa"/>
            <w:vAlign w:val="bottom"/>
            <w:tcBorders>
              <w:top w:val="single" w:sz="8" w:color="00000A"/>
              <w:right w:val="single" w:sz="8" w:color="00000A"/>
            </w:tcBorders>
            <w:gridSpan w:val="2"/>
          </w:tcPr>
          <w:p>
            <w:pPr>
              <w:jc w:val="center"/>
              <w:ind w:right="20"/>
              <w:spacing w:after="0"/>
              <w:rPr>
                <w:sz w:val="20"/>
                <w:szCs w:val="20"/>
                <w:color w:val="auto"/>
              </w:rPr>
            </w:pPr>
            <w:r>
              <w:rPr>
                <w:rFonts w:ascii="Arial" w:cs="Arial" w:eastAsia="Arial" w:hAnsi="Arial"/>
                <w:sz w:val="20"/>
                <w:szCs w:val="20"/>
                <w:color w:val="auto"/>
                <w:w w:val="96"/>
              </w:rPr>
              <w:t>800 Nicollet Mall</w:t>
            </w:r>
          </w:p>
        </w:tc>
        <w:tc>
          <w:tcPr>
            <w:tcW w:w="1420" w:type="dxa"/>
            <w:vAlign w:val="bottom"/>
            <w:tcBorders>
              <w:top w:val="single" w:sz="8" w:color="00000A"/>
            </w:tcBorders>
          </w:tcPr>
          <w:p>
            <w:pPr>
              <w:spacing w:after="0"/>
              <w:rPr>
                <w:sz w:val="22"/>
                <w:szCs w:val="22"/>
                <w:color w:val="auto"/>
              </w:rPr>
            </w:pPr>
          </w:p>
        </w:tc>
        <w:tc>
          <w:tcPr>
            <w:tcW w:w="4280" w:type="dxa"/>
            <w:vAlign w:val="bottom"/>
            <w:tcBorders>
              <w:top w:val="single" w:sz="8" w:color="00000A"/>
              <w:right w:val="single" w:sz="8" w:color="00000A"/>
            </w:tcBorders>
          </w:tcPr>
          <w:p>
            <w:pPr>
              <w:spacing w:after="0"/>
              <w:rPr>
                <w:sz w:val="22"/>
                <w:szCs w:val="22"/>
                <w:color w:val="auto"/>
              </w:rPr>
            </w:pPr>
          </w:p>
        </w:tc>
      </w:tr>
      <w:tr>
        <w:trPr>
          <w:trHeight w:val="250"/>
        </w:trPr>
        <w:tc>
          <w:tcPr>
            <w:tcW w:w="20" w:type="dxa"/>
            <w:vAlign w:val="bottom"/>
            <w:shd w:val="clear" w:color="auto" w:fill="00000A"/>
          </w:tcPr>
          <w:p>
            <w:pPr>
              <w:spacing w:after="0"/>
              <w:rPr>
                <w:sz w:val="21"/>
                <w:szCs w:val="21"/>
                <w:color w:val="auto"/>
              </w:rPr>
            </w:pPr>
          </w:p>
        </w:tc>
        <w:tc>
          <w:tcPr>
            <w:tcW w:w="5720" w:type="dxa"/>
            <w:vAlign w:val="bottom"/>
            <w:tcBorders>
              <w:right w:val="single" w:sz="8" w:color="00000A"/>
            </w:tcBorders>
            <w:gridSpan w:val="2"/>
          </w:tcPr>
          <w:p>
            <w:pPr>
              <w:jc w:val="center"/>
              <w:ind w:right="20"/>
              <w:spacing w:after="0"/>
              <w:rPr>
                <w:sz w:val="20"/>
                <w:szCs w:val="20"/>
                <w:color w:val="auto"/>
              </w:rPr>
            </w:pPr>
            <w:r>
              <w:rPr>
                <w:rFonts w:ascii="Arial" w:cs="Arial" w:eastAsia="Arial" w:hAnsi="Arial"/>
                <w:sz w:val="20"/>
                <w:szCs w:val="20"/>
                <w:color w:val="auto"/>
                <w:w w:val="92"/>
              </w:rPr>
              <w:t>Minneapolis, Minnesota</w:t>
            </w:r>
          </w:p>
        </w:tc>
        <w:tc>
          <w:tcPr>
            <w:tcW w:w="1420" w:type="dxa"/>
            <w:vAlign w:val="bottom"/>
          </w:tcPr>
          <w:p>
            <w:pPr>
              <w:spacing w:after="0"/>
              <w:rPr>
                <w:sz w:val="21"/>
                <w:szCs w:val="21"/>
                <w:color w:val="auto"/>
              </w:rPr>
            </w:pPr>
          </w:p>
        </w:tc>
        <w:tc>
          <w:tcPr>
            <w:tcW w:w="4280" w:type="dxa"/>
            <w:vAlign w:val="bottom"/>
            <w:tcBorders>
              <w:right w:val="single" w:sz="8" w:color="00000A"/>
            </w:tcBorders>
          </w:tcPr>
          <w:p>
            <w:pPr>
              <w:jc w:val="right"/>
              <w:ind w:right="2528"/>
              <w:spacing w:after="0"/>
              <w:rPr>
                <w:sz w:val="20"/>
                <w:szCs w:val="20"/>
                <w:color w:val="auto"/>
              </w:rPr>
            </w:pPr>
            <w:r>
              <w:rPr>
                <w:rFonts w:ascii="Arial" w:cs="Arial" w:eastAsia="Arial" w:hAnsi="Arial"/>
                <w:sz w:val="20"/>
                <w:szCs w:val="20"/>
                <w:color w:val="auto"/>
              </w:rPr>
              <w:t>55402</w:t>
            </w:r>
          </w:p>
        </w:tc>
      </w:tr>
      <w:tr>
        <w:trPr>
          <w:trHeight w:val="23"/>
        </w:trPr>
        <w:tc>
          <w:tcPr>
            <w:tcW w:w="20" w:type="dxa"/>
            <w:vAlign w:val="bottom"/>
            <w:tcBorders>
              <w:bottom w:val="single" w:sz="8" w:color="00000A"/>
            </w:tcBorders>
            <w:shd w:val="clear" w:color="auto" w:fill="00000A"/>
          </w:tcPr>
          <w:p>
            <w:pPr>
              <w:spacing w:after="0"/>
              <w:rPr>
                <w:sz w:val="2"/>
                <w:szCs w:val="2"/>
                <w:color w:val="auto"/>
              </w:rPr>
            </w:pPr>
          </w:p>
        </w:tc>
        <w:tc>
          <w:tcPr>
            <w:tcW w:w="5620" w:type="dxa"/>
            <w:vAlign w:val="bottom"/>
            <w:tcBorders>
              <w:bottom w:val="single" w:sz="8" w:color="00000A"/>
            </w:tcBorders>
          </w:tcPr>
          <w:p>
            <w:pPr>
              <w:spacing w:after="0"/>
              <w:rPr>
                <w:sz w:val="2"/>
                <w:szCs w:val="2"/>
                <w:color w:val="auto"/>
              </w:rPr>
            </w:pPr>
          </w:p>
        </w:tc>
        <w:tc>
          <w:tcPr>
            <w:tcW w:w="100" w:type="dxa"/>
            <w:vAlign w:val="bottom"/>
            <w:tcBorders>
              <w:bottom w:val="single" w:sz="8" w:color="00000A"/>
              <w:right w:val="single" w:sz="8" w:color="00000A"/>
            </w:tcBorders>
          </w:tcPr>
          <w:p>
            <w:pPr>
              <w:spacing w:after="0"/>
              <w:rPr>
                <w:sz w:val="2"/>
                <w:szCs w:val="2"/>
                <w:color w:val="auto"/>
              </w:rPr>
            </w:pPr>
          </w:p>
        </w:tc>
        <w:tc>
          <w:tcPr>
            <w:tcW w:w="1420" w:type="dxa"/>
            <w:vAlign w:val="bottom"/>
            <w:tcBorders>
              <w:bottom w:val="single" w:sz="8" w:color="00000A"/>
            </w:tcBorders>
          </w:tcPr>
          <w:p>
            <w:pPr>
              <w:spacing w:after="0"/>
              <w:rPr>
                <w:sz w:val="2"/>
                <w:szCs w:val="2"/>
                <w:color w:val="auto"/>
              </w:rPr>
            </w:pPr>
          </w:p>
        </w:tc>
        <w:tc>
          <w:tcPr>
            <w:tcW w:w="4280" w:type="dxa"/>
            <w:vAlign w:val="bottom"/>
            <w:tcBorders>
              <w:bottom w:val="single" w:sz="8" w:color="00000A"/>
              <w:right w:val="single" w:sz="8" w:color="00000A"/>
            </w:tcBorders>
          </w:tcPr>
          <w:p>
            <w:pPr>
              <w:spacing w:after="0"/>
              <w:rPr>
                <w:sz w:val="2"/>
                <w:szCs w:val="2"/>
                <w:color w:val="auto"/>
              </w:rPr>
            </w:pPr>
          </w:p>
        </w:tc>
      </w:tr>
      <w:tr>
        <w:trPr>
          <w:trHeight w:val="217"/>
        </w:trPr>
        <w:tc>
          <w:tcPr>
            <w:tcW w:w="20" w:type="dxa"/>
            <w:vAlign w:val="bottom"/>
            <w:shd w:val="clear" w:color="auto" w:fill="00000A"/>
          </w:tcPr>
          <w:p>
            <w:pPr>
              <w:spacing w:after="0"/>
              <w:rPr>
                <w:sz w:val="18"/>
                <w:szCs w:val="18"/>
                <w:color w:val="auto"/>
              </w:rPr>
            </w:pPr>
          </w:p>
        </w:tc>
        <w:tc>
          <w:tcPr>
            <w:tcW w:w="5720" w:type="dxa"/>
            <w:vAlign w:val="bottom"/>
            <w:tcBorders>
              <w:right w:val="single" w:sz="8" w:color="00000A"/>
            </w:tcBorders>
            <w:gridSpan w:val="2"/>
          </w:tcPr>
          <w:p>
            <w:pPr>
              <w:jc w:val="center"/>
              <w:ind w:right="20"/>
              <w:spacing w:after="0"/>
              <w:rPr>
                <w:sz w:val="20"/>
                <w:szCs w:val="20"/>
                <w:color w:val="auto"/>
              </w:rPr>
            </w:pPr>
            <w:r>
              <w:rPr>
                <w:rFonts w:ascii="Arial" w:cs="Arial" w:eastAsia="Arial" w:hAnsi="Arial"/>
                <w:sz w:val="16"/>
                <w:szCs w:val="16"/>
                <w:color w:val="auto"/>
                <w:w w:val="94"/>
              </w:rPr>
              <w:t>(Address of principal executive offices)</w:t>
            </w:r>
          </w:p>
        </w:tc>
        <w:tc>
          <w:tcPr>
            <w:tcW w:w="1420" w:type="dxa"/>
            <w:vAlign w:val="bottom"/>
          </w:tcPr>
          <w:p>
            <w:pPr>
              <w:spacing w:after="0"/>
              <w:rPr>
                <w:sz w:val="18"/>
                <w:szCs w:val="18"/>
                <w:color w:val="auto"/>
              </w:rPr>
            </w:pPr>
          </w:p>
        </w:tc>
        <w:tc>
          <w:tcPr>
            <w:tcW w:w="4280" w:type="dxa"/>
            <w:vAlign w:val="bottom"/>
            <w:tcBorders>
              <w:right w:val="single" w:sz="8" w:color="00000A"/>
            </w:tcBorders>
          </w:tcPr>
          <w:p>
            <w:pPr>
              <w:jc w:val="center"/>
              <w:ind w:right="1348"/>
              <w:spacing w:after="0"/>
              <w:rPr>
                <w:sz w:val="20"/>
                <w:szCs w:val="20"/>
                <w:color w:val="auto"/>
              </w:rPr>
            </w:pPr>
            <w:r>
              <w:rPr>
                <w:rFonts w:ascii="Arial" w:cs="Arial" w:eastAsia="Arial" w:hAnsi="Arial"/>
                <w:sz w:val="16"/>
                <w:szCs w:val="16"/>
                <w:color w:val="auto"/>
                <w:w w:val="95"/>
              </w:rPr>
              <w:t>(Zip Code)</w:t>
            </w:r>
          </w:p>
        </w:tc>
      </w:tr>
      <w:tr>
        <w:trPr>
          <w:trHeight w:val="33"/>
        </w:trPr>
        <w:tc>
          <w:tcPr>
            <w:tcW w:w="20" w:type="dxa"/>
            <w:vAlign w:val="bottom"/>
            <w:tcBorders>
              <w:bottom w:val="single" w:sz="8" w:color="00000A"/>
            </w:tcBorders>
            <w:shd w:val="clear" w:color="auto" w:fill="00000A"/>
          </w:tcPr>
          <w:p>
            <w:pPr>
              <w:spacing w:after="0"/>
              <w:rPr>
                <w:sz w:val="2"/>
                <w:szCs w:val="2"/>
                <w:color w:val="auto"/>
              </w:rPr>
            </w:pPr>
          </w:p>
        </w:tc>
        <w:tc>
          <w:tcPr>
            <w:tcW w:w="5620" w:type="dxa"/>
            <w:vAlign w:val="bottom"/>
            <w:tcBorders>
              <w:bottom w:val="single" w:sz="8" w:color="00000A"/>
            </w:tcBorders>
          </w:tcPr>
          <w:p>
            <w:pPr>
              <w:spacing w:after="0"/>
              <w:rPr>
                <w:sz w:val="2"/>
                <w:szCs w:val="2"/>
                <w:color w:val="auto"/>
              </w:rPr>
            </w:pPr>
          </w:p>
        </w:tc>
        <w:tc>
          <w:tcPr>
            <w:tcW w:w="100" w:type="dxa"/>
            <w:vAlign w:val="bottom"/>
            <w:tcBorders>
              <w:bottom w:val="single" w:sz="8" w:color="00000A"/>
              <w:right w:val="single" w:sz="8" w:color="00000A"/>
            </w:tcBorders>
          </w:tcPr>
          <w:p>
            <w:pPr>
              <w:spacing w:after="0"/>
              <w:rPr>
                <w:sz w:val="2"/>
                <w:szCs w:val="2"/>
                <w:color w:val="auto"/>
              </w:rPr>
            </w:pPr>
          </w:p>
        </w:tc>
        <w:tc>
          <w:tcPr>
            <w:tcW w:w="1420" w:type="dxa"/>
            <w:vAlign w:val="bottom"/>
            <w:tcBorders>
              <w:bottom w:val="single" w:sz="8" w:color="00000A"/>
            </w:tcBorders>
          </w:tcPr>
          <w:p>
            <w:pPr>
              <w:spacing w:after="0"/>
              <w:rPr>
                <w:sz w:val="2"/>
                <w:szCs w:val="2"/>
                <w:color w:val="auto"/>
              </w:rPr>
            </w:pPr>
          </w:p>
        </w:tc>
        <w:tc>
          <w:tcPr>
            <w:tcW w:w="4280" w:type="dxa"/>
            <w:vAlign w:val="bottom"/>
            <w:tcBorders>
              <w:bottom w:val="single" w:sz="8" w:color="00000A"/>
              <w:right w:val="single" w:sz="8" w:color="00000A"/>
            </w:tcBorders>
          </w:tcPr>
          <w:p>
            <w:pPr>
              <w:spacing w:after="0"/>
              <w:rPr>
                <w:sz w:val="2"/>
                <w:szCs w:val="2"/>
                <w:color w:val="auto"/>
              </w:rPr>
            </w:pPr>
          </w:p>
        </w:tc>
      </w:tr>
      <w:tr>
        <w:trPr>
          <w:trHeight w:val="436"/>
        </w:trPr>
        <w:tc>
          <w:tcPr>
            <w:tcW w:w="20" w:type="dxa"/>
            <w:vAlign w:val="bottom"/>
          </w:tcPr>
          <w:p>
            <w:pPr>
              <w:spacing w:after="0"/>
              <w:rPr>
                <w:sz w:val="24"/>
                <w:szCs w:val="24"/>
                <w:color w:val="auto"/>
              </w:rPr>
            </w:pPr>
          </w:p>
        </w:tc>
        <w:tc>
          <w:tcPr>
            <w:tcW w:w="7140" w:type="dxa"/>
            <w:vAlign w:val="bottom"/>
            <w:gridSpan w:val="3"/>
          </w:tcPr>
          <w:p>
            <w:pPr>
              <w:jc w:val="center"/>
              <w:ind w:left="4143"/>
              <w:spacing w:after="0"/>
              <w:rPr>
                <w:sz w:val="20"/>
                <w:szCs w:val="20"/>
                <w:color w:val="auto"/>
              </w:rPr>
            </w:pPr>
            <w:r>
              <w:rPr>
                <w:rFonts w:ascii="Arial" w:cs="Arial" w:eastAsia="Arial" w:hAnsi="Arial"/>
                <w:sz w:val="20"/>
                <w:szCs w:val="20"/>
                <w:color w:val="auto"/>
                <w:w w:val="89"/>
              </w:rPr>
              <w:t>Raymond S. Haverstock</w:t>
            </w:r>
          </w:p>
        </w:tc>
        <w:tc>
          <w:tcPr>
            <w:tcW w:w="428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jc w:val="center"/>
              <w:ind w:left="4143"/>
              <w:spacing w:after="0"/>
              <w:rPr>
                <w:sz w:val="20"/>
                <w:szCs w:val="20"/>
                <w:color w:val="auto"/>
              </w:rPr>
            </w:pPr>
            <w:r>
              <w:rPr>
                <w:rFonts w:ascii="Arial" w:cs="Arial" w:eastAsia="Arial" w:hAnsi="Arial"/>
                <w:sz w:val="20"/>
                <w:szCs w:val="20"/>
                <w:color w:val="auto"/>
                <w:w w:val="91"/>
              </w:rPr>
              <w:t>U.S. Bank National Association</w:t>
            </w:r>
          </w:p>
        </w:tc>
        <w:tc>
          <w:tcPr>
            <w:tcW w:w="42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jc w:val="center"/>
              <w:ind w:left="4163"/>
              <w:spacing w:after="0"/>
              <w:rPr>
                <w:sz w:val="20"/>
                <w:szCs w:val="20"/>
                <w:color w:val="auto"/>
              </w:rPr>
            </w:pPr>
            <w:r>
              <w:rPr>
                <w:rFonts w:ascii="Arial" w:cs="Arial" w:eastAsia="Arial" w:hAnsi="Arial"/>
                <w:sz w:val="20"/>
                <w:szCs w:val="20"/>
                <w:color w:val="auto"/>
                <w:w w:val="92"/>
              </w:rPr>
              <w:t>60 Livingston Avenue</w:t>
            </w:r>
          </w:p>
        </w:tc>
        <w:tc>
          <w:tcPr>
            <w:tcW w:w="42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140" w:type="dxa"/>
            <w:vAlign w:val="bottom"/>
            <w:gridSpan w:val="3"/>
          </w:tcPr>
          <w:p>
            <w:pPr>
              <w:jc w:val="center"/>
              <w:ind w:left="4143"/>
              <w:spacing w:after="0"/>
              <w:rPr>
                <w:sz w:val="20"/>
                <w:szCs w:val="20"/>
                <w:color w:val="auto"/>
              </w:rPr>
            </w:pPr>
            <w:r>
              <w:rPr>
                <w:rFonts w:ascii="Arial" w:cs="Arial" w:eastAsia="Arial" w:hAnsi="Arial"/>
                <w:sz w:val="20"/>
                <w:szCs w:val="20"/>
                <w:color w:val="auto"/>
                <w:w w:val="91"/>
              </w:rPr>
              <w:t>St. Paul, MN 55107</w:t>
            </w:r>
          </w:p>
        </w:tc>
        <w:tc>
          <w:tcPr>
            <w:tcW w:w="4280" w:type="dxa"/>
            <w:vAlign w:val="bottom"/>
          </w:tcPr>
          <w:p>
            <w:pPr>
              <w:spacing w:after="0"/>
              <w:rPr>
                <w:sz w:val="19"/>
                <w:szCs w:val="19"/>
                <w:color w:val="auto"/>
              </w:rPr>
            </w:pPr>
          </w:p>
        </w:tc>
      </w:tr>
      <w:tr>
        <w:trPr>
          <w:trHeight w:val="237"/>
        </w:trPr>
        <w:tc>
          <w:tcPr>
            <w:tcW w:w="7160" w:type="dxa"/>
            <w:vAlign w:val="bottom"/>
            <w:gridSpan w:val="4"/>
          </w:tcPr>
          <w:p>
            <w:pPr>
              <w:jc w:val="center"/>
              <w:ind w:left="4190"/>
              <w:spacing w:after="0"/>
              <w:rPr>
                <w:sz w:val="20"/>
                <w:szCs w:val="20"/>
                <w:color w:val="auto"/>
              </w:rPr>
            </w:pPr>
            <w:r>
              <w:rPr>
                <w:rFonts w:ascii="Arial" w:cs="Arial" w:eastAsia="Arial" w:hAnsi="Arial"/>
                <w:sz w:val="20"/>
                <w:szCs w:val="20"/>
                <w:color w:val="auto"/>
                <w:w w:val="90"/>
              </w:rPr>
              <w:t>(651) 466-6299</w:t>
            </w:r>
          </w:p>
        </w:tc>
        <w:tc>
          <w:tcPr>
            <w:tcW w:w="4280" w:type="dxa"/>
            <w:vAlign w:val="bottom"/>
          </w:tcPr>
          <w:p>
            <w:pPr>
              <w:spacing w:after="0"/>
              <w:rPr>
                <w:sz w:val="20"/>
                <w:szCs w:val="20"/>
                <w:color w:val="auto"/>
              </w:rPr>
            </w:pPr>
          </w:p>
        </w:tc>
      </w:tr>
      <w:tr>
        <w:trPr>
          <w:trHeight w:val="206"/>
        </w:trPr>
        <w:tc>
          <w:tcPr>
            <w:tcW w:w="20" w:type="dxa"/>
            <w:vAlign w:val="bottom"/>
          </w:tcPr>
          <w:p>
            <w:pPr>
              <w:spacing w:after="0"/>
              <w:rPr>
                <w:sz w:val="17"/>
                <w:szCs w:val="17"/>
                <w:color w:val="auto"/>
              </w:rPr>
            </w:pPr>
          </w:p>
        </w:tc>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0"/>
              </w:rPr>
              <w:t>(Name, address and telephone number of agent for service)</w:t>
            </w:r>
          </w:p>
        </w:tc>
      </w:tr>
      <w:tr>
        <w:trPr>
          <w:trHeight w:val="555"/>
        </w:trPr>
        <w:tc>
          <w:tcPr>
            <w:tcW w:w="20" w:type="dxa"/>
            <w:vAlign w:val="bottom"/>
          </w:tcPr>
          <w:p>
            <w:pPr>
              <w:spacing w:after="0"/>
              <w:rPr>
                <w:sz w:val="24"/>
                <w:szCs w:val="24"/>
                <w:color w:val="auto"/>
              </w:rPr>
            </w:pPr>
          </w:p>
        </w:tc>
        <w:tc>
          <w:tcPr>
            <w:tcW w:w="7140" w:type="dxa"/>
            <w:vAlign w:val="bottom"/>
            <w:gridSpan w:val="3"/>
          </w:tcPr>
          <w:p>
            <w:pPr>
              <w:jc w:val="center"/>
              <w:ind w:left="4143"/>
              <w:spacing w:after="0"/>
              <w:rPr>
                <w:sz w:val="20"/>
                <w:szCs w:val="20"/>
                <w:color w:val="auto"/>
              </w:rPr>
            </w:pPr>
            <w:r>
              <w:rPr>
                <w:rFonts w:ascii="Arial" w:cs="Arial" w:eastAsia="Arial" w:hAnsi="Arial"/>
                <w:sz w:val="25"/>
                <w:szCs w:val="25"/>
                <w:b w:val="1"/>
                <w:bCs w:val="1"/>
                <w:color w:val="auto"/>
                <w:w w:val="92"/>
              </w:rPr>
              <w:t>Wynn Resorts, Limited</w:t>
            </w:r>
          </w:p>
        </w:tc>
        <w:tc>
          <w:tcPr>
            <w:tcW w:w="4280" w:type="dxa"/>
            <w:vAlign w:val="bottom"/>
          </w:tcPr>
          <w:p>
            <w:pPr>
              <w:spacing w:after="0"/>
              <w:rPr>
                <w:sz w:val="24"/>
                <w:szCs w:val="24"/>
                <w:color w:val="auto"/>
              </w:rPr>
            </w:pPr>
          </w:p>
        </w:tc>
      </w:tr>
      <w:tr>
        <w:trPr>
          <w:trHeight w:val="215"/>
        </w:trPr>
        <w:tc>
          <w:tcPr>
            <w:tcW w:w="7160" w:type="dxa"/>
            <w:vAlign w:val="bottom"/>
            <w:gridSpan w:val="4"/>
          </w:tcPr>
          <w:p>
            <w:pPr>
              <w:spacing w:after="0"/>
              <w:rPr>
                <w:sz w:val="20"/>
                <w:szCs w:val="20"/>
                <w:color w:val="auto"/>
              </w:rPr>
            </w:pPr>
            <w:r>
              <w:rPr>
                <w:rFonts w:ascii="Arial" w:cs="Arial" w:eastAsia="Arial" w:hAnsi="Arial"/>
                <w:sz w:val="16"/>
                <w:szCs w:val="16"/>
                <w:color w:val="auto"/>
              </w:rPr>
              <w:t>(Issuer with respect to the Securities)</w:t>
            </w:r>
          </w:p>
        </w:tc>
        <w:tc>
          <w:tcPr>
            <w:tcW w:w="4280" w:type="dxa"/>
            <w:vAlign w:val="bottom"/>
          </w:tcPr>
          <w:p>
            <w:pPr>
              <w:spacing w:after="0"/>
              <w:rPr>
                <w:sz w:val="18"/>
                <w:szCs w:val="18"/>
                <w:color w:val="auto"/>
              </w:rPr>
            </w:pPr>
          </w:p>
        </w:tc>
      </w:tr>
      <w:tr>
        <w:trPr>
          <w:trHeight w:val="168"/>
        </w:trPr>
        <w:tc>
          <w:tcPr>
            <w:tcW w:w="20" w:type="dxa"/>
            <w:vAlign w:val="bottom"/>
          </w:tcPr>
          <w:p>
            <w:pPr>
              <w:spacing w:after="0"/>
              <w:rPr>
                <w:sz w:val="14"/>
                <w:szCs w:val="14"/>
                <w:color w:val="auto"/>
              </w:rPr>
            </w:pPr>
          </w:p>
        </w:tc>
        <w:tc>
          <w:tcPr>
            <w:tcW w:w="5620" w:type="dxa"/>
            <w:vAlign w:val="bottom"/>
            <w:tcBorders>
              <w:bottom w:val="single" w:sz="8" w:color="00000A"/>
            </w:tcBorders>
          </w:tcPr>
          <w:p>
            <w:pPr>
              <w:spacing w:after="0"/>
              <w:rPr>
                <w:sz w:val="14"/>
                <w:szCs w:val="14"/>
                <w:color w:val="auto"/>
              </w:rPr>
            </w:pPr>
          </w:p>
        </w:tc>
        <w:tc>
          <w:tcPr>
            <w:tcW w:w="1520" w:type="dxa"/>
            <w:vAlign w:val="bottom"/>
            <w:tcBorders>
              <w:bottom w:val="single" w:sz="8" w:color="00000A"/>
            </w:tcBorders>
            <w:gridSpan w:val="2"/>
          </w:tcPr>
          <w:p>
            <w:pPr>
              <w:spacing w:after="0"/>
              <w:rPr>
                <w:sz w:val="14"/>
                <w:szCs w:val="14"/>
                <w:color w:val="auto"/>
              </w:rPr>
            </w:pPr>
          </w:p>
        </w:tc>
        <w:tc>
          <w:tcPr>
            <w:tcW w:w="4280" w:type="dxa"/>
            <w:vAlign w:val="bottom"/>
            <w:tcBorders>
              <w:bottom w:val="single" w:sz="8" w:color="00000A"/>
            </w:tcBorders>
          </w:tcPr>
          <w:p>
            <w:pPr>
              <w:spacing w:after="0"/>
              <w:rPr>
                <w:sz w:val="14"/>
                <w:szCs w:val="14"/>
                <w:color w:val="auto"/>
              </w:rPr>
            </w:pPr>
          </w:p>
        </w:tc>
      </w:tr>
      <w:tr>
        <w:trPr>
          <w:trHeight w:val="284"/>
        </w:trPr>
        <w:tc>
          <w:tcPr>
            <w:tcW w:w="20" w:type="dxa"/>
            <w:vAlign w:val="bottom"/>
          </w:tcPr>
          <w:p>
            <w:pPr>
              <w:spacing w:after="0"/>
              <w:rPr>
                <w:sz w:val="24"/>
                <w:szCs w:val="24"/>
                <w:color w:val="auto"/>
              </w:rPr>
            </w:pPr>
          </w:p>
        </w:tc>
        <w:tc>
          <w:tcPr>
            <w:tcW w:w="562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6"/>
              </w:rPr>
              <w:t>Nevada</w:t>
            </w:r>
          </w:p>
        </w:tc>
        <w:tc>
          <w:tcPr>
            <w:tcW w:w="10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4280" w:type="dxa"/>
            <w:vAlign w:val="bottom"/>
            <w:tcBorders>
              <w:bottom w:val="single" w:sz="8" w:color="00000A"/>
              <w:right w:val="single" w:sz="8" w:color="00000A"/>
            </w:tcBorders>
          </w:tcPr>
          <w:p>
            <w:pPr>
              <w:jc w:val="right"/>
              <w:ind w:right="2308"/>
              <w:spacing w:after="0"/>
              <w:rPr>
                <w:sz w:val="20"/>
                <w:szCs w:val="20"/>
                <w:color w:val="auto"/>
              </w:rPr>
            </w:pPr>
            <w:r>
              <w:rPr>
                <w:rFonts w:ascii="Arial" w:cs="Arial" w:eastAsia="Arial" w:hAnsi="Arial"/>
                <w:sz w:val="22"/>
                <w:szCs w:val="22"/>
                <w:color w:val="auto"/>
              </w:rPr>
              <w:t>46-0484987</w:t>
            </w:r>
          </w:p>
        </w:tc>
      </w:tr>
      <w:tr>
        <w:trPr>
          <w:trHeight w:val="224"/>
        </w:trPr>
        <w:tc>
          <w:tcPr>
            <w:tcW w:w="20" w:type="dxa"/>
            <w:vAlign w:val="bottom"/>
          </w:tcPr>
          <w:p>
            <w:pPr>
              <w:spacing w:after="0"/>
              <w:rPr>
                <w:sz w:val="19"/>
                <w:szCs w:val="19"/>
                <w:color w:val="auto"/>
              </w:rPr>
            </w:pPr>
          </w:p>
        </w:tc>
        <w:tc>
          <w:tcPr>
            <w:tcW w:w="562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1520" w:type="dxa"/>
            <w:vAlign w:val="bottom"/>
            <w:gridSpan w:val="2"/>
          </w:tcPr>
          <w:p>
            <w:pPr>
              <w:spacing w:after="0"/>
              <w:rPr>
                <w:sz w:val="19"/>
                <w:szCs w:val="19"/>
                <w:color w:val="auto"/>
              </w:rPr>
            </w:pPr>
          </w:p>
        </w:tc>
        <w:tc>
          <w:tcPr>
            <w:tcW w:w="4280" w:type="dxa"/>
            <w:vAlign w:val="bottom"/>
            <w:tcBorders>
              <w:right w:val="single" w:sz="8" w:color="00000A"/>
            </w:tcBorders>
          </w:tcPr>
          <w:p>
            <w:pPr>
              <w:jc w:val="center"/>
              <w:ind w:right="1468"/>
              <w:spacing w:after="0"/>
              <w:rPr>
                <w:sz w:val="20"/>
                <w:szCs w:val="20"/>
                <w:color w:val="auto"/>
              </w:rPr>
            </w:pPr>
            <w:r>
              <w:rPr>
                <w:rFonts w:ascii="Arial" w:cs="Arial" w:eastAsia="Arial" w:hAnsi="Arial"/>
                <w:sz w:val="16"/>
                <w:szCs w:val="16"/>
                <w:color w:val="auto"/>
                <w:w w:val="95"/>
              </w:rPr>
              <w:t>(I.R.S. Employer Identification No.)</w:t>
            </w:r>
          </w:p>
        </w:tc>
      </w:tr>
      <w:tr>
        <w:trPr>
          <w:trHeight w:val="33"/>
        </w:trPr>
        <w:tc>
          <w:tcPr>
            <w:tcW w:w="20" w:type="dxa"/>
            <w:vAlign w:val="bottom"/>
          </w:tcPr>
          <w:p>
            <w:pPr>
              <w:spacing w:after="0"/>
              <w:rPr>
                <w:sz w:val="2"/>
                <w:szCs w:val="2"/>
                <w:color w:val="auto"/>
              </w:rPr>
            </w:pPr>
          </w:p>
        </w:tc>
        <w:tc>
          <w:tcPr>
            <w:tcW w:w="5620" w:type="dxa"/>
            <w:vAlign w:val="bottom"/>
            <w:tcBorders>
              <w:left w:val="single" w:sz="8" w:color="00000A"/>
              <w:bottom w:val="single" w:sz="8" w:color="00000A"/>
              <w:right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1420" w:type="dxa"/>
            <w:vAlign w:val="bottom"/>
            <w:tcBorders>
              <w:bottom w:val="single" w:sz="8" w:color="00000A"/>
            </w:tcBorders>
          </w:tcPr>
          <w:p>
            <w:pPr>
              <w:spacing w:after="0"/>
              <w:rPr>
                <w:sz w:val="2"/>
                <w:szCs w:val="2"/>
                <w:color w:val="auto"/>
              </w:rPr>
            </w:pPr>
          </w:p>
        </w:tc>
        <w:tc>
          <w:tcPr>
            <w:tcW w:w="4280" w:type="dxa"/>
            <w:vAlign w:val="bottom"/>
            <w:tcBorders>
              <w:bottom w:val="single" w:sz="8" w:color="00000A"/>
              <w:right w:val="single" w:sz="8" w:color="00000A"/>
            </w:tcBorders>
          </w:tcPr>
          <w:p>
            <w:pPr>
              <w:spacing w:after="0"/>
              <w:rPr>
                <w:sz w:val="2"/>
                <w:szCs w:val="2"/>
                <w:color w:val="auto"/>
              </w:rPr>
            </w:pPr>
          </w:p>
        </w:tc>
      </w:tr>
      <w:tr>
        <w:trPr>
          <w:trHeight w:val="291"/>
        </w:trPr>
        <w:tc>
          <w:tcPr>
            <w:tcW w:w="20" w:type="dxa"/>
            <w:vAlign w:val="bottom"/>
          </w:tcPr>
          <w:p>
            <w:pPr>
              <w:spacing w:after="0"/>
              <w:rPr>
                <w:sz w:val="24"/>
                <w:szCs w:val="24"/>
                <w:color w:val="auto"/>
              </w:rPr>
            </w:pPr>
          </w:p>
        </w:tc>
        <w:tc>
          <w:tcPr>
            <w:tcW w:w="5620" w:type="dxa"/>
            <w:vAlign w:val="bottom"/>
            <w:tcBorders>
              <w:left w:val="single" w:sz="8" w:color="00000A"/>
              <w:bottom w:val="single" w:sz="8" w:color="00000A"/>
              <w:right w:val="single" w:sz="8" w:color="00000A"/>
            </w:tcBorders>
          </w:tcPr>
          <w:p>
            <w:pPr>
              <w:spacing w:after="0"/>
              <w:rPr>
                <w:sz w:val="24"/>
                <w:szCs w:val="24"/>
                <w:color w:val="auto"/>
              </w:rPr>
            </w:pPr>
          </w:p>
        </w:tc>
        <w:tc>
          <w:tcPr>
            <w:tcW w:w="10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4280" w:type="dxa"/>
            <w:vAlign w:val="bottom"/>
            <w:tcBorders>
              <w:bottom w:val="single" w:sz="8" w:color="00000A"/>
              <w:right w:val="single" w:sz="8" w:color="00000A"/>
            </w:tcBorders>
          </w:tcPr>
          <w:p>
            <w:pPr>
              <w:spacing w:after="0"/>
              <w:rPr>
                <w:sz w:val="24"/>
                <w:szCs w:val="24"/>
                <w:color w:val="auto"/>
              </w:rPr>
            </w:pPr>
          </w:p>
        </w:tc>
      </w:tr>
    </w:tbl>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56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3131 Las Vegas Boulevard South</w:t>
            </w:r>
          </w:p>
        </w:tc>
        <w:tc>
          <w:tcPr>
            <w:tcW w:w="5800" w:type="dxa"/>
            <w:vAlign w:val="bottom"/>
            <w:tcBorders>
              <w:top w:val="single" w:sz="8" w:color="00000A"/>
              <w:right w:val="single" w:sz="8" w:color="00000A"/>
            </w:tcBorders>
          </w:tcPr>
          <w:p>
            <w:pPr>
              <w:spacing w:after="0"/>
              <w:rPr>
                <w:sz w:val="22"/>
                <w:szCs w:val="22"/>
                <w:color w:val="auto"/>
              </w:rPr>
            </w:pPr>
          </w:p>
        </w:tc>
      </w:tr>
      <w:tr>
        <w:trPr>
          <w:trHeight w:val="285"/>
        </w:trPr>
        <w:tc>
          <w:tcPr>
            <w:tcW w:w="56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5"/>
              </w:rPr>
              <w:t>Las Vegas, Neveda</w:t>
            </w:r>
          </w:p>
        </w:tc>
        <w:tc>
          <w:tcPr>
            <w:tcW w:w="5800" w:type="dxa"/>
            <w:vAlign w:val="bottom"/>
            <w:tcBorders>
              <w:bottom w:val="single" w:sz="8" w:color="00000A"/>
              <w:right w:val="single" w:sz="8" w:color="00000A"/>
            </w:tcBorders>
          </w:tcPr>
          <w:p>
            <w:pPr>
              <w:jc w:val="right"/>
              <w:ind w:right="2545"/>
              <w:spacing w:after="0"/>
              <w:rPr>
                <w:sz w:val="20"/>
                <w:szCs w:val="20"/>
                <w:color w:val="auto"/>
              </w:rPr>
            </w:pPr>
            <w:r>
              <w:rPr>
                <w:rFonts w:ascii="Arial" w:cs="Arial" w:eastAsia="Arial" w:hAnsi="Arial"/>
                <w:sz w:val="22"/>
                <w:szCs w:val="22"/>
                <w:color w:val="auto"/>
              </w:rPr>
              <w:t>89109</w:t>
            </w:r>
          </w:p>
        </w:tc>
      </w:tr>
      <w:tr>
        <w:trPr>
          <w:trHeight w:val="224"/>
        </w:trPr>
        <w:tc>
          <w:tcPr>
            <w:tcW w:w="56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5800" w:type="dxa"/>
            <w:vAlign w:val="bottom"/>
            <w:tcBorders>
              <w:right w:val="single" w:sz="8" w:color="00000A"/>
            </w:tcBorders>
          </w:tcPr>
          <w:p>
            <w:pPr>
              <w:jc w:val="center"/>
              <w:spacing w:after="0"/>
              <w:rPr>
                <w:sz w:val="20"/>
                <w:szCs w:val="20"/>
                <w:color w:val="auto"/>
              </w:rPr>
            </w:pPr>
            <w:r>
              <w:rPr>
                <w:rFonts w:ascii="Arial" w:cs="Arial" w:eastAsia="Arial" w:hAnsi="Arial"/>
                <w:sz w:val="16"/>
                <w:szCs w:val="16"/>
                <w:color w:val="auto"/>
                <w:w w:val="95"/>
              </w:rPr>
              <w:t>(Zip Code)</w:t>
            </w:r>
          </w:p>
        </w:tc>
      </w:tr>
      <w:tr>
        <w:trPr>
          <w:trHeight w:val="33"/>
        </w:trPr>
        <w:tc>
          <w:tcPr>
            <w:tcW w:w="5640" w:type="dxa"/>
            <w:vAlign w:val="bottom"/>
            <w:tcBorders>
              <w:left w:val="single" w:sz="8" w:color="00000A"/>
              <w:bottom w:val="single" w:sz="8" w:color="00000A"/>
              <w:right w:val="single" w:sz="8" w:color="00000A"/>
            </w:tcBorders>
          </w:tcPr>
          <w:p>
            <w:pPr>
              <w:spacing w:after="0"/>
              <w:rPr>
                <w:sz w:val="2"/>
                <w:szCs w:val="2"/>
                <w:color w:val="auto"/>
              </w:rPr>
            </w:pPr>
          </w:p>
        </w:tc>
        <w:tc>
          <w:tcPr>
            <w:tcW w:w="5800" w:type="dxa"/>
            <w:vAlign w:val="bottom"/>
            <w:tcBorders>
              <w:bottom w:val="single" w:sz="8" w:color="00000A"/>
              <w:right w:val="single" w:sz="8" w:color="00000A"/>
            </w:tcBorders>
          </w:tcPr>
          <w:p>
            <w:pPr>
              <w:spacing w:after="0"/>
              <w:rPr>
                <w:sz w:val="2"/>
                <w:szCs w:val="2"/>
                <w:color w:val="auto"/>
              </w:rPr>
            </w:pPr>
          </w:p>
        </w:tc>
      </w:tr>
    </w:tbl>
    <w:p>
      <w:pPr>
        <w:spacing w:after="0" w:line="166" w:lineRule="exact"/>
        <w:rPr>
          <w:sz w:val="20"/>
          <w:szCs w:val="20"/>
          <w:color w:val="auto"/>
        </w:rPr>
      </w:pPr>
    </w:p>
    <w:p>
      <w:pPr>
        <w:ind w:left="5160" w:right="420" w:hanging="4699"/>
        <w:spacing w:after="0" w:line="259" w:lineRule="auto"/>
        <w:rPr>
          <w:sz w:val="20"/>
          <w:szCs w:val="20"/>
          <w:color w:val="auto"/>
        </w:rPr>
      </w:pPr>
      <w:r>
        <w:rPr>
          <w:rFonts w:ascii="Arial" w:cs="Arial" w:eastAsia="Arial" w:hAnsi="Arial"/>
          <w:sz w:val="25"/>
          <w:szCs w:val="25"/>
          <w:b w:val="1"/>
          <w:bCs w:val="1"/>
          <w:color w:val="auto"/>
        </w:rPr>
        <w:t>Senior debt securities, senior subordinated debt securities, subordinated debt securities and junior subordinated debt securities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(Title of the Indenture Securities)</w:t>
      </w:r>
    </w:p>
    <w:p>
      <w:pPr>
        <w:sectPr>
          <w:pgSz w:w="11900" w:h="16838" w:orient="portrait"/>
          <w:cols w:equalWidth="0" w:num="1">
            <w:col w:w="11440"/>
          </w:cols>
          <w:pgMar w:left="240" w:top="36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40"/>
          </w:cols>
          <w:pgMar w:left="240" w:top="364" w:right="219" w:bottom="1440" w:gutter="0" w:footer="0" w:header="0"/>
          <w:type w:val="continuous"/>
        </w:sectPr>
      </w:pPr>
    </w:p>
    <w:bookmarkStart w:id="21" w:name="page22"/>
    <w:bookmarkEnd w:id="21"/>
    <w:p>
      <w:pPr>
        <w:jc w:val="center"/>
        <w:ind w:right="-19"/>
        <w:spacing w:after="0"/>
        <w:rPr>
          <w:sz w:val="20"/>
          <w:szCs w:val="20"/>
          <w:color w:val="auto"/>
        </w:rPr>
      </w:pPr>
      <w:r>
        <w:rPr>
          <w:rFonts w:ascii="Arial" w:cs="Arial" w:eastAsia="Arial" w:hAnsi="Arial"/>
          <w:sz w:val="22"/>
          <w:szCs w:val="22"/>
          <w:b w:val="1"/>
          <w:bCs w:val="1"/>
          <w:u w:val="single" w:color="auto"/>
          <w:color w:val="auto"/>
        </w:rPr>
        <w:t>FORM T-1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GENERAL INFORMATION</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Furnish the following information as to the Trustee.</w:t>
      </w:r>
    </w:p>
    <w:p>
      <w:pPr>
        <w:spacing w:after="0" w:line="26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w:t>
      </w:r>
      <w:r>
        <w:rPr>
          <w:rFonts w:ascii="Arial" w:cs="Arial" w:eastAsia="Arial" w:hAnsi="Arial"/>
          <w:sz w:val="22"/>
          <w:szCs w:val="22"/>
          <w:i w:val="1"/>
          <w:iCs w:val="1"/>
          <w:color w:val="auto"/>
        </w:rPr>
        <w:t>Name and address of each examining or supervising authority to which it is subject.</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Comptroller of the Currency</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Washington, D.C.</w:t>
      </w:r>
    </w:p>
    <w:p>
      <w:pPr>
        <w:spacing w:after="0" w:line="242" w:lineRule="exact"/>
        <w:rPr>
          <w:sz w:val="20"/>
          <w:szCs w:val="20"/>
          <w:color w:val="auto"/>
        </w:rPr>
      </w:pPr>
    </w:p>
    <w:p>
      <w:pPr>
        <w:ind w:left="2140" w:hanging="390"/>
        <w:spacing w:after="0"/>
        <w:tabs>
          <w:tab w:leader="none" w:pos="2140"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Whether it is authorized to exercise corporate trust powers.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Yes</w:t>
      </w:r>
    </w:p>
    <w:p>
      <w:pPr>
        <w:spacing w:after="0" w:line="236" w:lineRule="exact"/>
        <w:rPr>
          <w:sz w:val="20"/>
          <w:szCs w:val="20"/>
          <w:color w:val="auto"/>
        </w:rPr>
      </w:pPr>
    </w:p>
    <w:p>
      <w:pPr>
        <w:ind w:left="1960" w:right="1000" w:hanging="1944"/>
        <w:spacing w:after="0" w:line="269" w:lineRule="auto"/>
        <w:rPr>
          <w:sz w:val="20"/>
          <w:szCs w:val="20"/>
          <w:color w:val="auto"/>
        </w:rPr>
      </w:pPr>
      <w:r>
        <w:rPr>
          <w:rFonts w:ascii="Arial" w:cs="Arial" w:eastAsia="Arial" w:hAnsi="Arial"/>
          <w:sz w:val="22"/>
          <w:szCs w:val="22"/>
          <w:b w:val="1"/>
          <w:bCs w:val="1"/>
          <w:color w:val="auto"/>
        </w:rPr>
        <w:t xml:space="preserve">Item 2. AFFILIATIONS WITH OBLIGOR. </w:t>
      </w:r>
      <w:r>
        <w:rPr>
          <w:rFonts w:ascii="Arial" w:cs="Arial" w:eastAsia="Arial" w:hAnsi="Arial"/>
          <w:sz w:val="22"/>
          <w:szCs w:val="22"/>
          <w:i w:val="1"/>
          <w:iCs w:val="1"/>
          <w:color w:val="auto"/>
        </w:rPr>
        <w:t>If the obligor is an affiliate of the Trustee, describe each such affiliation.</w:t>
      </w:r>
      <w:r>
        <w:rPr>
          <w:rFonts w:ascii="Arial" w:cs="Arial" w:eastAsia="Arial" w:hAnsi="Arial"/>
          <w:sz w:val="22"/>
          <w:szCs w:val="22"/>
          <w:b w:val="1"/>
          <w:bCs w:val="1"/>
          <w:color w:val="auto"/>
        </w:rPr>
        <w:t xml:space="preserve"> </w:t>
      </w:r>
      <w:r>
        <w:rPr>
          <w:rFonts w:ascii="Arial" w:cs="Arial" w:eastAsia="Arial" w:hAnsi="Arial"/>
          <w:sz w:val="22"/>
          <w:szCs w:val="22"/>
          <w:color w:val="auto"/>
        </w:rPr>
        <w:t>None</w:t>
      </w:r>
    </w:p>
    <w:p>
      <w:pPr>
        <w:spacing w:after="0" w:line="203" w:lineRule="exact"/>
        <w:rPr>
          <w:sz w:val="20"/>
          <w:szCs w:val="20"/>
          <w:color w:val="auto"/>
        </w:rPr>
      </w:pPr>
    </w:p>
    <w:p>
      <w:pPr>
        <w:ind w:left="1300" w:right="120" w:hanging="1296"/>
        <w:spacing w:after="0" w:line="263" w:lineRule="auto"/>
        <w:tabs>
          <w:tab w:leader="none" w:pos="1280" w:val="left"/>
        </w:tabs>
        <w:rPr>
          <w:sz w:val="20"/>
          <w:szCs w:val="20"/>
          <w:color w:val="auto"/>
        </w:rPr>
      </w:pPr>
      <w:r>
        <w:rPr>
          <w:rFonts w:ascii="Arial" w:cs="Arial" w:eastAsia="Arial" w:hAnsi="Arial"/>
          <w:sz w:val="22"/>
          <w:szCs w:val="22"/>
          <w:b w:val="1"/>
          <w:bCs w:val="1"/>
          <w:color w:val="auto"/>
        </w:rPr>
        <w:t>Items 3-15</w:t>
      </w:r>
      <w:r>
        <w:rPr>
          <w:sz w:val="20"/>
          <w:szCs w:val="20"/>
          <w:color w:val="auto"/>
        </w:rPr>
        <w:tab/>
      </w:r>
      <w:r>
        <w:rPr>
          <w:rFonts w:ascii="Arial" w:cs="Arial" w:eastAsia="Arial" w:hAnsi="Arial"/>
          <w:sz w:val="22"/>
          <w:szCs w:val="22"/>
          <w:i w:val="1"/>
          <w:iCs w:val="1"/>
          <w:color w:val="auto"/>
        </w:rPr>
        <w:t>Items 3-15 are not applicable because to the best of the Trustee's knowledge, the obligor is not in default under any Indenture for which the Trustee acts as Trustee.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16. LIST OF EXHIBITS: </w:t>
      </w:r>
      <w:r>
        <w:rPr>
          <w:rFonts w:ascii="Arial" w:cs="Arial" w:eastAsia="Arial" w:hAnsi="Arial"/>
          <w:sz w:val="22"/>
          <w:szCs w:val="22"/>
          <w:i w:val="1"/>
          <w:iCs w:val="1"/>
          <w:color w:val="auto"/>
        </w:rPr>
        <w:t>List below all exhibits filed as a part of this statement of eligibility and qualification.</w:t>
      </w:r>
    </w:p>
    <w:p>
      <w:pPr>
        <w:spacing w:after="0" w:line="266" w:lineRule="exact"/>
        <w:rPr>
          <w:sz w:val="20"/>
          <w:szCs w:val="20"/>
          <w:color w:val="auto"/>
        </w:rPr>
      </w:pPr>
    </w:p>
    <w:p>
      <w:pPr>
        <w:ind w:left="2500" w:hanging="223"/>
        <w:spacing w:after="0"/>
        <w:tabs>
          <w:tab w:leader="none" w:pos="25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 copy of the Articles of Association of the Trustee.*</w:t>
      </w:r>
    </w:p>
    <w:p>
      <w:pPr>
        <w:spacing w:after="0" w:line="260" w:lineRule="exact"/>
        <w:rPr>
          <w:rFonts w:ascii="Arial" w:cs="Arial" w:eastAsia="Arial" w:hAnsi="Arial"/>
          <w:sz w:val="22"/>
          <w:szCs w:val="22"/>
          <w:color w:val="auto"/>
        </w:rPr>
      </w:pPr>
    </w:p>
    <w:p>
      <w:pPr>
        <w:ind w:left="2500" w:hanging="223"/>
        <w:spacing w:after="0"/>
        <w:tabs>
          <w:tab w:leader="none" w:pos="25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copy of the certificate of authority of the Trustee to commence business, attached as Exhibit 2.</w:t>
      </w:r>
    </w:p>
    <w:p>
      <w:pPr>
        <w:spacing w:after="0" w:line="294" w:lineRule="exact"/>
        <w:rPr>
          <w:rFonts w:ascii="Arial" w:cs="Arial" w:eastAsia="Arial" w:hAnsi="Arial"/>
          <w:sz w:val="19"/>
          <w:szCs w:val="19"/>
          <w:color w:val="auto"/>
        </w:rPr>
      </w:pPr>
    </w:p>
    <w:p>
      <w:pPr>
        <w:ind w:left="2640" w:hanging="363"/>
        <w:spacing w:after="0"/>
        <w:tabs>
          <w:tab w:leader="none" w:pos="264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copy of the certificate of authority of the Trustee to exercise corporate trust powers, attached as</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Exhibit 3.</w:t>
      </w:r>
    </w:p>
    <w:p>
      <w:pPr>
        <w:spacing w:after="0" w:line="242" w:lineRule="exact"/>
        <w:rPr>
          <w:sz w:val="20"/>
          <w:szCs w:val="20"/>
          <w:color w:val="auto"/>
        </w:rPr>
      </w:pPr>
    </w:p>
    <w:p>
      <w:pPr>
        <w:ind w:left="2640" w:hanging="363"/>
        <w:spacing w:after="0"/>
        <w:tabs>
          <w:tab w:leader="none" w:pos="26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 copy of the existing bylaws of the Trustee.**</w:t>
      </w:r>
    </w:p>
    <w:p>
      <w:pPr>
        <w:spacing w:after="0" w:line="260" w:lineRule="exact"/>
        <w:rPr>
          <w:rFonts w:ascii="Arial" w:cs="Arial" w:eastAsia="Arial" w:hAnsi="Arial"/>
          <w:sz w:val="22"/>
          <w:szCs w:val="22"/>
          <w:color w:val="auto"/>
        </w:rPr>
      </w:pPr>
    </w:p>
    <w:p>
      <w:pPr>
        <w:ind w:left="2640" w:hanging="363"/>
        <w:spacing w:after="0"/>
        <w:tabs>
          <w:tab w:leader="none" w:pos="26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 copy of each Indenture referred to in Item 4. Not applicable.</w:t>
      </w:r>
    </w:p>
    <w:p>
      <w:pPr>
        <w:spacing w:after="0" w:line="260" w:lineRule="exact"/>
        <w:rPr>
          <w:rFonts w:ascii="Arial" w:cs="Arial" w:eastAsia="Arial" w:hAnsi="Arial"/>
          <w:sz w:val="22"/>
          <w:szCs w:val="22"/>
          <w:color w:val="auto"/>
        </w:rPr>
      </w:pPr>
    </w:p>
    <w:p>
      <w:pPr>
        <w:ind w:left="2660" w:hanging="383"/>
        <w:spacing w:after="0"/>
        <w:tabs>
          <w:tab w:leader="none" w:pos="26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consent of the Trustee required by Section 321(b) of the Trust Indenture Act of 1939, attached as</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Exhibit 6.</w:t>
      </w:r>
    </w:p>
    <w:p>
      <w:pPr>
        <w:spacing w:after="0" w:line="242" w:lineRule="exact"/>
        <w:rPr>
          <w:sz w:val="20"/>
          <w:szCs w:val="20"/>
          <w:color w:val="auto"/>
        </w:rPr>
      </w:pPr>
    </w:p>
    <w:p>
      <w:pPr>
        <w:ind w:left="1300" w:right="20" w:firstLine="977"/>
        <w:spacing w:after="0" w:line="263" w:lineRule="auto"/>
        <w:tabs>
          <w:tab w:leader="none" w:pos="2650" w:val="left"/>
        </w:tabs>
        <w:numPr>
          <w:ilvl w:val="1"/>
          <w:numId w:val="22"/>
        </w:numPr>
        <w:rPr>
          <w:rFonts w:ascii="Arial" w:cs="Arial" w:eastAsia="Arial" w:hAnsi="Arial"/>
          <w:sz w:val="22"/>
          <w:szCs w:val="22"/>
          <w:color w:val="auto"/>
        </w:rPr>
      </w:pPr>
      <w:r>
        <w:rPr>
          <w:rFonts w:ascii="Arial" w:cs="Arial" w:eastAsia="Arial" w:hAnsi="Arial"/>
          <w:sz w:val="22"/>
          <w:szCs w:val="22"/>
          <w:color w:val="auto"/>
        </w:rPr>
        <w:t>Report of Condition of the Trustee as of June 30, 2019 published pursuant to law or the requirements of its supervising or examining authority, attached as Exhibit 7.</w:t>
      </w:r>
    </w:p>
    <w:p>
      <w:pPr>
        <w:spacing w:after="0" w:line="215" w:lineRule="exact"/>
        <w:rPr>
          <w:rFonts w:ascii="Arial" w:cs="Arial" w:eastAsia="Arial" w:hAnsi="Arial"/>
          <w:sz w:val="22"/>
          <w:szCs w:val="22"/>
          <w:color w:val="auto"/>
        </w:rPr>
      </w:pPr>
    </w:p>
    <w:p>
      <w:pPr>
        <w:ind w:left="660" w:right="220" w:firstLine="972"/>
        <w:spacing w:after="0" w:line="263" w:lineRule="auto"/>
        <w:rPr>
          <w:rFonts w:ascii="Arial" w:cs="Arial" w:eastAsia="Arial" w:hAnsi="Arial"/>
          <w:sz w:val="22"/>
          <w:szCs w:val="22"/>
          <w:color w:val="auto"/>
        </w:rPr>
      </w:pPr>
      <w:r>
        <w:rPr>
          <w:rFonts w:ascii="Arial" w:cs="Arial" w:eastAsia="Arial" w:hAnsi="Arial"/>
          <w:sz w:val="22"/>
          <w:szCs w:val="22"/>
          <w:color w:val="auto"/>
        </w:rPr>
        <w:t>* Incorporated by reference to Exhibit 25.1 to Amendment No. 2 to registration statement on S-4, Registration Number 333-128217 filed on November 15, 2005.</w:t>
      </w:r>
    </w:p>
    <w:p>
      <w:pPr>
        <w:spacing w:after="0" w:line="215" w:lineRule="exact"/>
        <w:rPr>
          <w:rFonts w:ascii="Arial" w:cs="Arial" w:eastAsia="Arial" w:hAnsi="Arial"/>
          <w:sz w:val="22"/>
          <w:szCs w:val="22"/>
          <w:color w:val="auto"/>
        </w:rPr>
      </w:pPr>
    </w:p>
    <w:p>
      <w:pPr>
        <w:ind w:left="660" w:right="340" w:firstLine="969"/>
        <w:spacing w:after="0" w:line="263" w:lineRule="auto"/>
        <w:tabs>
          <w:tab w:leader="none" w:pos="1903" w:val="left"/>
        </w:tabs>
        <w:numPr>
          <w:ilvl w:val="0"/>
          <w:numId w:val="23"/>
        </w:numPr>
        <w:rPr>
          <w:rFonts w:ascii="Arial" w:cs="Arial" w:eastAsia="Arial" w:hAnsi="Arial"/>
          <w:sz w:val="22"/>
          <w:szCs w:val="22"/>
          <w:color w:val="auto"/>
        </w:rPr>
      </w:pPr>
      <w:r>
        <w:rPr>
          <w:rFonts w:ascii="Arial" w:cs="Arial" w:eastAsia="Arial" w:hAnsi="Arial"/>
          <w:sz w:val="22"/>
          <w:szCs w:val="22"/>
          <w:color w:val="auto"/>
        </w:rPr>
        <w:t>Incorporated by reference to Exhibit 25.1 to registration statement on form S-3ASR, Registration Number 333-199863 filed on November 5, 2014.</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585" w:right="259" w:bottom="1440" w:gutter="0" w:footer="0" w:header="0"/>
        </w:sectPr>
      </w:pPr>
    </w:p>
    <w:bookmarkStart w:id="22" w:name="page23"/>
    <w:bookmarkEnd w:id="22"/>
    <w:p>
      <w:pPr>
        <w:jc w:val="center"/>
        <w:ind w:right="-139"/>
        <w:spacing w:after="0"/>
        <w:rPr>
          <w:sz w:val="20"/>
          <w:szCs w:val="20"/>
          <w:color w:val="auto"/>
        </w:rPr>
      </w:pPr>
      <w:r>
        <w:rPr>
          <w:rFonts w:ascii="Arial" w:cs="Arial" w:eastAsia="Arial" w:hAnsi="Arial"/>
          <w:sz w:val="22"/>
          <w:szCs w:val="22"/>
          <w:b w:val="1"/>
          <w:bCs w:val="1"/>
          <w:color w:val="auto"/>
        </w:rPr>
        <w:t>SIGNATURE</w:t>
      </w:r>
    </w:p>
    <w:p>
      <w:pPr>
        <w:spacing w:after="0" w:line="266"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Pursuant to the requirements of the Trust Indenture Act of 1939, as amended, the Trustee, U.S. BANK NATIONAL ASSOCIATION</w:t>
      </w:r>
      <w:r>
        <w:rPr>
          <w:rFonts w:ascii="Arial" w:cs="Arial" w:eastAsia="Arial" w:hAnsi="Arial"/>
          <w:sz w:val="18"/>
          <w:szCs w:val="18"/>
          <w:color w:val="auto"/>
        </w:rPr>
        <w:t>,</w:t>
      </w:r>
      <w:r>
        <w:rPr>
          <w:rFonts w:ascii="Arial" w:cs="Arial" w:eastAsia="Arial" w:hAnsi="Arial"/>
          <w:sz w:val="22"/>
          <w:szCs w:val="22"/>
          <w:color w:val="auto"/>
        </w:rPr>
        <w:t xml:space="preserve">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18th of October, 2019.</w:t>
      </w:r>
    </w:p>
    <w:p>
      <w:pPr>
        <w:spacing w:after="0" w:line="22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Raymond S. Haverstock</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Raymond S. Haverstock</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80"/>
          </w:cols>
          <w:pgMar w:left="240" w:top="1138" w:right="37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9"/>
          <w:szCs w:val="19"/>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196215</wp:posOffset>
            </wp:positionV>
            <wp:extent cx="5360035" cy="6843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360035" cy="6843395"/>
                    </a:xfrm>
                    <a:prstGeom prst="rect">
                      <a:avLst/>
                    </a:prstGeom>
                    <a:noFill/>
                  </pic:spPr>
                </pic:pic>
              </a:graphicData>
            </a:graphic>
          </wp:anchor>
        </w:drawing>
      </w:r>
    </w:p>
    <w:p>
      <w:pPr>
        <w:sectPr>
          <w:pgSz w:w="11900" w:h="16838" w:orient="portrait"/>
          <w:cols w:equalWidth="0" w:num="1">
            <w:col w:w="9019"/>
          </w:cols>
          <w:pgMar w:left="1440" w:top="6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625" w:right="1440" w:bottom="1440" w:gutter="0" w:footer="0" w:header="0"/>
          <w:type w:val="continuous"/>
        </w:sectPr>
      </w:pPr>
    </w:p>
    <w:bookmarkStart w:id="24" w:name="page25"/>
    <w:bookmarkEnd w:id="24"/>
    <w:p>
      <w:pPr>
        <w:jc w:val="center"/>
        <w:ind w:right="-20"/>
        <w:spacing w:after="0"/>
        <w:rPr>
          <w:sz w:val="20"/>
          <w:szCs w:val="20"/>
          <w:color w:val="auto"/>
        </w:rPr>
      </w:pPr>
      <w:r>
        <w:rPr>
          <w:rFonts w:ascii="Arial" w:cs="Arial" w:eastAsia="Arial" w:hAnsi="Arial"/>
          <w:sz w:val="19"/>
          <w:szCs w:val="19"/>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358775</wp:posOffset>
            </wp:positionV>
            <wp:extent cx="4605020" cy="5969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605020" cy="5969000"/>
                    </a:xfrm>
                    <a:prstGeom prst="rect">
                      <a:avLst/>
                    </a:prstGeom>
                    <a:noFill/>
                  </pic:spPr>
                </pic:pic>
              </a:graphicData>
            </a:graphic>
          </wp:anchor>
        </w:drawing>
      </w:r>
    </w:p>
    <w:p>
      <w:pPr>
        <w:sectPr>
          <w:pgSz w:w="11900" w:h="16838" w:orient="portrait"/>
          <w:cols w:equalWidth="0" w:num="1">
            <w:col w:w="9019"/>
          </w:cols>
          <w:pgMar w:left="1440" w:top="6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625" w:right="1440" w:bottom="1440" w:gutter="0" w:footer="0" w:header="0"/>
          <w:type w:val="continuous"/>
        </w:sectPr>
      </w:pPr>
    </w:p>
    <w:bookmarkStart w:id="25" w:name="page26"/>
    <w:bookmarkEnd w:id="25"/>
    <w:p>
      <w:pPr>
        <w:jc w:val="center"/>
        <w:ind w:right="-119"/>
        <w:spacing w:after="0"/>
        <w:rPr>
          <w:sz w:val="20"/>
          <w:szCs w:val="20"/>
          <w:color w:val="auto"/>
        </w:rPr>
      </w:pPr>
      <w:r>
        <w:rPr>
          <w:rFonts w:ascii="Arial" w:cs="Arial" w:eastAsia="Arial" w:hAnsi="Arial"/>
          <w:sz w:val="22"/>
          <w:szCs w:val="22"/>
          <w:b w:val="1"/>
          <w:bCs w:val="1"/>
          <w:u w:val="single" w:color="auto"/>
          <w:color w:val="auto"/>
        </w:rPr>
        <w:t>Exhibit 6</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CONSENT</w:t>
      </w:r>
    </w:p>
    <w:p>
      <w:pPr>
        <w:spacing w:after="0" w:line="200" w:lineRule="exact"/>
        <w:rPr>
          <w:sz w:val="20"/>
          <w:szCs w:val="20"/>
          <w:color w:val="auto"/>
        </w:rPr>
      </w:pPr>
    </w:p>
    <w:p>
      <w:pPr>
        <w:spacing w:after="0" w:line="323"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Dated: October 18, 2019</w:t>
      </w:r>
    </w:p>
    <w:p>
      <w:pPr>
        <w:spacing w:after="0" w:line="260"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Raymond S. Haverstock</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Raymond S. Haverstock</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20"/>
          </w:cols>
          <w:pgMar w:left="240" w:top="36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56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93"/>
              </w:rPr>
              <w:t>Exhibit 7</w:t>
            </w:r>
          </w:p>
        </w:tc>
        <w:tc>
          <w:tcPr>
            <w:tcW w:w="150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8"/>
        </w:trPr>
        <w:tc>
          <w:tcPr>
            <w:tcW w:w="4320" w:type="dxa"/>
            <w:vAlign w:val="bottom"/>
          </w:tcPr>
          <w:p>
            <w:pPr>
              <w:spacing w:after="0"/>
              <w:rPr>
                <w:sz w:val="18"/>
                <w:szCs w:val="18"/>
                <w:color w:val="auto"/>
              </w:rPr>
            </w:pPr>
          </w:p>
        </w:tc>
        <w:tc>
          <w:tcPr>
            <w:tcW w:w="5600" w:type="dxa"/>
            <w:vAlign w:val="bottom"/>
            <w:gridSpan w:val="4"/>
          </w:tcPr>
          <w:p>
            <w:pPr>
              <w:jc w:val="center"/>
              <w:ind w:right="2800"/>
              <w:spacing w:after="0"/>
              <w:rPr>
                <w:sz w:val="20"/>
                <w:szCs w:val="20"/>
                <w:color w:val="auto"/>
              </w:rPr>
            </w:pPr>
            <w:r>
              <w:rPr>
                <w:rFonts w:ascii="Arial" w:cs="Arial" w:eastAsia="Arial" w:hAnsi="Arial"/>
                <w:sz w:val="18"/>
                <w:szCs w:val="18"/>
                <w:b w:val="1"/>
                <w:bCs w:val="1"/>
                <w:color w:val="auto"/>
                <w:w w:val="89"/>
              </w:rPr>
              <w:t>U.S. Bank National Association</w:t>
            </w:r>
          </w:p>
        </w:tc>
        <w:tc>
          <w:tcPr>
            <w:tcW w:w="15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5600" w:type="dxa"/>
            <w:vAlign w:val="bottom"/>
            <w:gridSpan w:val="4"/>
          </w:tcPr>
          <w:p>
            <w:pPr>
              <w:jc w:val="center"/>
              <w:ind w:right="2800"/>
              <w:spacing w:after="0"/>
              <w:rPr>
                <w:sz w:val="20"/>
                <w:szCs w:val="20"/>
                <w:color w:val="auto"/>
              </w:rPr>
            </w:pPr>
            <w:r>
              <w:rPr>
                <w:rFonts w:ascii="Arial" w:cs="Arial" w:eastAsia="Arial" w:hAnsi="Arial"/>
                <w:sz w:val="18"/>
                <w:szCs w:val="18"/>
                <w:b w:val="1"/>
                <w:bCs w:val="1"/>
                <w:color w:val="auto"/>
                <w:w w:val="91"/>
              </w:rPr>
              <w:t>Statement of Financial Condition</w:t>
            </w:r>
          </w:p>
        </w:tc>
        <w:tc>
          <w:tcPr>
            <w:tcW w:w="150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560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0"/>
              </w:rPr>
              <w:t>As of 6/30/2019</w:t>
            </w:r>
          </w:p>
        </w:tc>
        <w:tc>
          <w:tcPr>
            <w:tcW w:w="1500" w:type="dxa"/>
            <w:vAlign w:val="bottom"/>
          </w:tcPr>
          <w:p>
            <w:pPr>
              <w:spacing w:after="0"/>
              <w:rPr>
                <w:sz w:val="20"/>
                <w:szCs w:val="20"/>
                <w:color w:val="auto"/>
              </w:rPr>
            </w:pPr>
          </w:p>
        </w:tc>
      </w:tr>
      <w:tr>
        <w:trPr>
          <w:trHeight w:val="432"/>
        </w:trPr>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60" w:type="dxa"/>
            <w:vAlign w:val="bottom"/>
            <w:gridSpan w:val="3"/>
          </w:tcPr>
          <w:p>
            <w:pPr>
              <w:jc w:val="center"/>
              <w:ind w:right="3840"/>
              <w:spacing w:after="0"/>
              <w:rPr>
                <w:sz w:val="20"/>
                <w:szCs w:val="20"/>
                <w:color w:val="auto"/>
              </w:rPr>
            </w:pPr>
            <w:r>
              <w:rPr>
                <w:rFonts w:ascii="Arial" w:cs="Arial" w:eastAsia="Arial" w:hAnsi="Arial"/>
                <w:sz w:val="18"/>
                <w:szCs w:val="18"/>
                <w:b w:val="1"/>
                <w:bCs w:val="1"/>
                <w:color w:val="auto"/>
                <w:w w:val="89"/>
              </w:rPr>
              <w:t>($000’s)</w:t>
            </w:r>
          </w:p>
        </w:tc>
        <w:tc>
          <w:tcPr>
            <w:tcW w:w="1500" w:type="dxa"/>
            <w:vAlign w:val="bottom"/>
          </w:tcPr>
          <w:p>
            <w:pPr>
              <w:spacing w:after="0"/>
              <w:rPr>
                <w:sz w:val="24"/>
                <w:szCs w:val="24"/>
                <w:color w:val="auto"/>
              </w:rPr>
            </w:pPr>
          </w:p>
        </w:tc>
      </w:tr>
      <w:tr>
        <w:trPr>
          <w:trHeight w:val="378"/>
        </w:trPr>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jc w:val="right"/>
              <w:ind w:right="450"/>
              <w:spacing w:after="0"/>
              <w:rPr>
                <w:sz w:val="20"/>
                <w:szCs w:val="20"/>
                <w:color w:val="auto"/>
              </w:rPr>
            </w:pPr>
            <w:r>
              <w:rPr>
                <w:rFonts w:ascii="Arial" w:cs="Arial" w:eastAsia="Arial" w:hAnsi="Arial"/>
                <w:sz w:val="18"/>
                <w:szCs w:val="18"/>
                <w:b w:val="1"/>
                <w:bCs w:val="1"/>
                <w:color w:val="auto"/>
              </w:rPr>
              <w:t>6/30/2019</w:t>
            </w:r>
          </w:p>
        </w:tc>
      </w:tr>
      <w:tr>
        <w:trPr>
          <w:trHeight w:val="27"/>
        </w:trPr>
        <w:tc>
          <w:tcPr>
            <w:tcW w:w="4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w w:val="93"/>
              </w:rPr>
              <w:t>Cash and Balances Due From Depository Institutions</w:t>
            </w:r>
          </w:p>
        </w:tc>
        <w:tc>
          <w:tcPr>
            <w:tcW w:w="560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16,768,518</w:t>
            </w: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114,813,521</w:t>
            </w: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Federal Funds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3,737,619</w:t>
            </w: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Loans &amp; Lease Financing Receivables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291,749,748</w:t>
            </w: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5,722,368</w:t>
            </w: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12,794,810</w:t>
            </w: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27,551,585</w:t>
            </w:r>
          </w:p>
        </w:tc>
      </w:tr>
      <w:tr>
        <w:trPr>
          <w:trHeight w:val="27"/>
        </w:trPr>
        <w:tc>
          <w:tcPr>
            <w:tcW w:w="4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5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473,138,169</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5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364,531,324</w:t>
            </w: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Fed Funds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1,527,877</w:t>
            </w: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Treasury Demand Notes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20" w:type="dxa"/>
            <w:vAlign w:val="bottom"/>
          </w:tcPr>
          <w:p>
            <w:pPr>
              <w:ind w:left="340"/>
              <w:spacing w:after="0"/>
              <w:rPr>
                <w:sz w:val="20"/>
                <w:szCs w:val="20"/>
                <w:color w:val="auto"/>
              </w:rPr>
            </w:pPr>
            <w:r>
              <w:rPr>
                <w:rFonts w:ascii="Arial" w:cs="Arial" w:eastAsia="Arial" w:hAnsi="Arial"/>
                <w:sz w:val="18"/>
                <w:szCs w:val="18"/>
                <w:color w:val="auto"/>
              </w:rPr>
              <w:t>Trading Liabilities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639,668</w:t>
            </w: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Borrowed Money</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37,212,247</w:t>
            </w:r>
          </w:p>
        </w:tc>
      </w:tr>
      <w:tr>
        <w:trPr>
          <w:trHeight w:val="243"/>
        </w:trPr>
        <w:tc>
          <w:tcPr>
            <w:tcW w:w="4320" w:type="dxa"/>
            <w:vAlign w:val="bottom"/>
          </w:tcPr>
          <w:p>
            <w:pPr>
              <w:ind w:left="340"/>
              <w:spacing w:after="0"/>
              <w:rPr>
                <w:sz w:val="20"/>
                <w:szCs w:val="20"/>
                <w:color w:val="auto"/>
              </w:rPr>
            </w:pPr>
            <w:r>
              <w:rPr>
                <w:rFonts w:ascii="Arial" w:cs="Arial" w:eastAsia="Arial" w:hAnsi="Arial"/>
                <w:sz w:val="18"/>
                <w:szCs w:val="18"/>
                <w:color w:val="auto"/>
              </w:rPr>
              <w:t>Acceptances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Subordinated Notes and Debentures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3,800,000</w:t>
            </w: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15,595,326</w:t>
            </w:r>
          </w:p>
        </w:tc>
      </w:tr>
      <w:tr>
        <w:trPr>
          <w:trHeight w:val="27"/>
        </w:trPr>
        <w:tc>
          <w:tcPr>
            <w:tcW w:w="4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5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423,306,442</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and Preferred Stock</w:t>
            </w:r>
          </w:p>
        </w:tc>
        <w:tc>
          <w:tcPr>
            <w:tcW w:w="5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18,200</w:t>
            </w: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Surplus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14,266,915</w:t>
            </w: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Undivided Profits</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34,749,861</w:t>
            </w:r>
          </w:p>
        </w:tc>
      </w:tr>
      <w:tr>
        <w:trPr>
          <w:trHeight w:val="243"/>
        </w:trPr>
        <w:tc>
          <w:tcPr>
            <w:tcW w:w="4320" w:type="dxa"/>
            <w:vAlign w:val="bottom"/>
          </w:tcPr>
          <w:p>
            <w:pPr>
              <w:ind w:left="360"/>
              <w:spacing w:after="0"/>
              <w:rPr>
                <w:sz w:val="20"/>
                <w:szCs w:val="20"/>
                <w:color w:val="auto"/>
              </w:rPr>
            </w:pPr>
            <w:r>
              <w:rPr>
                <w:rFonts w:ascii="Arial" w:cs="Arial" w:eastAsia="Arial" w:hAnsi="Arial"/>
                <w:sz w:val="18"/>
                <w:szCs w:val="18"/>
                <w:color w:val="auto"/>
              </w:rPr>
              <w:t>Minority Interest in Subsidiaries</w:t>
            </w:r>
          </w:p>
        </w:tc>
        <w:tc>
          <w:tcPr>
            <w:tcW w:w="10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796,751</w:t>
            </w:r>
          </w:p>
        </w:tc>
      </w:tr>
      <w:tr>
        <w:trPr>
          <w:trHeight w:val="27"/>
        </w:trPr>
        <w:tc>
          <w:tcPr>
            <w:tcW w:w="4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Equity Capital</w:t>
            </w:r>
          </w:p>
        </w:tc>
        <w:tc>
          <w:tcPr>
            <w:tcW w:w="56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49,831,727</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 Capital</w:t>
            </w:r>
          </w:p>
        </w:tc>
        <w:tc>
          <w:tcPr>
            <w:tcW w:w="56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473,138,169</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702"/>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1">
    <w:nsid w:val="519B500D"/>
    <w:multiLevelType w:val="hybridMultilevel"/>
    <w:lvl w:ilvl="0">
      <w:lvlJc w:val="left"/>
      <w:lvlText w:val="(%1)"/>
      <w:numFmt w:val="lowerRoman"/>
      <w:start w:val="2"/>
    </w:lvl>
  </w:abstractNum>
  <w:abstractNum w:abstractNumId="12">
    <w:nsid w:val="431BD7B7"/>
    <w:multiLevelType w:val="hybridMultilevel"/>
    <w:lvl w:ilvl="0">
      <w:lvlJc w:val="left"/>
      <w:lvlText w:val="(%1)"/>
      <w:numFmt w:val="decimal"/>
      <w:start w:val="2"/>
    </w:lvl>
    <w:lvl w:ilvl="1">
      <w:lvlJc w:val="left"/>
      <w:lvlText w:val="(%2)"/>
      <w:numFmt w:val="upperLetter"/>
      <w:start w:val="1"/>
    </w:lvl>
  </w:abstractNum>
  <w:abstractNum w:abstractNumId="13">
    <w:nsid w:val="3F2DBA3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
    <w:nsid w:val="7C83E45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35"/>
    </w:lvl>
  </w:abstractNum>
  <w:abstractNum w:abstractNumId="15">
    <w:nsid w:val="257130A3"/>
    <w:multiLevelType w:val="hybridMultilevel"/>
    <w:lvl w:ilvl="0">
      <w:lvlJc w:val="left"/>
      <w:lvlText w:val="(%1)"/>
      <w:numFmt w:val="decimal"/>
      <w:start w:val="212"/>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4"/>
    </w:lvl>
  </w:abstractNum>
  <w:abstractNum w:abstractNumId="21">
    <w:nsid w:val="2443A858"/>
    <w:multiLevelType w:val="hybridMultilevel"/>
    <w:lvl w:ilvl="0">
      <w:lvlJc w:val="left"/>
      <w:lvlText w:val="*"/>
      <w:numFmt w:val="bullet"/>
      <w:start w:val="1"/>
    </w:lvl>
    <w:lvl w:ilvl="1">
      <w:lvlJc w:val="left"/>
      <w:lvlText w:val="%2."/>
      <w:numFmt w:val="decimal"/>
      <w:start w:val="7"/>
    </w:lvl>
  </w:abstractNum>
  <w:abstractNum w:abstractNumId="22">
    <w:nsid w:val="2D1D5AE9"/>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jpeg"/><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jpeg"/><Relationship Id="rId34" Type="http://schemas.openxmlformats.org/officeDocument/2006/relationships/image" Target="media/image22.jpeg"/><Relationship Id="rId23" Type="http://schemas.openxmlformats.org/officeDocument/2006/relationships/hyperlink" Target="http://www.sec.gov/Archives/edgar/data/1174922/000117492215000044/ex-31.htm" TargetMode="External"/><Relationship Id="rId24" Type="http://schemas.openxmlformats.org/officeDocument/2006/relationships/hyperlink" Target="http://www.sec.gov/Archives/edgar/data/1174922/000117492215000106/ex-32.htm" TargetMode="External"/><Relationship Id="rId25" Type="http://schemas.openxmlformats.org/officeDocument/2006/relationships/hyperlink" Target="http://www.sec.gov/Archives/edgar/data/1174922/000091205702037826/a2089719zex-4_1.htm" TargetMode="External"/><Relationship Id="rId26" Type="http://schemas.openxmlformats.org/officeDocument/2006/relationships/hyperlink" Target="http://www.sec.gov/Archives/edgar/data/1174922/000119312504052900/dex43.htm" TargetMode="External"/><Relationship Id="rId27" Type="http://schemas.openxmlformats.org/officeDocument/2006/relationships/hyperlink" Target="http://www.sec.gov/Archives/edgar/data/1174922/000119312504052900/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2019-12-04T22:01:48Z</dcterms:created>
  <dcterms:modified xsi:type="dcterms:W3CDTF">2019-12-04T22:01:48Z</dcterms:modified>
</cp:coreProperties>
</file>