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 as Amended</w:t>
      </w:r>
    </w:p>
    <w:p>
      <w:pPr>
        <w:spacing w:after="0" w:line="12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6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2900" w:type="dxa"/>
            <w:vAlign w:val="bottom"/>
          </w:tcPr>
          <w:p>
            <w:pPr>
              <w:jc w:val="center"/>
              <w:ind w:right="1306"/>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5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480" w:type="dxa"/>
            <w:vAlign w:val="bottom"/>
          </w:tcPr>
          <w:p>
            <w:pPr>
              <w:jc w:val="center"/>
              <w:ind w:left="1366"/>
              <w:spacing w:after="0"/>
              <w:rPr>
                <w:sz w:val="20"/>
                <w:szCs w:val="20"/>
                <w:color w:val="auto"/>
              </w:rPr>
            </w:pPr>
            <w:r>
              <w:rPr>
                <w:rFonts w:ascii="Times New Roman" w:cs="Times New Roman" w:eastAsia="Times New Roman" w:hAnsi="Times New Roman"/>
                <w:sz w:val="18"/>
                <w:szCs w:val="18"/>
                <w:b w:val="1"/>
                <w:bCs w:val="1"/>
                <w:color w:val="auto"/>
                <w:w w:val="96"/>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560" w:type="dxa"/>
            <w:vAlign w:val="bottom"/>
          </w:tcPr>
          <w:p>
            <w:pPr>
              <w:ind w:left="13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900" w:type="dxa"/>
            <w:vAlign w:val="bottom"/>
          </w:tcPr>
          <w:p>
            <w:pPr>
              <w:jc w:val="center"/>
              <w:ind w:right="1286"/>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356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6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8" w:right="1059" w:bottom="1440" w:gutter="0" w:footer="0" w:header="0"/>
        </w:sectPr>
      </w:pPr>
    </w:p>
    <w:p>
      <w:pPr>
        <w:spacing w:after="0" w:line="200" w:lineRule="exact"/>
        <w:rPr>
          <w:sz w:val="24"/>
          <w:szCs w:val="24"/>
          <w:color w:val="auto"/>
        </w:rPr>
      </w:pPr>
    </w:p>
    <w:p>
      <w:pPr>
        <w:spacing w:after="0" w:line="314"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6"/>
          <w:szCs w:val="16"/>
          <w:b w:val="1"/>
          <w:bCs w:val="1"/>
          <w:color w:val="auto"/>
        </w:rPr>
        <w:t>333-100768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88-0494875</w:t>
      </w:r>
    </w:p>
    <w:p>
      <w:pPr>
        <w:spacing w:after="0" w:line="37" w:lineRule="exact"/>
        <w:rPr>
          <w:sz w:val="24"/>
          <w:szCs w:val="24"/>
          <w:color w:val="auto"/>
        </w:rPr>
      </w:pPr>
    </w:p>
    <w:p>
      <w:pPr>
        <w:sectPr>
          <w:pgSz w:w="11900" w:h="16838" w:orient="portrait"/>
          <w:cols w:equalWidth="0" w:num="3">
            <w:col w:w="4700" w:space="720"/>
            <w:col w:w="3040" w:space="720"/>
            <w:col w:w="1420"/>
          </w:cols>
          <w:pgMar w:left="240" w:top="308" w:right="105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740" w:space="720"/>
            <w:col w:w="2880" w:space="720"/>
            <w:col w:w="1540"/>
          </w:cols>
          <w:pgMar w:left="240" w:top="308" w:right="1059" w:bottom="1440" w:gutter="0" w:footer="0" w:header="0"/>
          <w:type w:val="continuous"/>
        </w:sectPr>
      </w:pPr>
    </w:p>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3131 Las Vegas Boulevard South</w:t>
      </w:r>
    </w:p>
    <w:p>
      <w:pPr>
        <w:spacing w:after="0" w:line="4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89109</w:t>
      </w:r>
    </w:p>
    <w:p>
      <w:pPr>
        <w:spacing w:after="0" w:line="46" w:lineRule="exact"/>
        <w:rPr>
          <w:sz w:val="24"/>
          <w:szCs w:val="24"/>
          <w:color w:val="auto"/>
        </w:rPr>
      </w:pPr>
    </w:p>
    <w:p>
      <w:pPr>
        <w:sectPr>
          <w:pgSz w:w="11900" w:h="16838" w:orient="portrait"/>
          <w:cols w:equalWidth="0" w:num="2">
            <w:col w:w="7720" w:space="720"/>
            <w:col w:w="2160"/>
          </w:cols>
          <w:pgMar w:left="240" w:top="308"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20" w:space="720"/>
            <w:col w:w="2260"/>
          </w:cols>
          <w:pgMar w:left="240" w:top="308" w:right="1059" w:bottom="1440" w:gutter="0" w:footer="0" w:header="0"/>
          <w:type w:val="continuous"/>
        </w:sect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8"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2"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On May 15, 2013, Wynn Resorts, Limited (“Wynn Resorts”) issued a press release announcing the pricing by Wynn Las Vegas, LLC and Wynn Las Vegas Capital Corp., each an indirect wholly owned subsidiary of Wynn Resorts, of $500.0 million aggregate principal amount of 4.25% Senior Notes due 2023 (the “2023 notes”). This Current Report on Form 8-K shall not constitute an offer to sell or the solicitation of an offer to buy, nor shall there be any sale of the 2023 notes in any state in which such offer, solicitation or sale would be unlawful prior to registration or qualification under the securities laws of any such state. A copy of the press release is attached hereto as Exhibit 99.1 and is hereby incorporated by reference.</w:t>
      </w:r>
    </w:p>
    <w:p>
      <w:pPr>
        <w:spacing w:after="0" w:line="2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dated May 15, 2013, of Wynn Resorts, Limited.</w:t>
      </w:r>
    </w:p>
    <w:p>
      <w:pPr>
        <w:sectPr>
          <w:pgSz w:w="11900" w:h="16838" w:orient="portrait"/>
          <w:cols w:equalWidth="0" w:num="1">
            <w:col w:w="11320"/>
          </w:cols>
          <w:pgMar w:left="240" w:top="27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2013</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Maddox</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Matt Maddox</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2013</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Holdings, LLC,</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2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Maddox</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Matt Maddox</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420"/>
          </w:cols>
          <w:pgMar w:left="240" w:top="272" w:right="239" w:bottom="1440" w:gutter="0" w:footer="0" w:header="0"/>
        </w:sectPr>
      </w:pPr>
    </w:p>
    <w:bookmarkStart w:id="4" w:name="page5"/>
    <w:bookmarkEnd w:id="4"/>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91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May 15, 2013, of Wynn Resorts, Limited.</w:t>
      </w:r>
    </w:p>
    <w:p>
      <w:pPr>
        <w:sectPr>
          <w:pgSz w:w="11900" w:h="16838" w:orient="portrait"/>
          <w:cols w:equalWidth="0" w:num="1">
            <w:col w:w="10219"/>
          </w:cols>
          <w:pgMar w:left="240" w:top="272" w:right="1440" w:bottom="1440" w:gutter="0" w:footer="0" w:header="0"/>
        </w:sectPr>
      </w:pPr>
    </w:p>
    <w:bookmarkStart w:id="5" w:name="page6"/>
    <w:bookmarkEnd w:id="5"/>
    <w:p>
      <w:pPr>
        <w:ind w:left="105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Wynn Resorts Announces Pricing of Private Offering of $500.0 million Aggregate Principal Amount of Wynn Las Vegas 4.25% Senior Notes due 2023</w:t>
      </w:r>
    </w:p>
    <w:p>
      <w:pPr>
        <w:spacing w:after="0" w:line="196"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 xml:space="preserve">LAS VEGAS, May 15, 2013 (BUSINESS WIRE) — Wynn Resorts, Limited (NASDAQ: WYNN) announced today the pricing by Wynn Las Vegas, LLC and Wynn Las Vegas Capital Corp. (the “issuers”), each an indirect wholly owned subsidiary of Wynn Resorts, Limited, of $500.0 million aggregate principal amount of 4.25% Senior Notes due 2023 (the “Notes”). The Notes will be issued at par. Wynn Las Vegas, LLC plans to use the net proceeds from the offering to purchase any and all of the issuers’ outstanding $500.0 million aggregate principal amount of 7 </w:t>
      </w:r>
      <w:r>
        <w:rPr>
          <w:rFonts w:ascii="Times New Roman" w:cs="Times New Roman" w:eastAsia="Times New Roman" w:hAnsi="Times New Roman"/>
          <w:sz w:val="10"/>
          <w:szCs w:val="10"/>
          <w:color w:val="auto"/>
        </w:rPr>
        <w:t>7</w:t>
      </w:r>
      <w:r>
        <w:rPr>
          <w:rFonts w:ascii="Times New Roman" w:cs="Times New Roman" w:eastAsia="Times New Roman" w:hAnsi="Times New Roman"/>
          <w:sz w:val="16"/>
          <w:szCs w:val="16"/>
          <w:color w:val="auto"/>
        </w:rPr>
        <w:t>/</w:t>
      </w:r>
      <w:r>
        <w:rPr>
          <w:rFonts w:ascii="Times New Roman" w:cs="Times New Roman" w:eastAsia="Times New Roman" w:hAnsi="Times New Roman"/>
          <w:sz w:val="10"/>
          <w:szCs w:val="10"/>
          <w:color w:val="auto"/>
        </w:rPr>
        <w:t>8</w:t>
      </w:r>
      <w:r>
        <w:rPr>
          <w:rFonts w:ascii="Times New Roman" w:cs="Times New Roman" w:eastAsia="Times New Roman" w:hAnsi="Times New Roman"/>
          <w:sz w:val="16"/>
          <w:szCs w:val="16"/>
          <w:color w:val="auto"/>
        </w:rPr>
        <w:t>% First Mortgage Notes due 2017 (the “2017 notes”) pursuant to a cash tender offer and consent solicitation with respect to the 2017 notes announced today. In addition, Wynn Las Vegas, LLC intends to satisfy and discharge the indenture governing the 2017 Notes and use any remaining net proceeds from the offering to redeem any 2017 Notes not tendered.</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issuers will make the offering pursuant to an exemption under the Securities Act of 1933, as amended (the “Securities Act”). The initial purchasers of the Notes will offer the Notes only to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2012 and Quarterly Report on Form 10-Q for the fiscal quarter ended March 31, 2013 and Wynn Las Vegas, LLC’s and Wynn Resorts, Limited’s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ectPr>
          <w:pgSz w:w="11900" w:h="16838" w:orient="portrait"/>
          <w:cols w:equalWidth="0" w:num="1">
            <w:col w:w="11420"/>
          </w:cols>
          <w:pgMar w:left="240" w:top="12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SOURCE: Wynn Resorts, Limited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 Maddox, Chief Financial Officer &amp; Treasurer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2019-12-07T04:12:39Z</dcterms:created>
  <dcterms:modified xsi:type="dcterms:W3CDTF">2019-12-07T04:12:39Z</dcterms:modified>
</cp:coreProperties>
</file>