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372745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229870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250825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81"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26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Nevada</w:t>
            </w:r>
          </w:p>
        </w:tc>
        <w:tc>
          <w:tcPr>
            <w:tcW w:w="3800" w:type="dxa"/>
            <w:vAlign w:val="bottom"/>
          </w:tcPr>
          <w:p>
            <w:pPr>
              <w:ind w:left="128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62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3800" w:type="dxa"/>
            <w:vAlign w:val="bottom"/>
          </w:tcPr>
          <w:p>
            <w:pPr>
              <w:ind w:left="128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of incorporation)</w:t>
            </w:r>
          </w:p>
        </w:tc>
        <w:tc>
          <w:tcPr>
            <w:tcW w:w="38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2620" w:type="dxa"/>
            <w:vAlign w:val="bottom"/>
          </w:tcPr>
          <w:p>
            <w:pPr>
              <w:jc w:val="center"/>
              <w:ind w:right="39"/>
              <w:spacing w:after="0"/>
              <w:rPr>
                <w:sz w:val="20"/>
                <w:szCs w:val="20"/>
                <w:color w:val="auto"/>
              </w:rPr>
            </w:pPr>
            <w:r>
              <w:rPr>
                <w:rFonts w:ascii="Arial" w:cs="Arial" w:eastAsia="Arial" w:hAnsi="Arial"/>
                <w:sz w:val="18"/>
                <w:szCs w:val="18"/>
                <w:b w:val="1"/>
                <w:bCs w:val="1"/>
                <w:color w:val="auto"/>
                <w:w w:val="88"/>
              </w:rPr>
              <w:t>3131 Las Vegas Boulevard South</w:t>
            </w:r>
          </w:p>
        </w:tc>
        <w:tc>
          <w:tcPr>
            <w:tcW w:w="3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0"/>
        </w:trPr>
        <w:tc>
          <w:tcPr>
            <w:tcW w:w="262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800" w:type="dxa"/>
            <w:vAlign w:val="bottom"/>
          </w:tcPr>
          <w:p>
            <w:pPr>
              <w:spacing w:after="0"/>
              <w:rPr>
                <w:sz w:val="23"/>
                <w:szCs w:val="23"/>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6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spacing w:after="0"/>
              <w:rPr>
                <w:sz w:val="18"/>
                <w:szCs w:val="18"/>
                <w:color w:val="auto"/>
              </w:rPr>
            </w:pPr>
          </w:p>
        </w:tc>
        <w:tc>
          <w:tcPr>
            <w:tcW w:w="1560" w:type="dxa"/>
            <w:vAlign w:val="bottom"/>
          </w:tcPr>
          <w:p>
            <w:pPr>
              <w:jc w:val="center"/>
              <w:ind w:left="341"/>
              <w:spacing w:after="0"/>
              <w:rPr>
                <w:sz w:val="20"/>
                <w:szCs w:val="20"/>
                <w:color w:val="auto"/>
              </w:rPr>
            </w:pPr>
            <w:r>
              <w:rPr>
                <w:rFonts w:ascii="Arial" w:cs="Arial" w:eastAsia="Arial" w:hAnsi="Arial"/>
                <w:sz w:val="14"/>
                <w:szCs w:val="14"/>
                <w:b w:val="1"/>
                <w:bCs w:val="1"/>
                <w:color w:val="auto"/>
                <w:w w:val="95"/>
              </w:rPr>
              <w:t>(Zip Code)</w:t>
            </w:r>
          </w:p>
        </w:tc>
      </w:tr>
      <w:tr>
        <w:trPr>
          <w:trHeight w:val="732"/>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4"/>
                <w:szCs w:val="24"/>
                <w:color w:val="auto"/>
              </w:rPr>
            </w:pPr>
          </w:p>
        </w:tc>
      </w:tr>
      <w:tr>
        <w:trPr>
          <w:trHeight w:val="186"/>
        </w:trPr>
        <w:tc>
          <w:tcPr>
            <w:tcW w:w="2620" w:type="dxa"/>
            <w:vAlign w:val="bottom"/>
          </w:tcPr>
          <w:p>
            <w:pPr>
              <w:spacing w:after="0"/>
              <w:rPr>
                <w:sz w:val="16"/>
                <w:szCs w:val="16"/>
                <w:color w:val="auto"/>
              </w:rPr>
            </w:pPr>
          </w:p>
        </w:tc>
        <w:tc>
          <w:tcPr>
            <w:tcW w:w="3800" w:type="dxa"/>
            <w:vAlign w:val="bottom"/>
          </w:tcPr>
          <w:p>
            <w:pPr>
              <w:jc w:val="center"/>
              <w:ind w:right="2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6"/>
                <w:szCs w:val="16"/>
                <w:color w:val="auto"/>
              </w:rPr>
            </w:pPr>
          </w:p>
        </w:tc>
      </w:tr>
      <w:tr>
        <w:trPr>
          <w:trHeight w:val="424"/>
        </w:trPr>
        <w:tc>
          <w:tcPr>
            <w:tcW w:w="2620" w:type="dxa"/>
            <w:vAlign w:val="bottom"/>
          </w:tcPr>
          <w:p>
            <w:pPr>
              <w:spacing w:after="0"/>
              <w:rPr>
                <w:sz w:val="24"/>
                <w:szCs w:val="24"/>
                <w:color w:val="auto"/>
              </w:rPr>
            </w:pPr>
          </w:p>
        </w:tc>
        <w:tc>
          <w:tcPr>
            <w:tcW w:w="3800" w:type="dxa"/>
            <w:vAlign w:val="bottom"/>
          </w:tcPr>
          <w:p>
            <w:pPr>
              <w:jc w:val="center"/>
              <w:ind w:right="239"/>
              <w:spacing w:after="0"/>
              <w:rPr>
                <w:sz w:val="20"/>
                <w:szCs w:val="20"/>
                <w:color w:val="auto"/>
              </w:rPr>
            </w:pPr>
            <w:r>
              <w:rPr>
                <w:rFonts w:ascii="Arial" w:cs="Arial" w:eastAsia="Arial" w:hAnsi="Arial"/>
                <w:sz w:val="18"/>
                <w:szCs w:val="18"/>
                <w:b w:val="1"/>
                <w:bCs w:val="1"/>
                <w:color w:val="auto"/>
                <w:w w:val="92"/>
              </w:rPr>
              <w:t>Not Applicable</w:t>
            </w:r>
          </w:p>
        </w:tc>
        <w:tc>
          <w:tcPr>
            <w:tcW w:w="15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81915</wp:posOffset>
            </wp:positionV>
            <wp:extent cx="2846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98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6"/>
              </w:rPr>
              <w:t>Title of each class</w:t>
            </w:r>
          </w:p>
        </w:tc>
        <w:tc>
          <w:tcPr>
            <w:tcW w:w="316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91"/>
        </w:trPr>
        <w:tc>
          <w:tcPr>
            <w:tcW w:w="384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par value $0.01</w:t>
            </w:r>
          </w:p>
        </w:tc>
        <w:tc>
          <w:tcPr>
            <w:tcW w:w="3160" w:type="dxa"/>
            <w:vAlign w:val="bottom"/>
            <w:gridSpan w:val="2"/>
          </w:tcPr>
          <w:p>
            <w:pPr>
              <w:jc w:val="center"/>
              <w:ind w:right="1720"/>
              <w:spacing w:after="0"/>
              <w:rPr>
                <w:sz w:val="20"/>
                <w:szCs w:val="20"/>
                <w:color w:val="auto"/>
              </w:rPr>
            </w:pPr>
            <w:r>
              <w:rPr>
                <w:rFonts w:ascii="Arial" w:cs="Arial" w:eastAsia="Arial" w:hAnsi="Arial"/>
                <w:sz w:val="18"/>
                <w:szCs w:val="18"/>
                <w:color w:val="auto"/>
              </w:rPr>
              <w:t>WYNN</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900" w:type="dxa"/>
            <w:vAlign w:val="bottom"/>
          </w:tcPr>
          <w:p>
            <w:pPr>
              <w:spacing w:after="0"/>
              <w:rPr>
                <w:sz w:val="24"/>
                <w:szCs w:val="24"/>
                <w:color w:val="auto"/>
              </w:rPr>
            </w:pPr>
          </w:p>
        </w:tc>
      </w:tr>
      <w:tr>
        <w:trPr>
          <w:trHeight w:val="236"/>
        </w:trPr>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bl>
    <w:p>
      <w:pPr>
        <w:spacing w:after="0" w:line="323"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1340" w:right="60" w:hanging="1322"/>
        <w:spacing w:after="0" w:line="266" w:lineRule="auto"/>
        <w:tabs>
          <w:tab w:leader="none" w:pos="13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light of the effects of COVID-19 on the operations of Wynn Resorts, Limited (the “Company”), the Compensation Committee of the Board of Directors (the “Committee”) has made certain modifications to short-term and long-term incentives for the Company’s Named Executive Officers and certain other key employees.</w:t>
      </w:r>
    </w:p>
    <w:p>
      <w:pPr>
        <w:spacing w:after="0" w:line="18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Committee has approved a one-time restricted stock grant to retain and motivate its key employees for the remainder of 2020 and a substantial portion of 2021, a period that is expected to be characterized by significant operating uncertainty. This award (the “Retention Award”) was comprised of 176,247 shares in the aggregate. The Retention Award was made to approximately 240 of the Company’s top leaders in North America on August 18, 2020. The Retention Awards vest on the one-year anniversary of the grant date. The Company’s Named Executive Officers were included in the Retention Award.</w:t>
      </w:r>
    </w:p>
    <w:p>
      <w:pPr>
        <w:spacing w:after="0" w:line="1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order to partially reduce the equity dilution associated with the Retention Award, the Company’s CEO, Matt Maddox, requested that the Compensation Committee cancel 140,000 shares (the “Cancelled Shares”) of restricted stock of the Company granted previously to him under the Company’s Amended and Restated 2014 Omnibus Incentive Plan that were eligible to vest based on certain performance objectives. Mr. Maddox’s original incentive grant contained certain performance metrics that are no longer relevant in light of the extremely challenging conditions stemming from the COVID-19 pandemic. Mr. Maddox asked the Compensation Committee instead to recognize the efforts of top leadership during an extraordinarily difficult time through the Retention Award.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of the following Named Executive Officers listed below were granted the following Retention Awards: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Number of Restricted Shares</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Matthew O. Maddox, Chief Executive Officer</w:t>
            </w:r>
          </w:p>
        </w:tc>
        <w:tc>
          <w:tcPr>
            <w:tcW w:w="3620" w:type="dxa"/>
            <w:vAlign w:val="bottom"/>
          </w:tcPr>
          <w:p>
            <w:pPr>
              <w:jc w:val="right"/>
              <w:ind w:right="750"/>
              <w:spacing w:after="0"/>
              <w:rPr>
                <w:sz w:val="20"/>
                <w:szCs w:val="20"/>
                <w:color w:val="auto"/>
              </w:rPr>
            </w:pPr>
            <w:r>
              <w:rPr>
                <w:rFonts w:ascii="Arial" w:cs="Arial" w:eastAsia="Arial" w:hAnsi="Arial"/>
                <w:sz w:val="18"/>
                <w:szCs w:val="18"/>
                <w:color w:val="auto"/>
              </w:rPr>
              <w:t>24,501</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Craig S. Billings, President and Chief Financial Officer</w:t>
            </w:r>
          </w:p>
        </w:tc>
        <w:tc>
          <w:tcPr>
            <w:tcW w:w="3620" w:type="dxa"/>
            <w:vAlign w:val="bottom"/>
          </w:tcPr>
          <w:p>
            <w:pPr>
              <w:jc w:val="right"/>
              <w:ind w:right="750"/>
              <w:spacing w:after="0"/>
              <w:rPr>
                <w:sz w:val="20"/>
                <w:szCs w:val="20"/>
                <w:color w:val="auto"/>
              </w:rPr>
            </w:pPr>
            <w:r>
              <w:rPr>
                <w:rFonts w:ascii="Arial" w:cs="Arial" w:eastAsia="Arial" w:hAnsi="Arial"/>
                <w:sz w:val="18"/>
                <w:szCs w:val="18"/>
                <w:color w:val="auto"/>
              </w:rPr>
              <w:t>13,476</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Ellen F. Whittemore, Executive Vice President, General Counsel &amp; Secretary</w:t>
            </w:r>
          </w:p>
        </w:tc>
        <w:tc>
          <w:tcPr>
            <w:tcW w:w="3620" w:type="dxa"/>
            <w:vAlign w:val="bottom"/>
          </w:tcPr>
          <w:p>
            <w:pPr>
              <w:jc w:val="right"/>
              <w:ind w:right="750"/>
              <w:spacing w:after="0"/>
              <w:rPr>
                <w:sz w:val="20"/>
                <w:szCs w:val="20"/>
                <w:color w:val="auto"/>
              </w:rPr>
            </w:pPr>
            <w:r>
              <w:rPr>
                <w:rFonts w:ascii="Arial" w:cs="Arial" w:eastAsia="Arial" w:hAnsi="Arial"/>
                <w:sz w:val="18"/>
                <w:szCs w:val="18"/>
                <w:color w:val="auto"/>
              </w:rPr>
              <w:t>6,585</w:t>
            </w:r>
          </w:p>
        </w:tc>
      </w:tr>
    </w:tbl>
    <w:p>
      <w:pPr>
        <w:spacing w:after="0" w:line="22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the Company’s business conditions become clearer throughout the remainder of 2020 and early 2021, the Committee intends to reset the long-term performance targets for Named Executive Officers and may make additional long-term incentive arrangements tied to such targets.</w:t>
      </w:r>
    </w:p>
    <w:p>
      <w:pPr>
        <w:spacing w:after="0" w:line="14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the Committee established short-term incentive goals and targets for the second half of 2020. The Committee established significantly reduced target incentive levels of each Named Executive Officer’s annual bonus target. Consistent with the Company’s strategy during the currently uncertain environment, the Committee also established second-half 2020 goals focused on cash generation and preservation in the Company’s U.S. operations and achievement of certain market share levels in the Company’s Macau operations, both for the six months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99"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20" w:val="left"/>
          <w:tab w:leader="none" w:pos="7160" w:val="left"/>
        </w:tabs>
        <w:rPr>
          <w:sz w:val="20"/>
          <w:szCs w:val="20"/>
          <w:color w:val="auto"/>
        </w:rPr>
      </w:pPr>
      <w:r>
        <w:rPr>
          <w:rFonts w:ascii="Arial" w:cs="Arial" w:eastAsia="Arial" w:hAnsi="Arial"/>
          <w:sz w:val="18"/>
          <w:szCs w:val="18"/>
          <w:color w:val="auto"/>
        </w:rPr>
        <w:t>Dated: August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31750</wp:posOffset>
            </wp:positionV>
            <wp:extent cx="263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Ellen F. Whittemore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General Counsel</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2020-08-20T07:27:01Z</dcterms:created>
  <dcterms:modified xsi:type="dcterms:W3CDTF">2020-08-20T07:27:01Z</dcterms:modified>
</cp:coreProperties>
</file>