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9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395" w:right="299" w:bottom="1440" w:gutter="0" w:footer="0" w:header="0"/>
        </w:sectPr>
      </w:pPr>
    </w:p>
    <w:p>
      <w:pPr>
        <w:spacing w:after="0" w:line="27"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22" w:lineRule="exact"/>
        <w:rPr>
          <w:sz w:val="24"/>
          <w:szCs w:val="24"/>
          <w:color w:val="auto"/>
        </w:rPr>
      </w:pPr>
    </w:p>
    <w:p>
      <w:pPr>
        <w:sectPr>
          <w:pgSz w:w="11900" w:h="16838" w:orient="portrait"/>
          <w:cols w:equalWidth="0" w:num="2">
            <w:col w:w="2680" w:space="720"/>
            <w:col w:w="7960"/>
          </w:cols>
          <w:pgMar w:left="240" w:top="395"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148590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type w:val="continuous"/>
        </w:sectPr>
      </w:pPr>
    </w:p>
    <w:p>
      <w:pPr>
        <w:spacing w:after="0" w:line="37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766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90"/>
              </w:rPr>
              <w:t>Nevada</w:t>
            </w: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88-0494875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660" w:type="dxa"/>
            <w:vAlign w:val="bottom"/>
            <w:gridSpan w:val="3"/>
          </w:tcPr>
          <w:p>
            <w:pPr>
              <w:jc w:val="center"/>
              <w:ind w:right="276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right="2760"/>
              <w:spacing w:after="0"/>
              <w:rPr>
                <w:sz w:val="20"/>
                <w:szCs w:val="20"/>
                <w:color w:val="auto"/>
              </w:rPr>
            </w:pPr>
            <w:r>
              <w:rPr>
                <w:rFonts w:ascii="Arial" w:cs="Arial" w:eastAsia="Arial" w:hAnsi="Arial"/>
                <w:sz w:val="14"/>
                <w:szCs w:val="14"/>
                <w:b w:val="1"/>
                <w:bCs w:val="1"/>
                <w:color w:val="auto"/>
                <w:w w:val="89"/>
              </w:rPr>
              <w:t>incorporation or organization)</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Identification Number)</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7660" w:type="dxa"/>
            <w:vAlign w:val="bottom"/>
            <w:gridSpan w:val="3"/>
          </w:tcPr>
          <w:p>
            <w:pPr>
              <w:jc w:val="center"/>
              <w:ind w:left="2983"/>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560" w:type="dxa"/>
            <w:vAlign w:val="bottom"/>
            <w:gridSpan w:val="2"/>
          </w:tcPr>
          <w:p>
            <w:pPr>
              <w:jc w:val="center"/>
              <w:ind w:left="4063"/>
              <w:spacing w:after="0"/>
              <w:rPr>
                <w:sz w:val="20"/>
                <w:szCs w:val="20"/>
                <w:color w:val="auto"/>
              </w:rPr>
            </w:pPr>
            <w:r>
              <w:rPr>
                <w:rFonts w:ascii="Arial" w:cs="Arial" w:eastAsia="Arial" w:hAnsi="Arial"/>
                <w:sz w:val="18"/>
                <w:szCs w:val="18"/>
                <w:b w:val="1"/>
                <w:bCs w:val="1"/>
                <w:color w:val="auto"/>
                <w:w w:val="89"/>
              </w:rPr>
              <w:t>(702) 770-7555</w:t>
            </w:r>
          </w:p>
        </w:tc>
        <w:tc>
          <w:tcPr>
            <w:tcW w:w="1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140" w:type="dxa"/>
            <w:vAlign w:val="bottom"/>
          </w:tcPr>
          <w:p>
            <w:pPr>
              <w:spacing w:after="0"/>
              <w:rPr>
                <w:sz w:val="23"/>
                <w:szCs w:val="23"/>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4"/>
              </w:rPr>
              <w:t>None</w:t>
            </w: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5"/>
              </w:rPr>
              <w:t>Securities registered pursuant to Section 12(g) of the Act:</w:t>
            </w: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140" w:type="dxa"/>
            <w:vAlign w:val="bottom"/>
          </w:tcPr>
          <w:p>
            <w:pPr>
              <w:spacing w:after="0"/>
              <w:rPr>
                <w:sz w:val="22"/>
                <w:szCs w:val="22"/>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4"/>
              </w:rPr>
              <w:t>None</w:t>
            </w: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4140" w:type="dxa"/>
            <w:vAlign w:val="bottom"/>
          </w:tcPr>
          <w:p>
            <w:pPr>
              <w:spacing w:after="0"/>
              <w:rPr>
                <w:sz w:val="15"/>
                <w:szCs w:val="15"/>
                <w:color w:val="auto"/>
              </w:rPr>
            </w:pPr>
          </w:p>
        </w:tc>
        <w:tc>
          <w:tcPr>
            <w:tcW w:w="35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7"/>
              </w:rPr>
              <w:t>(Title of Class)</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840" w:type="dxa"/>
            <w:vAlign w:val="bottom"/>
            <w:gridSpan w:val="2"/>
          </w:tcPr>
          <w:p>
            <w:pPr>
              <w:spacing w:after="0"/>
              <w:rPr>
                <w:sz w:val="14"/>
                <w:szCs w:val="1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3"/>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right="28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p>
      <w:pPr>
        <w:ind w:left="360" w:right="1400" w:firstLine="1457"/>
        <w:spacing w:after="0" w:line="31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ind w:right="80" w:firstLine="342"/>
        <w:spacing w:after="0" w:line="268" w:lineRule="auto"/>
        <w:rPr>
          <w:sz w:val="20"/>
          <w:szCs w:val="20"/>
          <w:color w:val="auto"/>
        </w:rPr>
      </w:pPr>
      <w:r>
        <w:rPr>
          <w:rFonts w:ascii="Arial" w:cs="Arial" w:eastAsia="Arial" w:hAnsi="Arial"/>
          <w:sz w:val="18"/>
          <w:szCs w:val="18"/>
          <w:color w:val="auto"/>
        </w:rPr>
        <w:t>The aggregate market value of the registrant’s voting interests held by non-affiliates on June 30, 2007 was $0. Wynn Resorts Holdings, LLC owns all of the membership interests of the registrant.</w:t>
      </w:r>
    </w:p>
    <w:p>
      <w:pPr>
        <w:spacing w:after="0" w:line="31" w:lineRule="exact"/>
        <w:rPr>
          <w:sz w:val="24"/>
          <w:szCs w:val="24"/>
          <w:color w:val="auto"/>
        </w:rPr>
      </w:pPr>
    </w:p>
    <w:p>
      <w:pPr>
        <w:ind w:right="80" w:firstLine="342"/>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I(1)(a) and (b) of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is constructing an expansion of Wynn Las Vegas named “Encore Suites at Wynn Las Vegas,” or “Encore.” Wynn Las Vegas, LLC was formed on April 17, 2001 as a Nevada limited liability company. Unless the context otherwise requires, all references herein to the “Company,” “we,” “us” or “our,” or similar terms, refer to Wynn Las Vegas, LLC and its consolidated subsidiaries. The sole member of the Company is Wynn Resorts Holdings, LLC (“Holdings”). The sole member of Holdings is Wynn Resorts, Limited (“Wynn Resorts”).</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Las Vegas Capital Corp. (“Wynn Capital”) is a wholly owned subsidiary of Wynn Las Vegas, LLC, incorporated on June 3, 2002, solely for the purpose of obtaining financing for Wynn Las Vegas. Wynn Capital is authorized to issue 2,000 shares of common stock, par value $0.01. At December 31, 2007, the Company owned the one share that was issued and outstanding. Wynn Capital has neither any significant net assets nor any operating activity. Its sole function is to serve as the co-issuer of the mortgage notes described below.</w:t>
      </w:r>
    </w:p>
    <w:p>
      <w:pPr>
        <w:spacing w:after="0" w:line="13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The construction of Encore commenced on April 28, 2006. Prior to April 28, 2005, we were solely a development stage company.</w:t>
      </w:r>
    </w:p>
    <w:p>
      <w:pPr>
        <w:spacing w:after="0" w:line="118"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 xml:space="preserve">We have previously filed registration statements and other documents with the Securities and Exchange Commission (“SEC”). Any document we file may be inspected, without charge, at the SEC’s public reference room at 100 F Street, N.E. Washington, D.C. 20549 or at the SEC’s internet site address at </w:t>
      </w:r>
      <w:r>
        <w:rPr>
          <w:rFonts w:ascii="Arial" w:cs="Arial" w:eastAsia="Arial" w:hAnsi="Arial"/>
          <w:sz w:val="15"/>
          <w:szCs w:val="15"/>
          <w:i w:val="1"/>
          <w:iCs w:val="1"/>
          <w:color w:val="auto"/>
        </w:rPr>
        <w:t xml:space="preserve">http://www.sec.gov. </w:t>
      </w:r>
      <w:r>
        <w:rPr>
          <w:rFonts w:ascii="Arial" w:cs="Arial" w:eastAsia="Arial" w:hAnsi="Arial"/>
          <w:sz w:val="15"/>
          <w:szCs w:val="15"/>
          <w:color w:val="auto"/>
        </w:rPr>
        <w:t>Information related to the operation of the SEC’s public reference room may be obtained by calling the SEC at 1-800-SEC-0330. In addition,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through its own internet address at </w:t>
      </w:r>
      <w:r>
        <w:rPr>
          <w:rFonts w:ascii="Arial" w:cs="Arial" w:eastAsia="Arial" w:hAnsi="Arial"/>
          <w:sz w:val="15"/>
          <w:szCs w:val="15"/>
          <w:i w:val="1"/>
          <w:iCs w:val="1"/>
          <w:color w:val="auto"/>
        </w:rPr>
        <w:t>www.wynnresorts.com</w:t>
      </w:r>
      <w:r>
        <w:rPr>
          <w:rFonts w:ascii="Arial" w:cs="Arial" w:eastAsia="Arial" w:hAnsi="Arial"/>
          <w:sz w:val="15"/>
          <w:szCs w:val="15"/>
          <w:color w:val="auto"/>
        </w:rPr>
        <w:t>, Wynn Resorts provides a hyperlink to a third-party SEC filing website which posts our filings as soon as reasonably practicable, where they can be reviewed without charge. Information found on our website is not a part of this Annual Report on Form 10-K.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Wynn Las Vegas opened on April 28, 2005. Wynn Las Vegas’ accommodations, amenities and exceptional service have allowed us to attract and retain high quality customers. Wynn Las Vegas offers 2,716 rooms and suites, including 36 fairway villas and 6 private-entry villas for our premium guests. The Tower Suites at Wynn Las Vegas is the only casino resort in the world that has been awarded both the Mobil five star and AAA five diamond distinctions. In addition, Wynn Las Vegas was recognized in November 2007 by Michelin, the esteemed European restaurant rating system. Three of our restaurants were awarded Michelin stars. Two Michelin stars were awarded to </w:t>
      </w:r>
      <w:r>
        <w:rPr>
          <w:rFonts w:ascii="Arial" w:cs="Arial" w:eastAsia="Arial" w:hAnsi="Arial"/>
          <w:sz w:val="16"/>
          <w:szCs w:val="16"/>
          <w:i w:val="1"/>
          <w:iCs w:val="1"/>
          <w:color w:val="auto"/>
        </w:rPr>
        <w:t>Alex</w:t>
      </w:r>
      <w:r>
        <w:rPr>
          <w:rFonts w:ascii="Arial" w:cs="Arial" w:eastAsia="Arial" w:hAnsi="Arial"/>
          <w:sz w:val="16"/>
          <w:szCs w:val="16"/>
          <w:color w:val="auto"/>
        </w:rPr>
        <w:t xml:space="preserve"> and one Michelin star was awarded to each of Wing Lei and Daniel Boulud Brasserie. Additionally, our resort and country club received five red pavilions, the highest honor for Michelin rated accommodations. The approximately 111,000 square foot casino features approximately 140 table games, a baccarat salon, private VIP gaming rooms, a poker room, approximately 1,970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two showrooms. The “Le Rêve” Theater features “Le Rêve”, a water-based production. The Broadway Theater hosts “Monty Python’s Spamalot,” winner of the 2005 Tony Award for best musical. Performances of Spamalot commenced in the first quarter of 2007. We believe that the unique experience of Wynn Las Vegas drives the significant visitation experienced since opening. During the year ended December 31, 2007, our average hotel occupancy was 96% and our average daily room rate was $300, which compares favorably to the overall 90.4% average occupancy and $132 average daily room rate of Las Vegas.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Construction and Development</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the ordinary course of our business and in order to increase revenues, we have made and continue to make certain enhancements and refinements to Wynn Las Vegas. Since opening on April 28, 2005, we have remodeled our Fairway Villas, </w:t>
      </w:r>
      <w:r>
        <w:rPr>
          <w:rFonts w:ascii="Arial" w:cs="Arial" w:eastAsia="Arial" w:hAnsi="Arial"/>
          <w:sz w:val="16"/>
          <w:szCs w:val="16"/>
          <w:i w:val="1"/>
          <w:iCs w:val="1"/>
          <w:color w:val="auto"/>
        </w:rPr>
        <w:t>Corsa Cucina,</w:t>
      </w:r>
      <w:r>
        <w:rPr>
          <w:rFonts w:ascii="Arial" w:cs="Arial" w:eastAsia="Arial" w:hAnsi="Arial"/>
          <w:sz w:val="16"/>
          <w:szCs w:val="16"/>
          <w:color w:val="auto"/>
        </w:rPr>
        <w:t xml:space="preserve"> the property’s contemporary Italian restaurant, </w:t>
      </w:r>
      <w:r>
        <w:rPr>
          <w:rFonts w:ascii="Arial" w:cs="Arial" w:eastAsia="Arial" w:hAnsi="Arial"/>
          <w:sz w:val="16"/>
          <w:szCs w:val="16"/>
          <w:i w:val="1"/>
          <w:iCs w:val="1"/>
          <w:color w:val="auto"/>
        </w:rPr>
        <w:t>Tryst</w:t>
      </w:r>
      <w:r>
        <w:rPr>
          <w:rFonts w:ascii="Arial" w:cs="Arial" w:eastAsia="Arial" w:hAnsi="Arial"/>
          <w:sz w:val="16"/>
          <w:szCs w:val="16"/>
          <w:color w:val="auto"/>
        </w:rPr>
        <w:t xml:space="preserve"> and </w:t>
      </w:r>
      <w:r>
        <w:rPr>
          <w:rFonts w:ascii="Arial" w:cs="Arial" w:eastAsia="Arial" w:hAnsi="Arial"/>
          <w:sz w:val="16"/>
          <w:szCs w:val="16"/>
          <w:i w:val="1"/>
          <w:iCs w:val="1"/>
          <w:color w:val="auto"/>
        </w:rPr>
        <w:t>Blush,</w:t>
      </w:r>
      <w:r>
        <w:rPr>
          <w:rFonts w:ascii="Arial" w:cs="Arial" w:eastAsia="Arial" w:hAnsi="Arial"/>
          <w:sz w:val="16"/>
          <w:szCs w:val="16"/>
          <w:color w:val="auto"/>
        </w:rPr>
        <w:t xml:space="preserve"> our nightclubs</w:t>
      </w:r>
      <w:r>
        <w:rPr>
          <w:rFonts w:ascii="Arial" w:cs="Arial" w:eastAsia="Arial" w:hAnsi="Arial"/>
          <w:sz w:val="16"/>
          <w:szCs w:val="16"/>
          <w:i w:val="1"/>
          <w:iCs w:val="1"/>
          <w:color w:val="auto"/>
        </w:rPr>
        <w:t>,</w:t>
      </w:r>
      <w:r>
        <w:rPr>
          <w:rFonts w:ascii="Arial" w:cs="Arial" w:eastAsia="Arial" w:hAnsi="Arial"/>
          <w:sz w:val="16"/>
          <w:szCs w:val="16"/>
          <w:color w:val="auto"/>
        </w:rPr>
        <w:t xml:space="preserve"> several areas of the retail promenade, a portion of the baccarat area to feature a casino bar and improved public baccarat space along with private baccarat salons and converted the Keno lounge to a retail outlet for womens’ accessories. In March 2007, we remodeled the Le Rêve Theater, decreasing the seat count from 2,087 to 1,606 to further enhance the guest experience. We have incurred and will continue to incur capital expenditures related to these types of enhancements and refinements.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constructing Encore on approximately 20 acres on the Strip, immediately adjacent to Wynn Las Vegas. Plans for Encore include a 2,034 all-suite hotel tower fully integrated with Wynn Las Vegas, as well as an approximately 72,000 square foot casino, additional convention and meeting space, restaurants, a nightclub, swimming pools, a spa and salon and retail outlets. We commenced construction of Encore in the second quarter of 2006 and expect to open Encore in December 2008.</w:t>
      </w:r>
    </w:p>
    <w:p>
      <w:pPr>
        <w:spacing w:after="0" w:line="13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The project budget will be funded from our existing credit facilities, remaining proceeds from the additional first mortgage notes issued in November 2007 and operating cash flow from Wynn Las Vegas. To the extent additional funds are required, we will provide these amounts with additional debt and equity contributions by Wynn Resorts or additional indebtedness to be incurred by Wynn Las Vegas. As of December 31, 2007, we had incurred approximately $998.7 million of project costs related to the development and construction of Encore and related capital improvements.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Capitalize on the “Wynn” Brand. </w:t>
      </w:r>
      <w:r>
        <w:rPr>
          <w:rFonts w:ascii="Arial" w:cs="Arial" w:eastAsia="Arial" w:hAnsi="Arial"/>
          <w:sz w:val="16"/>
          <w:szCs w:val="16"/>
          <w:color w:val="auto"/>
        </w:rPr>
        <w:t>We believe Steve Wynn is the preeminent designer, developer and operator of destination casino resorts and, as such,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a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 especially high-end customers. We believe that Wynn Las Vegas sets a new standard of luxury and elegance for destination casino resorts. We also believe that Mr. Wynn’s reputation and the new standard of luxury and elegance brought to the industry by Wynn Las Vegas and our affiliate, Wynn Macau, translate to a high level of anticipation for Encore. We intend to extend our “Wynn” brand to other opportunities as they arise.</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Attract and deliver high-quality service and amenities to high-end gaming customers. </w:t>
      </w:r>
      <w:r>
        <w:rPr>
          <w:rFonts w:ascii="Arial" w:cs="Arial" w:eastAsia="Arial" w:hAnsi="Arial"/>
          <w:sz w:val="16"/>
          <w:szCs w:val="16"/>
          <w:color w:val="auto"/>
        </w:rPr>
        <w:t>Wynn Las Vegas was designed and built to attract premium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Wynn Las Vegas offers luxurious rooms and suites, high-limit tables, VIP gaming salons, exquisite fine dining</w:t>
      </w:r>
      <w:r>
        <w:rPr>
          <w:rFonts w:ascii="Arial" w:cs="Arial" w:eastAsia="Arial" w:hAnsi="Arial"/>
          <w:sz w:val="16"/>
          <w:szCs w:val="16"/>
          <w:i w:val="1"/>
          <w:iCs w:val="1"/>
          <w:color w:val="auto"/>
        </w:rPr>
        <w:t>,</w:t>
      </w:r>
      <w:r>
        <w:rPr>
          <w:rFonts w:ascii="Arial" w:cs="Arial" w:eastAsia="Arial" w:hAnsi="Arial"/>
          <w:sz w:val="16"/>
          <w:szCs w:val="16"/>
          <w:color w:val="auto"/>
        </w:rPr>
        <w:t xml:space="preserve"> premium retail shopping, distinctive entertainment and an 18-hole golf course. The Tower Suites at Wynn Las Vegas is the only casino resort in the world to have been awarded both the Mobil five star and AAA five diamond distinctions and four of Wynn Las Vegas’ restaurants have been recognized by AAA (including our AAA rated, 5-Diamond French restaurant, </w:t>
      </w:r>
      <w:r>
        <w:rPr>
          <w:rFonts w:ascii="Arial" w:cs="Arial" w:eastAsia="Arial" w:hAnsi="Arial"/>
          <w:sz w:val="16"/>
          <w:szCs w:val="16"/>
          <w:i w:val="1"/>
          <w:iCs w:val="1"/>
          <w:color w:val="auto"/>
        </w:rPr>
        <w:t>Alex).</w:t>
      </w:r>
      <w:r>
        <w:rPr>
          <w:rFonts w:ascii="Arial" w:cs="Arial" w:eastAsia="Arial" w:hAnsi="Arial"/>
          <w:sz w:val="16"/>
          <w:szCs w:val="16"/>
          <w:color w:val="auto"/>
        </w:rPr>
        <w:t xml:space="preserve"> In addition, Wynn Las Vegas was recognized in November 2007 by Michelin, the esteemed European restaurant rating system. Three of our restaurants were awarded Michelin stars. Two Michelin stars were awarded to </w:t>
      </w:r>
      <w:r>
        <w:rPr>
          <w:rFonts w:ascii="Arial" w:cs="Arial" w:eastAsia="Arial" w:hAnsi="Arial"/>
          <w:sz w:val="16"/>
          <w:szCs w:val="16"/>
          <w:i w:val="1"/>
          <w:iCs w:val="1"/>
          <w:color w:val="auto"/>
        </w:rPr>
        <w:t>Alex</w:t>
      </w:r>
      <w:r>
        <w:rPr>
          <w:rFonts w:ascii="Arial" w:cs="Arial" w:eastAsia="Arial" w:hAnsi="Arial"/>
          <w:sz w:val="16"/>
          <w:szCs w:val="16"/>
          <w:color w:val="auto"/>
        </w:rPr>
        <w:t xml:space="preserve"> and one Michelin star was awarded to each of Wing Lei and Daniel Boulud Brasserie. Overall our resort and country club received five red pavilions, the highest Michelin accommodations rating. Our hotel and gaming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offerings are designed to meet the expectations of high-budget, premium customers, including our Asian customers. We expect our Asian customer segment to become even more significant with Wynn Macau now open, and intend to capitalize on cross-marketing opportunities between Wynn Las Vegas and Wynn Macau.</w:t>
      </w:r>
    </w:p>
    <w:p>
      <w:pPr>
        <w:spacing w:after="0" w:line="121"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i w:val="1"/>
          <w:iCs w:val="1"/>
          <w:color w:val="auto"/>
        </w:rPr>
        <w:t>Marketing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positioned Wynn Las Vegas as a full-service luxury resort and casino in the leisure, convention and tour and travel markets.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Wynn Las Vegas directly to gaming customers using database marketing techniques, as well as traditional incentives, including reduced room rates and complimentary meals and suites. We offer high-roller gaming customers premium suites and special hotel services, and have a guest loyalty program that integrates all gaming, hotel, food, beverage and retail revenue generated by a particular guest and compares it against incurred expenses to determine the profitability of that guest. Our rewards system offers discounted and complimentary meals, lodging and entertainment for our guests. We also use our integrated database to target specific customers for promotions that might induce them to visit Wynn Las Vegas.</w:t>
      </w:r>
    </w:p>
    <w:p>
      <w:pPr>
        <w:spacing w:after="0" w:line="10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Mr. Wynn and our marketing team have developed a substantial network of long-standing international and domestic premium customers. Mr. Wynn’s reputation has attracted experienced, high-level international and domestic casino marketing executives to work for us. We have marketing executives located in local offices in Tokyo, Hong Kong, Macau, Singapore, Taiwan, Vancouver and southern California, as well as independent marketing representatives in major U.S. and foreign cities.</w:t>
      </w:r>
    </w:p>
    <w:p>
      <w:pPr>
        <w:spacing w:after="0" w:line="13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also create general market awareness for Wynn Las Vegas through various media channels, including television, radio, newspapers, magazines, the internet, direct mail and billboards.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 xml:space="preserve">Las Vegas Real Estate Assets. </w:t>
      </w:r>
      <w:r>
        <w:rPr>
          <w:rFonts w:ascii="Arial" w:cs="Arial" w:eastAsia="Arial" w:hAnsi="Arial"/>
          <w:sz w:val="16"/>
          <w:szCs w:val="16"/>
          <w:color w:val="auto"/>
        </w:rPr>
        <w:t>Wynn Las Vegas is located on approximately 55 acres on the famed Las Vegas Strip. Our property is located between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3.2 million square feet of convention space operated by the Las Vegas Convention and Visitors Authority and the Palazzo and Venetian Casino Resort and its approximately 1.8 million square foot Sands Expo Center; diagonally across from the Mirage and the Treasure Island Hotel and Casino; directly across from the Fashion Show Mall and Trump Towers; and across from Echelon and The Plaza, which are currently under development. Encore is being developed on 20 acres of land adjacent to Wynn Las Vegas. We also have an approximately 142-acre parcel of land behind Wynn Las Vegas, which is currently used as a golf course. In addition, we have approximately 5 acres adjacent to the golf course on which an office building is located and approximately 18 acres of land across Sands Avenue, a portion of which is improved with an employee parking garage.</w:t>
      </w:r>
    </w:p>
    <w:p>
      <w:pPr>
        <w:spacing w:after="0" w:line="10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are developing a long-range master plan for the 142-acre golf course. It is not expected that any construction on the golf course land would begin before 2009.</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Experienced Management Team. </w:t>
      </w:r>
      <w:r>
        <w:rPr>
          <w:rFonts w:ascii="Arial" w:cs="Arial" w:eastAsia="Arial" w:hAnsi="Arial"/>
          <w:sz w:val="18"/>
          <w:szCs w:val="18"/>
          <w:color w:val="auto"/>
        </w:rPr>
        <w:t>Mr. Wynn and his team bring significant experience in designing, developing and operating casino resorts. Mr. Wynn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members of the current Wynn Resorts’ senior management team were responsible for the design, development and operation of The Mirage, Treasure Island at The Mirage, and Bellagio. The senior executive team of Wynn Resorts has an average of approximately 25 years of experience in the hotel and gaming industries. We also have an approximately 120-person design, development and construction subsidiary, the senior management of which has significant experience in all major construction disciplines.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Las Vegas</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Las Vegas is the largest gaming market in the United States and is also one of the fastest growing leisure, lodging and entertainment markets in the United States. During the year ended December 31, 2007, the Las Vegas gaming and hotel markets continued their upward trends with, among other things, a 0.7% increase in visitation to 39.2 million visitors, a 2.3% increase in Las Vegas Strip gaming revenue and a 10.3% increase in average daily room rates, all as compared to the year ended December 31, 2006.</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ind w:right="2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Many properties on the Las Vegas Strip have opened over the past ten years, including the Bellagio, Mandalay Bay Resort &amp; Casino, Paris Las Vegas, Planet Hollywood Resort &amp; Casino (formerly known as the Aladdin), The Venetian and The Palazzo. In addition, a number of existing properties on the Las Vegas Strip embarked on expansions during this period, including Bellagio, Luxor Hotel and Casino, Mandalay Bay Resort &amp; Casino and Caesars Palace. As a result, the casino/hotel industry in Las Vegas is highly competitive. Wynn Las Vegas is located on the Las Vegas Strip and competes with these and other high-quality resorts and hotel casinos, those in downtown Las Vegas, as well as a large number of hotels in and near Las Vegas.</w:t>
      </w:r>
    </w:p>
    <w:p>
      <w:pPr>
        <w:spacing w:after="0" w:line="10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Many competing properties, such as the Bellagio, Caesars Palace, Luxor Hotel and Casino, Mandalay Bay Resort &amp; Casino, The Mirage, New York-New York Hotel and Casino, Paris Las Vegas, Treasure Island at The Mirage, The Venetian, The Palazzo and others, have themes and attractions which draw a significant number of visitors and directly compete with our operations. We seek to differentiate Wynn Las Vegas from other major Las Vegas resorts by concentrating on our fundamental elements of design, atmosphere, personal service and luxury.</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Wynn Las Vegas also competes, to some extent, with other hotel/casino facilities in Nevada and Atlantic City, riverboat gaming facilities in other states, casino facilities on Native American lands and elsewhere in the world, state lotteries and other forms of gaming. The continued proliferation of Native American gaming in California could have a negative impact on our operations. In particular, the legalization of casino gaming in or near metropolitan areas from which we attract customers, could have a negative effect on our business. In addition, new or renovated casinos in Macau or elsewhere in Asia could draw Asian gaming customers, including high-rollers, away from Las Vegas.</w:t>
      </w:r>
    </w:p>
    <w:p>
      <w:pPr>
        <w:spacing w:after="0" w:line="129"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color w:val="auto"/>
        </w:rPr>
        <w:t>In addition to the existing casinos with which Wynn Las Vegas currently competes, several new multi-billion dollar resorts are expected to open on or near the Las Vegas Strip before 2011. The major projects, which have either been announced or are currently under construction include but are not limited to:</w:t>
      </w:r>
    </w:p>
    <w:p>
      <w:pPr>
        <w:spacing w:after="0" w:line="1"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Echelon Place</w:t>
      </w:r>
      <w:r>
        <w:rPr>
          <w:rFonts w:ascii="Arial" w:cs="Arial" w:eastAsia="Arial" w:hAnsi="Arial"/>
          <w:sz w:val="18"/>
          <w:szCs w:val="18"/>
          <w:color w:val="auto"/>
        </w:rPr>
        <w:t>—A development by Boyd Gaming located north of Wynn Las Vegas on the Strip.</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City Center</w:t>
      </w:r>
      <w:r>
        <w:rPr>
          <w:rFonts w:ascii="Arial" w:cs="Arial" w:eastAsia="Arial" w:hAnsi="Arial"/>
          <w:sz w:val="18"/>
          <w:szCs w:val="18"/>
          <w:color w:val="auto"/>
        </w:rPr>
        <w:t>—A development by the MGM Mirage Dubai World 50/50 joint venture located south of Wynn Las Vegas on the Strip.</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Fontainebleau Las Vegas</w:t>
      </w:r>
      <w:r>
        <w:rPr>
          <w:rFonts w:ascii="Arial" w:cs="Arial" w:eastAsia="Arial" w:hAnsi="Arial"/>
          <w:sz w:val="18"/>
          <w:szCs w:val="18"/>
          <w:color w:val="auto"/>
        </w:rPr>
        <w:t>—A development by Fontainebleau Resorts located north of Wynn Las Vegas on the Strip.</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Plaza, Las Vegas</w:t>
      </w:r>
      <w:r>
        <w:rPr>
          <w:rFonts w:ascii="Arial" w:cs="Arial" w:eastAsia="Arial" w:hAnsi="Arial"/>
          <w:sz w:val="18"/>
          <w:szCs w:val="18"/>
          <w:color w:val="auto"/>
        </w:rPr>
        <w:t>—A development by the Elad Group located across the street from Wynn Las Vegas on the Strip.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or any other property we may own and operate in the future, we would, to the extent permitted by law, seek to recover our investment by selling the property affected, but we cannot assure you that we would recover its full value.</w:t>
      </w:r>
    </w:p>
    <w:p>
      <w:pPr>
        <w:spacing w:after="0" w:line="10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Wynn Las Vegas’ operations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5" w:name="page6"/>
    <w:bookmarkEnd w:id="5"/>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These public policy concerns include, among other things:</w:t>
      </w:r>
    </w:p>
    <w:p>
      <w:pPr>
        <w:spacing w:after="0" w:line="37"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103" w:lineRule="exact"/>
        <w:rPr>
          <w:rFonts w:ascii="Arial" w:cs="Arial" w:eastAsia="Arial" w:hAnsi="Arial"/>
          <w:sz w:val="18"/>
          <w:szCs w:val="18"/>
          <w:color w:val="auto"/>
        </w:rPr>
      </w:pPr>
    </w:p>
    <w:p>
      <w:pPr>
        <w:ind w:left="780" w:right="280" w:hanging="326"/>
        <w:spacing w:after="0" w:line="325"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Wynn Las Vegas’ gaming operations and our financial condition and results of operations.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has been approved by the Nevada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Authorities as a limited liability company licensee, referred to as a company licensee, which includes approval to conduct casino gaming operations, including a race book and sports pool and pari-mutuel wagering. These gaming licenses are not transferable. We cannot be certain that Wynn Las Vegas, LLC will be able to maintain all approvals and licenses from the Nevada Gaming Authorities.</w:t>
      </w:r>
    </w:p>
    <w:p>
      <w:pPr>
        <w:spacing w:after="0" w:line="9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Resorts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(“Wynn Resorts Holdings”), a wholly owned 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 Las Vegas, LLC and to be registered by the Nevada Gaming Commission as an intermediary company. In addition to being licensed, Wynn Las Vegas, LLC, as an issuer of debt securities that were registered with the SEC, also qualified as a registered company. Wynn Las Vegas Capital Corp., a co-issuer of the debt securities, was not required to be registered or licensed, but may be required to be found suitable as a lender or financing source.</w:t>
      </w:r>
    </w:p>
    <w:p>
      <w:pPr>
        <w:spacing w:after="0" w:line="10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3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decides that we have violated the Nevada Gaming Control Act or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Securities Holders. </w:t>
      </w:r>
      <w:r>
        <w:rPr>
          <w:rFonts w:ascii="Arial" w:cs="Arial" w:eastAsia="Arial" w:hAnsi="Arial"/>
          <w:sz w:val="16"/>
          <w:szCs w:val="16"/>
          <w:color w:val="auto"/>
        </w:rPr>
        <w:t>Regardless of the number of shares held, any beneficial owner of a registered company’s voting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required to file an application, be investigated and have that person’s suitability as a beneficial owner of voting securities determined if the Nevada Gaming Commission has reason to believe that the ownership would otherwise be inconsistent with the declared policies of the State of Nevada. If the beneficial owner of the 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 of a registered company’s voting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30"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jc w:val="both"/>
        <w:ind w:left="460" w:right="2620" w:hanging="6"/>
        <w:spacing w:after="0" w:line="526" w:lineRule="auto"/>
        <w:tabs>
          <w:tab w:leader="none" w:pos="773" w:val="left"/>
        </w:tabs>
        <w:numPr>
          <w:ilvl w:val="0"/>
          <w:numId w:val="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activities that the Nevada Gaming Commission may determine to be consistent with such investment intent. The articles of incorporation of Wynn Resorts include provisions intended to help it implement the above restrictions.</w:t>
      </w: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24"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2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0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22, 2007, the Nevada Gaming Commission granted us prior approval to make public offerings for a period of two years, subject to certain conditions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8" w:name="page9"/>
    <w:bookmarkEnd w:id="8"/>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Approval of Changes in Control. </w:t>
      </w:r>
      <w:r>
        <w:rPr>
          <w:rFonts w:ascii="Arial" w:cs="Arial" w:eastAsia="Arial" w:hAnsi="Arial"/>
          <w:sz w:val="18"/>
          <w:szCs w:val="18"/>
          <w:color w:val="auto"/>
        </w:rPr>
        <w:t>A registered company must obtain prior approval of the Nevada Gaming Commission with respect to a change in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merger; consolidation; stock or asset acquisitions; management or consulting agreements; or any act or conduct by a person by which the person obtains control of the registered company.</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and corporate defense tactics affecting Nevada gaming licenses or affecting registered companies that are affiliated with the operations of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18"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4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or is under common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26"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left="780" w:right="300" w:hanging="326"/>
        <w:spacing w:after="0" w:line="347"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26" w:lineRule="exact"/>
        <w:rPr>
          <w:rFonts w:ascii="Arial" w:cs="Arial" w:eastAsia="Arial" w:hAnsi="Arial"/>
          <w:sz w:val="16"/>
          <w:szCs w:val="16"/>
          <w:color w:val="auto"/>
        </w:rPr>
      </w:pPr>
    </w:p>
    <w:p>
      <w:pPr>
        <w:ind w:left="780" w:right="2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licenses for such purposes. In addition to approving Wynn Las Vegas,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expect that our business will be unusually impacted by seasonality.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Wynn Las Vegas had a total of approximately 9,300 employees.</w:t>
      </w:r>
    </w:p>
    <w:p>
      <w:pPr>
        <w:spacing w:after="0" w:line="15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During 2006, we entered into a collective bargaining agreement with the Culinary and Bartenders Union local covering approximately 4,500 of our employees. In May 2007, the dealers at Wynn Las Vegas elected the Transportation Workers Union to represent them. We are currently negotiating a contract. Certain other unions may seek to organize the workers at Wynn Las Vegas. Unionization, pressure to unionize or other forms of collective bargaining could increase our labor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most important marks are our trademarks and service marks that use the name “WYNN”. Holdings has filed applications with the U.S. Patent and Trademark Office (“PTO”) and various foreign patent and trademark registries, to register a variety of the WYNN-related trademarks and service marks in connection with a variety of goods and services. These marks include “WYNN LAS VEGAS”, “ENCORE” and “WYNN DIAMOND”. Some of the applications are based upon ongoing use and others are based upon a bona fide intent to use the marks in the future.</w:t>
      </w:r>
    </w:p>
    <w:p>
      <w:pPr>
        <w:spacing w:after="0" w:line="9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 common element of these marks is the use of the surname, “WYNN.” As a general rule, a surname (or a mark primarily constituting a surname) is not registerable unless the surname has acquired “secondary meaning.” To date, Holdings has been successful in demonstrating to the PTO such secondary meaning for the Wynn name in certain of the applications based upon Mr. Wynn’s prominence as a resort developer.</w:t>
      </w:r>
    </w:p>
    <w:p>
      <w:pPr>
        <w:spacing w:after="0" w:line="9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0" w:name="page11"/>
    <w:bookmarkEnd w:id="10"/>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LAS VEGAS”, “ENCORE”, and “WYNN DIAMOND”. Some of the applications are based upon ongoing use and others are based upon a bona fide intent to use the marks in the future.</w:t>
      </w:r>
    </w:p>
    <w:p>
      <w:pPr>
        <w:spacing w:after="0" w:line="12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August 6, 2004, Holdings entered into agreements with Mr. Wynn that confirm and clarify its rights to use the “Wynn” name and Mr. Wynn’s persona in connection with our casino resorts. Under a Surname Rights Agreement, Mr. Wynn has granted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Holdings the exclusive, royalty-free, worldwide right to use his full name, persona and related rights of publicity for casino resorts and related businesses, together with the ability to sublicense the persona and publicity rights to our affiliates, until October 24, 2017. Holdings has entered into sublicense agreements with us relating to our use of Mr. Wynn’s name and persona, as well as other intellectual property.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5" w:lineRule="exact"/>
        <w:rPr>
          <w:sz w:val="20"/>
          <w:szCs w:val="20"/>
          <w:color w:val="auto"/>
        </w:rPr>
      </w:pPr>
    </w:p>
    <w:p>
      <w:pPr>
        <w:ind w:left="780" w:right="4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one property and, later a limited number of properties, for all of our cash flow;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leverage and debt service (including sensitivity to fluctuations in interest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103"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20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Substantial Indebtedness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92"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We have a substantial amount of consolidated debt in relation to our equity. As of December 31, 2007, we had total outstanding debt of approximately $2 billion. Upon the satisfaction of certain conditions, we will be able to incur up to an additional $883.3 million under our credit facilities to fund the construction of Encore. In addition, our credit agreement and indenture permit us to incur additional indebtedness in connection with potential expansion plans under certain circumstances in the future. Our substantial indebtedness could have important consequences. For example:</w:t>
      </w:r>
    </w:p>
    <w:p>
      <w:pPr>
        <w:spacing w:after="0" w:line="18" w:lineRule="exact"/>
        <w:rPr>
          <w:sz w:val="20"/>
          <w:szCs w:val="20"/>
          <w:color w:val="auto"/>
        </w:rPr>
      </w:pPr>
    </w:p>
    <w:p>
      <w:pPr>
        <w:ind w:left="780" w:right="120" w:hanging="326"/>
        <w:spacing w:after="0" w:line="347" w:lineRule="auto"/>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020" w:hanging="215"/>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103" w:lineRule="exact"/>
        <w:rPr>
          <w:rFonts w:ascii="Arial" w:cs="Arial" w:eastAsia="Arial" w:hAnsi="Arial"/>
          <w:sz w:val="18"/>
          <w:szCs w:val="18"/>
          <w:color w:val="auto"/>
        </w:rPr>
      </w:pPr>
    </w:p>
    <w:p>
      <w:pPr>
        <w:ind w:left="1020" w:hanging="215"/>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initiate judicial foreclosure against us;</w:t>
      </w:r>
    </w:p>
    <w:p>
      <w:pPr>
        <w:spacing w:after="0" w:line="103" w:lineRule="exact"/>
        <w:rPr>
          <w:rFonts w:ascii="Arial" w:cs="Arial" w:eastAsia="Arial" w:hAnsi="Arial"/>
          <w:sz w:val="18"/>
          <w:szCs w:val="18"/>
          <w:color w:val="auto"/>
        </w:rPr>
      </w:pPr>
    </w:p>
    <w:p>
      <w:pPr>
        <w:ind w:left="1020" w:hanging="215"/>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 and,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2" w:name="page13"/>
    <w:bookmarkEnd w:id="12"/>
    <w:p>
      <w:pPr>
        <w:ind w:left="78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required to use a substantial portion of our cash flow from the Wynn Las Vegas operations to service and amortize our Wynn Las Vegas indebtedness and to pay construction costs of Encore, which will reduce the available cash flow to fund working capital, other capital expenditures and other general corporate purposes;</w:t>
      </w:r>
    </w:p>
    <w:p>
      <w:pPr>
        <w:spacing w:after="0" w:line="45"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construction costs of Encore, satisfy working capital requirements, or pay for other capital expenditures, debt service or other obligations;</w:t>
      </w:r>
    </w:p>
    <w:p>
      <w:pPr>
        <w:spacing w:after="0" w:line="37"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our credit facilities, rates with respect to a portion of the interest we pay will fluctuate with market rates and, accordingly, our interest expense will increase if market interest rates increase.</w:t>
      </w:r>
    </w:p>
    <w:p>
      <w:pPr>
        <w:spacing w:after="0" w:line="37"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our credit facilities and first mortgage notes.</w:t>
      </w:r>
    </w:p>
    <w:p>
      <w:pPr>
        <w:spacing w:after="0" w:line="12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Under the terms of the documents governing our debt facilities, we will be permitted to incur additional indebtedness, including secured senior and subordinated indebtedness. If we incur additional indebtedness, the risks described above will be exacerbated.</w:t>
      </w:r>
    </w:p>
    <w:p>
      <w:pPr>
        <w:spacing w:after="0" w:line="118"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The agreements governing our debt facilities contain covenants that restrict our ability to engage in certain transactions and may impair our ability to respond to changing business and economic conditions.</w:t>
      </w:r>
    </w:p>
    <w:p>
      <w:pPr>
        <w:spacing w:after="0" w:line="3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agreements governing our debt facilities contain covenants that restrict our ability to engage in certain transactions and may impair our ability to respond to changing business and economic conditions. The debt facilities impose operating and financial restrictions on us and our restricted subsidiaries, including, among other things, limitations on the ability to:</w:t>
      </w:r>
    </w:p>
    <w:p>
      <w:pPr>
        <w:spacing w:after="0" w:line="4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debt facilities require us to satisfy various financial covenants, which include minimum interest coverage and total debt to earnings before interest, tax, depreciation and amortization. Future indebtedness or other contracts could contain financial or other covenants more restrictive than those applicable to the existing debt facilities.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3" w:name="page14"/>
    <w:bookmarkEnd w:id="13"/>
    <w:p>
      <w:pPr>
        <w:jc w:val="both"/>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ability to comply with these provisions may be affected by general economic conditions, industry conditions, and other events beyond our control. As a result, we may not be able to comply with these covenants. Our failure to comply with the covenants contained in the debt facilities, including failure as a result of events beyond our control, could result in an event of default, which could materially and adversely affect our operating results and our financial condition.</w:t>
      </w:r>
    </w:p>
    <w:p>
      <w:pPr>
        <w:spacing w:after="0" w:line="9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downturn in general economic conditions may adversely affect our results of operations.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business operations are affected by international, national and local economic conditions. A recession or downturn in the general economy, or in a region constituting a significant source of customers for our property, could result in fewer customers visiting, or customers spending less at our properties, which would adversely affect our revenues.</w:t>
      </w:r>
    </w:p>
    <w:p>
      <w:pPr>
        <w:spacing w:after="0" w:line="127" w:lineRule="exact"/>
        <w:rPr>
          <w:sz w:val="20"/>
          <w:szCs w:val="20"/>
          <w:color w:val="auto"/>
        </w:rPr>
      </w:pPr>
    </w:p>
    <w:p>
      <w:pPr>
        <w:ind w:left="240" w:right="600"/>
        <w:spacing w:after="0" w:line="268" w:lineRule="auto"/>
        <w:rPr>
          <w:sz w:val="20"/>
          <w:szCs w:val="20"/>
          <w:color w:val="auto"/>
        </w:rPr>
      </w:pPr>
      <w:r>
        <w:rPr>
          <w:rFonts w:ascii="Arial" w:cs="Arial" w:eastAsia="Arial" w:hAnsi="Arial"/>
          <w:sz w:val="18"/>
          <w:szCs w:val="18"/>
          <w:b w:val="1"/>
          <w:bCs w:val="1"/>
          <w:i w:val="1"/>
          <w:iCs w:val="1"/>
          <w:color w:val="auto"/>
        </w:rPr>
        <w:t>We are entirely dependent on one property for all of our cash flow, which subjects us to greater risks than a gaming company with more operating properties.</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(opening in December 2008). We are entirely dependent upon Wynn Las Vegas for all of our cash flow. As a result, we are subject to a greater degree of risk than a gaming company with more operating properties. The risks to which we have a greater degree of exposure include the following:</w:t>
      </w:r>
    </w:p>
    <w:p>
      <w:pPr>
        <w:spacing w:after="0" w:line="46"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the cost of utilities for Wynn Las Vegas as a result of, among other things, power shortages in California or other western states with which Nevada shares a single regional power grid or a shortage of natural resources such as water;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factors outlined above could negatively affect our ability to generate sufficient cash flow to make payments with respect to our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opening of Encore may not decrease our exposure to these risks.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4" w:name="page15"/>
    <w:bookmarkEnd w:id="1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casino, hotel, convention and other facilities face intense competition.</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casino/hotel industry is highly competitive and additional developments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also competes with a large number of other hotels located in and near Las Vegas, as well as other resort destinations. Some of our competitors have established gaming operations, are subsidiaries or divisions of large public companies, and may have greater financial and other resources than we do.</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Wynn Las Vegas also competes, to some extent, with other hotel/casino facilities in Nevada and in Atlantic City, New Jersey, riverboat gaming facilities in other states, casino facilities on Native American lands and elsewhere in the world, state lotteries, and other forms of gaming. The proliferation of gaming activities in other areas could significantly harm our business as well. The impact on our business from the legalization of gaming activities in other metropolitan areas is unclear at this time. In addition, new or renovated casinos in Macau or elsewhere in Asia could draw Asian gaming customers, including high-rollers, away from Wynn Las Vegas.</w:t>
      </w:r>
    </w:p>
    <w:p>
      <w:pPr>
        <w:spacing w:after="0" w:line="129"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3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 significant portion of our table game revenue at Wynn Las Vegas is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by and revenue generated from these customers.</w:t>
      </w:r>
    </w:p>
    <w:p>
      <w:pPr>
        <w:spacing w:after="0" w:line="9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3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12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34"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3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operation of Wynn Las Vegas is contingent upon maintaining all regulatory licenses, permits, approvals, registrations, findings of suitability, orders and authorizations. The laws, regulations and ordinances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and opened Wynn Las Vegas on April 28, 2005; however, we are subject to ongoing regulation to maintain its operation.</w:t>
      </w:r>
    </w:p>
    <w:p>
      <w:pPr>
        <w:spacing w:after="0" w:line="9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2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Simultaneous expansion of Wynn Macau and construction of Encore may stretch management time and resources and may impact Wynn Las Vegas.</w:t>
      </w:r>
    </w:p>
    <w:p>
      <w:pPr>
        <w:spacing w:after="0" w:line="1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affiliate, Wynn Resorts (Macau), S.A., has commenced construction of its Wynn Diamond Suites expansion which includes an additional hotel tower and related amenities and is currently expected to open in 2010. Development and construction efforts for Encore continue. Since there is overlap of the development and construction of this project with the construction of Encore, members of Wynn Resorts’ senior management are simultaneously involved in planning and developing both of these projects. Expanding Wynn Macau simultaneously with the development and construction of Encore may divert management resources from the construction and/or completion of Encore. Management’s inability to devote sufficient time and attention to Encore may delay its construction or opening. Any delay caused by such circumstances could have a negative effect on our business and operations.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although we intend to construct Encore with minimal impact on Wynn Las Vegas, the construction may disrupt the operations of Wynn Las Vegas and it may not be implemented as planned. Therefore, the construction of Encore may adversely impact the business, operations and revenues of Wynn Las Vegas.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Terrorism and the uncertainty of military conflicts, as well as other factors affecting discretionary consumer spending, may harm our operating results.</w:t>
      </w:r>
    </w:p>
    <w:p>
      <w:pPr>
        <w:spacing w:after="0" w:line="11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The strength and profitability of our business depends on consumer demand for hotel casino resorts in general and for the type of luxury amenities Wynn Las Vegas offers. Changes in consumer preferences or discretionary consumer spending could harm our business. The terrorist attacks of September 11, 2001, other terrorist activities in the United States and elsewhere, military conflicts in Iraq and in the Middle East, past outbreaks of infectious disease, and tsunamis have had negative impacts on travel and leisure expenditures, including lodging, gaming and tourism. We cannot predict the extent to which similar events and conditions may continue to affect us, directly or indirectly, in the future. An extended period of reduced discretionary spending and/or disruptions or declines in airline travel and business conventions could significantly harm our operations. In particular, because our business will rely heavily upon high-end customers, particularly international customers, factors resulting in a decreased propensity to travel internationally could have a negative impact on our operations.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6" w:name="page17"/>
    <w:bookmarkEnd w:id="16"/>
    <w:p>
      <w:pPr>
        <w:jc w:val="both"/>
        <w:ind w:right="320"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terrorist activities, military conflicts, the outbreak of infectious diseases such as the avian flu or the impact of a natural disaster such as a tsunami or typhoon, other factors affecting travel and discretionary consumer spending, including general economic conditions, disposable consumer income, fears of recession and reduced consumer confidence in the economy, may negatively impact our business. Negative changes in factors affecting discretionary spending could reduce customer demand for the products and services we offer, thus imposing practical limits on pricing and harming our operations.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00"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Wynn Las Vegas for up to $800 million of losses that could result from these acts. However, these types of acts could expose us to losses that exceed our coverage and could have a significant negative impact on our operations.</w:t>
      </w:r>
    </w:p>
    <w:p>
      <w:pPr>
        <w:spacing w:after="0" w:line="7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insurance premiums have increased on available coverage,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02" w:lineRule="exact"/>
        <w:rPr>
          <w:sz w:val="20"/>
          <w:szCs w:val="20"/>
          <w:color w:val="auto"/>
        </w:rPr>
      </w:pPr>
    </w:p>
    <w:p>
      <w:pPr>
        <w:ind w:left="240" w:right="78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Wynn Holdings’ ownership of, or right to use, the Wynn-related service marks, our business or results of operations could be harmed.</w:t>
      </w:r>
    </w:p>
    <w:p>
      <w:pPr>
        <w:spacing w:after="0" w:line="3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services from Wynn Holdings. Wynn Holdings has filed applications with the United States Patent and Trademark Office (“PTO”), to register a variety of WYNN-related trademarks and service marks in connection with a variety of goods and services. These marks include “WYNN LAS VEGAS,” “WYNN DIAMOND,” and “ENCORE.” Some of the applications are based upon ongoing use and others are based upon a bona fide intent to use the marks in the future.</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cannot be registered unless the surname has acquired “secondary meaning.” To date, Wynn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Even if Wynn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LAS VEGAS,” “WYNN DIAMOND,” and “ENCORE.” Some of the applications are based upon ongoing use and others are based upon a bona fide intent to use the marks in the future.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ind w:right="1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0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ability to maintain our competitive position is dependent to a large degree on the efforts and skills of Stephen A. Wynn, the Chairman of the Board, Chief Executive Officer and one of the principal stockholders of Wynn Resorts. In 2004, Wynn Resorts extended the term of Mr. Wynn’s employment agreement until October 2017. However, we cannot assure you that Mr. Wynn will remain with Wynn Resorts. If Wynn Resorts loses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first mortgage notes and would constitute an event of default under our credit facilities.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0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ultimate parent company is Wynn Resorts. Mr. Wynn and Aruze USA, Inc., a company controlled by one of our directors, each own approximately 21% of Wynn Resorts’ currently outstanding common stock. As a result, Mr. Wynn and Aruze USA, Inc., to the extent they vote their shares in a similar manner, may be able to control all matters requiring our stockholders’ approval, including the approval of significant corporate transactions.</w:t>
      </w:r>
    </w:p>
    <w:p>
      <w:pPr>
        <w:spacing w:after="0" w:line="93" w:lineRule="exact"/>
        <w:rPr>
          <w:sz w:val="20"/>
          <w:szCs w:val="20"/>
          <w:color w:val="auto"/>
        </w:rPr>
      </w:pPr>
    </w:p>
    <w:p>
      <w:pPr>
        <w:ind w:right="80" w:firstLine="456"/>
        <w:spacing w:after="0" w:line="275" w:lineRule="auto"/>
        <w:rPr>
          <w:sz w:val="20"/>
          <w:szCs w:val="20"/>
          <w:color w:val="auto"/>
        </w:rPr>
      </w:pPr>
      <w:r>
        <w:rPr>
          <w:rFonts w:ascii="Arial" w:cs="Arial" w:eastAsia="Arial" w:hAnsi="Arial"/>
          <w:sz w:val="16"/>
          <w:szCs w:val="16"/>
          <w:color w:val="auto"/>
        </w:rPr>
        <w:t>On November 13,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w:t>
      </w:r>
    </w:p>
    <w:p>
      <w:pPr>
        <w:spacing w:after="0" w:line="2"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color w:val="auto"/>
        </w:rPr>
        <w:t>unless the articles of incorporation or bylaws of the corporation in effect on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18" w:name="page19"/>
    <w:bookmarkEnd w:id="18"/>
    <w:p>
      <w:pPr>
        <w:ind w:right="8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Mr. Wynn and Aruze USA, Inc., together with Baron Asset Fund, have entered into a stockholders’ agreement. Under the stockholders’ agreement, Mr.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Wynn Resorts’ board of directors. In addition, in November 2006, this agreement was amended to require the written consent of both Mr. Wynn and Aruze USA, Inc. prior to either party selling or transferring any shares of Wynn Resorts that it owns.</w:t>
      </w:r>
    </w:p>
    <w:p>
      <w:pPr>
        <w:spacing w:after="0" w:line="131" w:lineRule="exact"/>
        <w:rPr>
          <w:sz w:val="20"/>
          <w:szCs w:val="20"/>
          <w:color w:val="auto"/>
        </w:rPr>
      </w:pPr>
    </w:p>
    <w:p>
      <w:pPr>
        <w:ind w:left="240" w:right="80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to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2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the Construction and Development of Encore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The construction and development costs of Encore are estimates only, and actual construction and development costs may be higher than expected.</w:t>
      </w:r>
    </w:p>
    <w:p>
      <w:pPr>
        <w:spacing w:after="0" w:line="11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While we believe that the estimated construction and development costs for Encore are reasonable, these construction and development costs are estimates and the actual costs may be higher than expected. Although we will have certain owners’ contingencies to cover cost overruns, these contingencies may not be sufficient to cover the full amount of such overruns. If these contingencies are not sufficient to cover these costs, we may not have the funds required to pay the excess costs and would be dependent upon Wynn Resorts, which is not a guarantor of debt, to contribute additional capital to achieve final completion of the project. Wynn Resorts has no operations except for those of its subsidiaries, which are not obligated to satisfy any obligations or liabilities of Wynn Resorts.</w:t>
      </w:r>
    </w:p>
    <w:p>
      <w:pPr>
        <w:spacing w:after="0" w:line="105" w:lineRule="exact"/>
        <w:rPr>
          <w:sz w:val="20"/>
          <w:szCs w:val="20"/>
          <w:color w:val="auto"/>
        </w:rPr>
      </w:pPr>
    </w:p>
    <w:p>
      <w:pPr>
        <w:ind w:left="240" w:right="200"/>
        <w:spacing w:after="0" w:line="347" w:lineRule="auto"/>
        <w:rPr>
          <w:sz w:val="20"/>
          <w:szCs w:val="20"/>
          <w:color w:val="auto"/>
        </w:rPr>
      </w:pPr>
      <w:r>
        <w:rPr>
          <w:rFonts w:ascii="Arial" w:cs="Arial" w:eastAsia="Arial" w:hAnsi="Arial"/>
          <w:sz w:val="15"/>
          <w:szCs w:val="15"/>
          <w:b w:val="1"/>
          <w:bCs w:val="1"/>
          <w:i w:val="1"/>
          <w:iCs w:val="1"/>
          <w:color w:val="auto"/>
        </w:rPr>
        <w:t>We intend to fund a substantial portion of the construction and development costs of Encore and our substantial debt service and other obligations with cash flows generated by Wynn Las Vegas, which may not be sufficient to fund such construction and development costs and debt service obligations.</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ability to make interest payments under our credit facilities, the first mortgage notes and any other indebtedness, and to fund a substantial portion of the construction and development costs of Encore, is dependent on our ability to generate sufficient cash flow from our operations at Wynn Las Vegas. We cannot assure you that Wynn Las Vegas will continue to be able to generate sufficient cash flow to make the interest payments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9" w:name="page20"/>
    <w:bookmarkEnd w:id="1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our credit facilities, the first mortgage notes and any other indebtedness, and fund other costs (including the construction and development of Encore). Our ability to generate cash flow depends on many factors, including:</w:t>
      </w:r>
    </w:p>
    <w:p>
      <w:pPr>
        <w:spacing w:after="0" w:line="37"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operating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hotel/casino industry in particular;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Some of these factors are beyond our control. Any inability to generate sufficient cash flows to meet our debt service and other obligations (including the construction and development of Encore) would have a material adverse effect on our operating results and financial condition.</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There are significant risks associated with major construction projects that may prevent completion of Encore on schedule and within budget.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Encore entail significant risks, including:</w:t>
      </w:r>
    </w:p>
    <w:p>
      <w:pPr>
        <w:spacing w:after="0" w:line="77"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85"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Encore.</w:t>
      </w:r>
    </w:p>
    <w:p>
      <w:pPr>
        <w:spacing w:after="0" w:line="7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anticipate that only some of the subcontractors engaged for Encore will post bonds guaranteeing timely completion of a subcontractor’s work and payment for all of that subcontractor’s labor and materials. We cannot assure you that these bonds will be adequate to ensure completion of the work.</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Encore may not commence operations on schedule and construction costs for the project may exceed budgeted amounts. Failure to complete Encore on schedule or within budget could result in a default under our credit facilities and may have a significant negative effect on us and on our ability to make payments on our debt, including the first mortgage notes.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conditions precedent to the funding of the remaining components of the financing for Encore.</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2007, we had approximately $883.3 million available under our credit facilities, which we intend to use to fund construction of Encore. We expect to use the availability under our credit facilities, the remaining proceeds from a debt issuance we completed in November 2007, and cash flow from operations to fund the remaining construction costs of Encore.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0" w:name="page21"/>
    <w:bookmarkEnd w:id="20"/>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entered into an amended and restated disbursement agreement with the agent under our credit facilities which establishes conditions for the disbursement of funds for Encore.</w:t>
      </w:r>
    </w:p>
    <w:p>
      <w:pPr>
        <w:spacing w:after="0" w:line="11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cannot assure you that we will be able to satisfy the conditions to funding at the time drawdowns are required to make payments of our construction costs. Satisfaction of various conditions is subject to the discretion of the disbursement agent and the lenders under our credit facilities and/or their consultants and agent and may therefore be beyond our control. Failure to satisfy the conditions to the drawdowns under our credit facilities could impact our ability to construct Encore. We may not have access to alternative sources of funds necessary to construct Encore on satisfactory terms or at all.</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own approximately 240 acres of land on or near the Las Vegas Strip. This consists of approximately 55 acres at the northeast corner of the intersection of Las Vegas Boulevard and Sands Avenue, an additional parcel of approximately 20 acres fronting Las Vegas Boulevard next to the Wynn Las Vegas site on which we are constructing Encore,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own approximately 934 acre-feet of permitted domestic and recreation water rights, which we currently use to irrigate the golf course. We also own approximately 52 acre-feet of permitted (and some certificated) quasi-municipal water rights, which are used to supply the water for the Wynn Las Vegas lake/mountain feature. There are significant cost savings and conservation benefits associated with using water supplied pursuant to our water rights. We anticipate using our water rights to support future development of the golf course land.</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to a vote of our security holder during the fourth quarter of 2007.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77" w:lineRule="exact"/>
        <w:rPr>
          <w:sz w:val="20"/>
          <w:szCs w:val="20"/>
          <w:color w:val="auto"/>
        </w:rPr>
      </w:pPr>
    </w:p>
    <w:p>
      <w:pPr>
        <w:ind w:right="2320" w:firstLine="56"/>
        <w:spacing w:after="0" w:line="33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no established trading market for our membership interests. We do not intend to list the membership interests on any national securities exchange or seek the admission thereof to trading in the National Association of Securities Dealers Automated Quotation System. We do not intend to make a market in the membership interests, nor are we obligated to do so.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Holdings owns all of the membership interests in the Company as of the date of this filing.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never declared or paid cash distributions on our membership interests. We currently intend to retain all available funds and any future consolidated earnings to fund the development and growth of our business and therefore do not anticipate paying any cash distributions.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Restrictions imposed by our debt instruments significantly restrict us from making dividends or distributions. Specifically, we are restricted under the indenture governing the first mortgage notes from making certain “restricted payments” as defined in the indenture. These restricted payments include the payment of distributions to any direct or indirect holders of our membership interests. These restricted payments cannot be made unless certain financial and non-financial criteria have been satisfied. In addition, the terms of our other loan agreements contain similar restrictions.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Selected Financial Data</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reflects the selected consolidated financial data of Wynn Las Vegas, LLC and its subsidiaries. This data should be read together with our consolidated financial statements and notes thereto, “Item 7. Management’s Discussion and Analysis of Financial Condition and Results of Operations” and the other information contained in this Annual Report on Form 10-K.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11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118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r>
      <w:tr>
        <w:trPr>
          <w:trHeight w:val="95"/>
        </w:trPr>
        <w:tc>
          <w:tcPr>
            <w:tcW w:w="11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Net revenues [1]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1,295,851</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$1,139,348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722,292</w:t>
            </w:r>
          </w:p>
        </w:tc>
        <w:tc>
          <w:tcPr>
            <w:tcW w:w="4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200,621</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116,456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13,056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(46,431)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(18,981)</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9,808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(45,274)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(160,502)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(7,180)</w:t>
            </w:r>
          </w:p>
        </w:tc>
      </w:tr>
      <w:tr>
        <w:trPr>
          <w:trHeight w:val="378"/>
        </w:trPr>
        <w:tc>
          <w:tcPr>
            <w:tcW w:w="11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11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118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r>
      <w:tr>
        <w:trPr>
          <w:trHeight w:val="95"/>
        </w:trPr>
        <w:tc>
          <w:tcPr>
            <w:tcW w:w="11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146,521</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   93,820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87,777</w:t>
            </w:r>
          </w:p>
        </w:tc>
        <w:tc>
          <w:tcPr>
            <w:tcW w:w="4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25,691</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18,234</w:t>
            </w:r>
          </w:p>
        </w:tc>
        <w:tc>
          <w:tcPr>
            <w:tcW w:w="6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investments [2]</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197,517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394,757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356,141</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865,130</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214,574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30,996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1,448,529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565,230</w:t>
            </w:r>
          </w:p>
        </w:tc>
        <w:tc>
          <w:tcPr>
            <w:tcW w:w="6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3,647,256</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3,119,888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3,195,828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2,788,302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1,209,183</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Total long-term obligations [3]</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2,035,653</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1,683,906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1,763,995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1,356,593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927,327</w:t>
            </w:r>
          </w:p>
        </w:tc>
        <w:tc>
          <w:tcPr>
            <w:tcW w:w="6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1,375,020</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1,242,770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1,224,829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1,276,868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60" w:type="dxa"/>
            <w:vAlign w:val="bottom"/>
            <w:shd w:val="clear" w:color="auto" w:fill="CCEEFF"/>
          </w:tcPr>
          <w:p>
            <w:pPr>
              <w:spacing w:after="0"/>
              <w:rPr>
                <w:sz w:val="18"/>
                <w:szCs w:val="18"/>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Wynn Las Vegas opened on April 28, 2005.</w:t>
      </w:r>
    </w:p>
    <w:p>
      <w:pPr>
        <w:spacing w:after="0" w:line="15"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Restricted cash and investments primarily reflect the proceeds of our debt and equity financings that are restricted for the construction of Encore and prior to December 31, 2005, for Wynn Las Vegas.</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current portion of long-term debt and long-term amounts due to affiliates.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In addition, on April 28, 2006, we commenced construction of “Encore Suites at Wynn Las Vegas” or “Encore”, a hotel casino resort which when completed will be fully integrated with Wynn Las Vegas. Until the opening of Wynn Las Vegas in 2005, we were solely a development stage company.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utilizes approximately 18 additional acres across Sands Avenue, a portion of which is improved with an employee parking garage and approximately 5 acres adjacent to our golf course on which an office building is located.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believe Wynn Las Vegas is the preeminent destination casino resort on the Strip in Las Vegas. Wynn Las Vegas currently features:</w:t>
      </w:r>
    </w:p>
    <w:p>
      <w:pPr>
        <w:spacing w:after="0" w:line="77" w:lineRule="exact"/>
        <w:rPr>
          <w:sz w:val="20"/>
          <w:szCs w:val="20"/>
          <w:color w:val="auto"/>
        </w:rPr>
      </w:pPr>
    </w:p>
    <w:p>
      <w:pPr>
        <w:ind w:left="780" w:right="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103"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22 food and beverage outlets featuring signature chefs, including the AAA Five Diamond, Mobil Five Star and Michelin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03"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Two showrooms, two nightclubs and a lounge.</w:t>
      </w:r>
    </w:p>
    <w:p>
      <w:pPr>
        <w:spacing w:after="0" w:line="1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The Tower Suites at Wynn Las Vegas is the only casino resort in the world that holds both the Mobil five star and AAA five diamond distinctions. In addition, Wynn Las Vegas was recognized in November 2007 by Michelin, the esteemed European restaurant rating system. Two Michelin stars were awarded to </w:t>
      </w:r>
      <w:r>
        <w:rPr>
          <w:rFonts w:ascii="Arial" w:cs="Arial" w:eastAsia="Arial" w:hAnsi="Arial"/>
          <w:sz w:val="18"/>
          <w:szCs w:val="18"/>
          <w:i w:val="1"/>
          <w:iCs w:val="1"/>
          <w:color w:val="auto"/>
        </w:rPr>
        <w:t xml:space="preserve">Alex </w:t>
      </w:r>
      <w:r>
        <w:rPr>
          <w:rFonts w:ascii="Arial" w:cs="Arial" w:eastAsia="Arial" w:hAnsi="Arial"/>
          <w:sz w:val="18"/>
          <w:szCs w:val="18"/>
          <w:color w:val="auto"/>
        </w:rPr>
        <w:t>and one Michelin star was awarded to each of Wing Lei and Daniel Boulud Brasserie. Additionally, Wynn Las Vegas received five red pavilions, the highest</w:t>
      </w:r>
      <w:r>
        <w:rPr>
          <w:rFonts w:ascii="Arial" w:cs="Arial" w:eastAsia="Arial" w:hAnsi="Arial"/>
          <w:sz w:val="18"/>
          <w:szCs w:val="18"/>
          <w:i w:val="1"/>
          <w:iCs w:val="1"/>
          <w:color w:val="auto"/>
        </w:rPr>
        <w:t xml:space="preserve"> </w:t>
      </w:r>
      <w:r>
        <w:rPr>
          <w:rFonts w:ascii="Arial" w:cs="Arial" w:eastAsia="Arial" w:hAnsi="Arial"/>
          <w:sz w:val="18"/>
          <w:szCs w:val="18"/>
          <w:color w:val="auto"/>
        </w:rPr>
        <w:t>for Michelin rated accommodations.</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response to our evaluation of the completed Wynn Las Vegas project and the reactions of our guests, we began to make enhancements and refinements to Wynn Las Vegas in the third quarter of 2005 which continued throughout 2007. During the year ended December 31, 2006, we remodeled the six North Fairway Villas, several areas of the retail promenade, a portion of the baccarat area to feature a casino bar and improved public baccarat space along with private baccarat salons and converted the Keno lounge to a retail outlet for womens’ accessories. During the year ended December 31, 2007, projects included remodeling the Le Rêve Theater to enhance the customer experience, two retail outlet conversions and the conversion of </w:t>
      </w:r>
      <w:r>
        <w:rPr>
          <w:rFonts w:ascii="Arial" w:cs="Arial" w:eastAsia="Arial" w:hAnsi="Arial"/>
          <w:sz w:val="16"/>
          <w:szCs w:val="16"/>
          <w:i w:val="1"/>
          <w:iCs w:val="1"/>
          <w:color w:val="auto"/>
        </w:rPr>
        <w:t>Lure</w:t>
      </w:r>
      <w:r>
        <w:rPr>
          <w:rFonts w:ascii="Arial" w:cs="Arial" w:eastAsia="Arial" w:hAnsi="Arial"/>
          <w:sz w:val="16"/>
          <w:szCs w:val="16"/>
          <w:color w:val="auto"/>
        </w:rPr>
        <w:t xml:space="preserve"> to the nightclub </w:t>
      </w:r>
      <w:r>
        <w:rPr>
          <w:rFonts w:ascii="Arial" w:cs="Arial" w:eastAsia="Arial" w:hAnsi="Arial"/>
          <w:sz w:val="16"/>
          <w:szCs w:val="16"/>
          <w:i w:val="1"/>
          <w:iCs w:val="1"/>
          <w:color w:val="auto"/>
        </w:rPr>
        <w:t>Blush</w:t>
      </w:r>
      <w:r>
        <w:rPr>
          <w:rFonts w:ascii="Arial" w:cs="Arial" w:eastAsia="Arial" w:hAnsi="Arial"/>
          <w:sz w:val="16"/>
          <w:szCs w:val="16"/>
          <w:color w:val="auto"/>
        </w:rPr>
        <w:t>.</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December 2008.</w:t>
      </w:r>
    </w:p>
    <w:p>
      <w:pPr>
        <w:spacing w:after="0" w:line="13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which opened in March 2007. The project budget will be funded from our existing credit facilities, remaining proceeds from a $400 million debt issuance completed in November 2007 and operating cash flow from Wynn Las Vegas. To the extent additional funds are required, we will provide these amounts with additional debt and equity contributions by Wynn Resorts or additional indebtedness to be incurred by Wynn Las Vegas.</w:t>
      </w:r>
    </w:p>
    <w:p>
      <w:pPr>
        <w:spacing w:after="0" w:line="13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February 27, 2007, we entered into a Design Build Architectural, Engineering and Construction Services Agreement (the “Contract”) with Tutor-Saliba Corporation (“Tutor”) for the design and construction of Encore.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Contract sets forth all of the terms and conditions pursuant to which Tutor will design and construct Encore. In June 2007, the Company and Tutor executed the first amendment to the Contract which set the guaranteed maximum price (“GMP”) for work under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Wynn Las Vegas. We currently rely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 We opened Wynn Las Vegas on April 28, 2005. Accordingly, our results of operations for the years ended December 31, 2007 and 2006 include full periods for Wynn Las Vegas, however, the year ended December 31, 2005 contains only 248 days of operations.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recorded net income for the year ended December 31, 2007 of $124.2 million, which represents a $114.4 million increase from the $9.8 million recorded during the year ended December 31, 2006. This increase is due to significant increases in revenues and operating income primarily related to our casino operations as identified below.</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discussions of our operational performance for the periods in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70"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2007 compared to financial results for the year ended December 31, 2006.</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revenues for the year ended December 31, 2007 were comprised of $642.3 million in net casino revenues (49.6% of total net revenues) and $653.5 million of net non-casino revenues (50.4% of total net revenues). Net revenues for the year ended December 31, 2006 were comprised of $535.6 million in net casino revenues (47% of total net revenues) and $603.8 million of net non-casino revenues (53% of total net revenues). We believe the quality of our resorts’ non-casino amenities, combined with providing guests an unparalleled total resort experience, has driven a premium in our ADR and other non-gaming revenues as well as increased the length of casino play.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 w:name="page26"/>
    <w:bookmarkEnd w:id="25"/>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Casino revenues are comprised of the net win from our table games and slot machine operations. Casino revenues for the year ended December 31, 2007 of approximately $642.3 million represents an increase of approximately $106.8 million (or 19.9%) from casino revenues of $535.6 million for the year ended December 31, 2006. The increase in casino revenues is primarily driven by Wynn Las Vegas’ success in the high-end gaming market. For the year ended December 31, 2007, we experienced a 14.6% increase in drop and our average table games win percentage (before discounts) of 25.3% was above the expected range of 21% to 24%. During the year ended December 31, 2006, our average table game win percentage (before discounts) was 22.1%. Slot handle at Wynn Las Vegas increased slightly during the year ended December 31, 2007 as compared to 2006, and our slot win percentage for the years ended December 31, 2007 and 2006 was within the expected range of 4.5% and 5.5%.</w:t>
      </w:r>
    </w:p>
    <w:p>
      <w:pPr>
        <w:spacing w:after="0" w:line="10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For the year ended December 31, 2007, room revenues were approximately $285.7 million, which represents a $17.5 million (or 6.5%) increase over the $268.2 million generated for the year ended December 31, 2006. The increase is primarily driven by increased occupancy and rates as noted in the table of key operating measures below.</w:t>
      </w:r>
    </w:p>
    <w:p>
      <w:pPr>
        <w:spacing w:after="0" w:line="122"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60325</wp:posOffset>
            </wp:positionV>
            <wp:extent cx="1115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2007</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Occupancy</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96.0%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Other non-casino revenues for the year ended December 31, 2007 included food and beverage revenues of approximately $311 million, retail revenues of approximately $94.8 million, entertainment revenues of approximately $64.5 million, and other revenues from outlets, including the spa and salon, of approximately $50.2 million. Other non-casino revenues for the year ended December 31, 2006 included food and beverage revenues of approximately $295.2 million, retail revenues of approximately $79.3 million, entertainment revenues of approximately $66.3 million, and other revenues from outlets, including the spa and salon, of approximately $49 million.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During the year ended December 31, 2007, departmental expenses included casino expenses of $276.5 million, rooms expenses of $75.8 million, food and beverage expenses of $192.5 million, and entertainment, retail and other expenses of $145.5 million. Also included are general and administrative expenses of approximately $199.8 million and approximately $21.1 million charged as a provision for doubtful accounts receivable. During the year ended December 31, 2006, departmental expenses included casino expenses of $250.4 million, room expenses of $71.2 million, food and beverage expenses of $185.4 million, and entertainment, retail and other expenses of $129.9 million. Also included are general and administrative expenses of approximately $180.7 million and approximately $20.7 million charged as a provision for doubtful accounts receivable. The increase of Wynn Las Vegas expenses is commensurate with the increase in revenues.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7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$19.5 million for the year ended December 31, 2007 compared to $17.1 million for the prior year as a result of increased revenues.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Pre-opening costs</w:t>
      </w:r>
    </w:p>
    <w:p>
      <w:pPr>
        <w:spacing w:after="0" w:line="7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Pre-opening costs for the year ended December 31, 2007 of $6.5 million increased by $4.4 million compared to the $2 million incurred during the year ended December 31, 2006. Pre-opening costs for the year ended December 31, 2007 were incurred with the opening of “Monty Python’s Spamalot” and the development of Encore. As the development and construction of Encore progresses in 2008, we expect associated pre-opening costs to increase as opening approaches in December 2008, but not to the same level as we experienced with the opening of Wynn Las Vegas on April 28, 2005.</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Depreciation and amortization expense for the year ended December 31, 2007 of $152.8 million increased by $5.2 million compared to the $147.6 million incurred in the year ended December 31, 2006, primarily due to the addition of a new employee parking garage and the amortization of additional show production costs.</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construction of Wynn Las Vegas and Encore,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When Encore opens and these assets are placed into service in December 2008, we will begin recognizing the associated depreciation expense thereon. Depreciation expense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February 2006, we agreed with the producers of “Avenue Q” to end Avenue Q’s exclusive Las Vegas run at Wynn Las Vegas’ Broadway Theater at the end of May 2006. To terminate the contract, we paid a termination fee of $5 million. This fee was recorded in the first quarter of 2006. We have remodeled the Broadway Theater and adjacent areas to accommodate performances of “Monty Python’s Spamalot” which opened in the first quarter of 2007.</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2007 of $6 million decreased by $8.4 million compared to the $14.4 million incurred for the year ended December 31, 2006.</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response to our evaluation of the completed Wynn Las Vegas project and the reactions of our guests, we continue to make enhancements and refinements to Wynn Las Vegas. Costs relating to assets retired as a result of these enhancement and remodel efforts have been expensed as property charges. During the year ended December 31, 2007, asset abandonments were recorded related to the remodel and enhancements made to the Le Rêve Theater, the abandonment of a marquee sign, two retail outlet conversions and the conversion of </w:t>
      </w:r>
      <w:r>
        <w:rPr>
          <w:rFonts w:ascii="Arial" w:cs="Arial" w:eastAsia="Arial" w:hAnsi="Arial"/>
          <w:sz w:val="16"/>
          <w:szCs w:val="16"/>
          <w:i w:val="1"/>
          <w:iCs w:val="1"/>
          <w:color w:val="auto"/>
        </w:rPr>
        <w:t>Lure</w:t>
      </w:r>
      <w:r>
        <w:rPr>
          <w:rFonts w:ascii="Arial" w:cs="Arial" w:eastAsia="Arial" w:hAnsi="Arial"/>
          <w:sz w:val="16"/>
          <w:szCs w:val="16"/>
          <w:color w:val="auto"/>
        </w:rPr>
        <w:t xml:space="preserve"> to the nightclub </w:t>
      </w:r>
      <w:r>
        <w:rPr>
          <w:rFonts w:ascii="Arial" w:cs="Arial" w:eastAsia="Arial" w:hAnsi="Arial"/>
          <w:sz w:val="16"/>
          <w:szCs w:val="16"/>
          <w:i w:val="1"/>
          <w:iCs w:val="1"/>
          <w:color w:val="auto"/>
        </w:rPr>
        <w:t>Blush</w:t>
      </w:r>
      <w:r>
        <w:rPr>
          <w:rFonts w:ascii="Arial" w:cs="Arial" w:eastAsia="Arial" w:hAnsi="Arial"/>
          <w:sz w:val="16"/>
          <w:szCs w:val="16"/>
          <w:color w:val="auto"/>
        </w:rPr>
        <w:t>. During the year ended December 31, 2006, we remodeled the six North Fairway Villas, several areas of the retail promenade, a portion of the baccarat area to feature a casino bar and improved public baccarat space along with private baccarat salons and converted the Keno lounge to a retail outlet for womens’ accessories.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Interest income was $14.2 million for the year ended December 31, 2007, a decrease of $8.6 million compared to $22.8 million for the year ended December 31, 2006. This decrease is primarily due to reduced interest income earned on restricted cash balances during the year ended December 31, 2007 compared to 2006 as our restricted cash was used to fund costs related to the development and construction of Encore.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p>
      <w:pPr>
        <w:jc w:val="both"/>
        <w:ind w:right="1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expense, net of capitalized interest of $33.6 million, was $86.1 million for the year ended December 31, 2007 compared to $117.8 million, net of capitalized interest of $7.7 million, for the year ended December 31, 2006. This decrease is due to lower average debt balances under the credit facilities during the year, lower interest rates as a result of the August 2006 bank refinancing and increased capitalized interest of $25.9 million due to the continued construction of Encore, offset by approximately $4 million of additional interest expense related to the $400 million of debt issued in November 2007. Interest capitalization will increase in future periods as Encore construction progresses.</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interest rate swap is accounted for in accordance with SFAS No. 133, “Accounting for Derivative Instruments and Hedging Activity”, as amended. The fair value of our interest rate swap is recorded as either an asset or liability with changes in the fair value of the interest rate swap recorded as an increase (decrease) in swap fair value. We recorded a decrease in swap fair value of approximately $4.4 million for the year ended December 31, 2007 and an increase in swap fair value of approximately $871,000 for the year ended December 31, 2006 resulting from a decrease in the fair value of our interest rate swap from December 31, 2006 to December 31, 2007 and an increase in the fair value of our interest rate swap from December 31, 2005 to December 31, 2006 (December 31, 2005 to August 15, 2006 in the case of the terminated swap), respectively. We began 2006 with two $200 million notional amount interest rate swaps. On August 15, 2006, concurrent with the refinancing of our Credit Facilities (see “Liquidity and Capital Resources—Financing Activity”), we terminated one of our two previously existing interest rate swaps. For further information on our interest rate swaps, see Part II-Item 7A. “Quantitative and Qualitative Disclosures about Market Risk.”</w:t>
      </w:r>
    </w:p>
    <w:p>
      <w:pPr>
        <w:spacing w:after="0" w:line="10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Loss from extinguishment of debt for the year ended December 31, 2007 was $157,000. In March 2007, World Travel, LLC, a subsidiary of Wynn Las Vegas, LLC, refinanced a $44.75 million note payable. The new loan had an original principal balance of $42 million and is due April 1, 2017. In connection with this transaction, we incurred a net loss from extinguishment of debt of $157,000 related to the write-off of unamortized debt issue costs associated with the original loan during the year ended December 31, 2007. Loss from extinguishment of debt totaled $12.5 million for the year ended December 31, 2006. On August 15, 2006 we refinanced our credit facilities as discussed in further detail below (see “Liquidity and Capital Resources—Financing Activities”). In accordance with EITF Issue 96-19, we recorded a loss from extinguishment of debt for the year ended December 31, 2006 of approximately $10.8 million to reflect the write-off of the previous term loan’s unamortized deferred financing costs and the payment of certain third-party bank fees incurred during the refinancing. On November 1, 2006, we redeemed the remaining approximate $10.1 million of our 12% Second Mortgage Notes due 2010 (the “Second Mortgage Notes”) and incurred a $1.7 million redemption premium which is also included as loss from extinguishment of debt.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2006 compared to financial results for the year ended December 31, 2005.</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results of operations for the year ended December 31, 2006 include a full period of operations for Wynn Las Vegas and only 248 days of Wynn Las Vegas operations for the year ended December 31, 2005.</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revenues for the year ended December 31, 2006 were comprised of $535.6 million in casino revenues (47% of total net revenues) and $603.8 million of net non-casino revenues (53% of total net revenues). Net revenues for the 248 days of operations for the year ended December 31, 2005 were comprised of $353.7 million in net casino revenues (49% of total net revenues) and $368.6 million of net non-casino revenues (51% of total net revenues). We believe the quality of our resorts’ non-casino amenities, combined with providing guests an unparalleled total resort experience, has driven a premium in our ADR and other non-gaming revenues.</w:t>
      </w:r>
    </w:p>
    <w:p>
      <w:pPr>
        <w:spacing w:after="0" w:line="12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Casino revenues for the year ended December 31, 2006 of approximately $535.6 million represents an approximately $181.9 million (or 51.4%) increase from the casino revenues of $353.7 million for the 248 days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operations for the year ended December 30, 2005. The increase in casino revenues was primarily driven by Wynn Las Vegas being open for all of 2006 as opposed to only 248 days in 2005. For the year ended December 31, 2006, our average table games win percentage (before discounts) of 22.1% was within the expected range of 21% to 24%. During the year ended December 31, 2005, our average table game win percentage (before discounts) was 21.5%. Our slot win percentage for the years ended December 31, 2006 and 2005 was within the expected range of 4.5% and 5.5%.</w:t>
      </w:r>
    </w:p>
    <w:p>
      <w:pPr>
        <w:spacing w:after="0" w:line="99"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For the year ended December 31, 2006, room revenues were approximately $268.2 million, which represents a $97.9 million (or 57.5%) increase over the $170.3 million generated in the 248 days of operations for the year ended December 31, 2005. The increase is primarily driven by Wynn Las Vegas being open for the full year as opposed to 248 days of operations in 2005, as well as increased occupancy and rates as noted in the table of key operating measures below.</w:t>
      </w:r>
    </w:p>
    <w:p>
      <w:pPr>
        <w:spacing w:after="0" w:line="70"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60325</wp:posOffset>
            </wp:positionV>
            <wp:extent cx="11150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Occupancy</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94.4%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Other non-casino revenues for the year ended December 31, 2006 included food and beverage revenues of approximately $295.2 million, retail revenues of approximately $79.3 million, entertainment revenues of approximately $66.3 million, and other revenues from outlets, including the spa and salon, of approximately $49 million. Other non-casino revenues for the 248 days of operations for the year ended December 31, 2005 included food and beverage revenues of approximately $173.7 million, retail revenues of approximately $51.2 million, entertainment revenues of approximately $41.8 million, and other revenues from outlets, including the spa and salon, of approximately $ 32.5 million. Food and beverage revenues in 2006 benefited significantly from increased revenues from the nightclub located in Wynn Las Vegas as compared to the 2005 food and beverage revenues.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During the year ended December 31, 2006, departmental expenses included casino expenses of $250.4 million, rooms expenses of $71.2 million, food and beverage expenses of $185.4 million, and entertainment, retail and other expenses of $129.9 million. Also included are general and administrative expenses of approximately $180.7 million and approximately $20.7 million charged as a provision for doubtful accounts receivable. During the year ended December 31, 2005, departmental expenses included casino expenses of $155.1 million, room expenses of $44.2 million, food and beverage expenses of $118.7 million, and entertainment, retail and other expenses of $79.6 million. Also included are general and administrative expenses of approximately $109.2 million and approximately $16.3 million charged as a provision for doubtful accounts receivable. The increase in expenses is due primarily to a full period of Wynn Las Vegas operations in 2006 compared to 248 days of operations in 2005. Furthermore, the increase of Wynn Las Vegas expenses was commensurate with the increase in revenues.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on January 1, 2006, we adopted Statement of Accounting Standard (“SFAS”) No. 123R, Share Based Payments, using the modified prospective method. For the year ended December 31, 2006, we recorded $8.1 million of stock-based compensation expense which is included in the departmental expense of the employee recipient of the stock based award. Prior to January 1, 2006, we did not recognize expense for employee stock options that were granted at the market price. See our Consolidated Financial Statements Note 11 for more information.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9" w:name="page30"/>
    <w:bookmarkEnd w:id="29"/>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 fees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revenues. These fees will be paid upon meeting certain leverage ratios and satisfying certain other criteria set forth in our credit facilities. Management fees were $17.1 million for the year ended December 31, 2006 compared to $10.8 million for the prior year. This increase is primarily due to a full year of operations in 2006 compared to 248 days in 2005.</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Pre-opening costs for the year ended December 31, 2006 of $2 million decreased by $65.4 million compared to the $67.5 million incurred during the year ended December 31, 2005. Wynn Las Vegas no longer incurred pre-opening costs once the property opened on April 28, 2005; consequently, only the relatively small amount of pre-opening costs relating to Encore were incurred during the year ended December 31, 2006. There was a substantial increase in staffing immediately preceding the opening of Wynn Las Vegas, which is reflected in the pre-opening costs in 2005. As the development and construction of Encore progresses, we expect associated pre-opening costs to increase, but not to the same level as we experienced with Wynn Las Vegas.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Depreciation and amortization expense for the year ended December 31, 2006 of $147.6 million increased by $53.3 million compared to the $94.3 million incurred in the year ended December 31, 2005, primarily as a result of the longer operating period for the year ended December 31, 2006 compared to December 31, 2005.</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construction of Wynn Las Vegas,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February 2006, we agreed with the producers of “Avenue Q” to end Avenue Q’s exclusive Las Vegas run at Wynn Las Vegas’ Broadway Theater at the end of May 2006. To terminate the contract, we paid a termination fee of $5 million. This fee was recorded in the first quarter of 2006. We have remodeled the Broadway Theater and adjacent areas to accommodate performances of “Monty Python’s Spamalot”, which opened in the first quarter of 2007.</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2006 of $14.4 million increased by $0.2 million compared to the $14.2 million incurred for the year ended December 31, 2005.</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began to make enhancements and refinements to Wynn Las Vegas in the third quarter of 2005 which continued throughout 2006. The $14.4 million of costs relating to assets retired as a result of these enhancement and remodel efforts for the year ended December 31, 2006 have been expensed as property charges. During the year ended December 31, 2006, we remodeled the six North Fairway Villas, several areas of the retail promenade, a portion of the baccarat area to feature a casino bar and improved public baccarat space along with private baccarat salons and converted the Keno lounge to a retail outlet for womens’ accessories.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non-operating costs and expenses</w:t>
      </w:r>
    </w:p>
    <w:p>
      <w:pPr>
        <w:spacing w:after="0" w:line="7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Interest income was $22.8 million for the year ended December 31, 2006, an increase of $4.3 million compared to $18.5 million for the year ended December 31, 2005. In the third quarter of 2005, we loaned Wynn Resorts $80 million with interest at 7.5% per year, payable semi-annually. The loan was outstanding for the entire year of 2006 and three months in 2005. Accordingly, we earned approximately $3.7 million more interest income during 2006 on this receivable as compared to 2005. In addition, the decrease in our average cash balances during the year was offset by higher interest rates earned in 2006 compared to 2005.</w:t>
      </w:r>
    </w:p>
    <w:p>
      <w:pPr>
        <w:spacing w:after="0" w:line="12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Interest expense, net of capitalized interest of $7.7 million, was $117.8 million for the year ended December 31, 2006 compared to $86.7 million, net of capitalized interest of $36.8 million, for the year ended December 31, 2005. While interest expense, including capitalized interest, was relatively flat, capitalized interest decreased significantly once Wynn Las Vegas opened on April 28, 2005. For the first four months of the year ended December 31, 2005, virtually all interest incurred was capitalized. Interest capitalization will increase in future periods as Encore construction progresses.</w:t>
      </w:r>
    </w:p>
    <w:p>
      <w:pPr>
        <w:spacing w:after="0" w:line="99"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began 2006 with two $200 million notional amount interest rate swaps. On August 15, 2006, concurrent with the refinancing of our credit facilities (see “Liquidity and Capital Resources—Financing Activities”), we terminated one of our two previously existing interest rate swaps. The fair values of our interest rate swaps are recorded as either assets or liabilities. Changes in the fair value of these interest rate swaps are recorded as an increase (decrease) in swap fair value. We recorded an increase in swap fair value of approximately $871,000 for the year ended December 31, 2006 and an increase in swap fair value of approximately $9.9 million for the year ended December 31, 2005 resulting from the increases in the fair value of our interest rate swaps from December 31,</w:t>
      </w:r>
    </w:p>
    <w:p>
      <w:pPr>
        <w:spacing w:after="0" w:line="2"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2005 to December 31, 2006 (December 31, 2005 to August 15, 2006 in the case of the terminated swap) and from December 31, 2004 to December 31, 2005, respectively. For further information on our interest rate swaps, see Part II-Item 7A. “Quantitative and Qualitative Disclosures about Market Risk.”</w:t>
      </w:r>
    </w:p>
    <w:p>
      <w:pPr>
        <w:spacing w:after="0" w:line="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Loss from extinguishment of debt totaled $12.5 million for the year ended December 31, 2006. On August 15, 2006 we refinanced our credit facilities as discussed in further detail below (see “Liquidity and Capital Resources—Financing Activities”). In accordance with EITF Issue 96-19, we recorded a loss from extinguishment of debt for the year ended December 31, 2006 of approximately $10.8 million to reflect the write-off of the previous term loan’s unamortized deferred financing costs and the payment of certain third-party bank fees incurred during the refinancing. On November 1, 2006, we redeemed the remaining approximate $10.1 million of our Second Mortgage Notes and incurred a $1.7 million redemption premium which is also included as loss from extinguishment of debt.</w:t>
      </w:r>
    </w:p>
    <w:p>
      <w:pPr>
        <w:spacing w:after="0" w:line="125"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Liquidity and Capital Resources</w:t>
      </w:r>
    </w:p>
    <w:p>
      <w:pPr>
        <w:spacing w:after="0" w:line="106" w:lineRule="exact"/>
        <w:rPr>
          <w:sz w:val="20"/>
          <w:szCs w:val="20"/>
          <w:color w:val="auto"/>
        </w:rPr>
      </w:pPr>
    </w:p>
    <w:p>
      <w:pPr>
        <w:jc w:val="center"/>
        <w:ind w:right="8940"/>
        <w:spacing w:after="0"/>
        <w:rPr>
          <w:sz w:val="20"/>
          <w:szCs w:val="20"/>
          <w:color w:val="auto"/>
        </w:rPr>
      </w:pPr>
      <w:r>
        <w:rPr>
          <w:rFonts w:ascii="Arial" w:cs="Arial" w:eastAsia="Arial" w:hAnsi="Arial"/>
          <w:sz w:val="18"/>
          <w:szCs w:val="18"/>
          <w:i w:val="1"/>
          <w:iCs w:val="1"/>
          <w:color w:val="auto"/>
        </w:rPr>
        <w:t>Cash Flow from Operations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operating cash flows are primarily affected by the operating income generated by Wynn Las Vegas, interest paid, and non-cash charges included in operating income. Net cash provided by operations for the year ended December 31, 2007 was $315.7 million compared to $205.6 million provided by operations for the year ended December 31, 2006. This increase is due to the increase in operating income as a result of improved operational results especially in the casino department.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At December 31, 2007, we had approximately $146.5 million of cash and cash equivalents available for use without restriction, including for operations, new development activities, enhancements to Wynn Las Vegas, or to support the construction of Encore. We require a certain amount of cash on hand for operations. Excess funds are swept from accounts into overnight investments, to repay borrowings under our credit facilities or fund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development of Encore. In addition, we have $883.3 million available under our credit facilities as described under Financing Activities below.</w:t>
      </w:r>
    </w:p>
    <w:p>
      <w:pPr>
        <w:spacing w:after="0" w:line="15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At December 31, 2007, we had approximately $31.1 million of restricted cash and investments in the Encore completion guarantee account. Restricted investments are kept in money market funds or relatively short-term, government-backed, marketable debt securities as required by agreements governing our debt facilities.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Flows—Investing Activities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third quarter of 2005, we began to make certain enhancements and refinements to Wynn Las Vegas. As a result, we have incurred and will continue to incur capital expenditures relating to these enhancements and refinements. Under the terms of our credit facilities, we were permitted to make up to $172.2 million of capital expenditures in 2007 (including $47.2 million carried forward from 2006), of which we have expended approximately $60.1 million. For 2008, the limit under our credit facilities is $272.1 million, including $112.1 million carried forward from 2007. The spending limit will be increased to the extent funds are contributed to Wynn Las Vegas by Wynn Resorts.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28, 2006, we commenced construction on Encore. Design and construction is progressing as expected at Encore. We expect to open Encore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2008. Current construction activities in the various project sections include the following:</w:t>
      </w:r>
    </w:p>
    <w:p>
      <w:pPr>
        <w:spacing w:after="0" w:line="70"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concrete floor slabs and structural steel are complete for the hotel tower.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Exterior glass installation is 95% complete.</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furniture and equipment installation is complete up to the 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4"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low-rise casino concrete pours and the structural steel are complete.</w:t>
      </w:r>
    </w:p>
    <w:p>
      <w:pPr>
        <w:spacing w:after="0" w:line="89"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Drywall is 80% complete in the convention area and 20% complete at the casino level, spa level, and back of house.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Taxi and valet tunnels are 60% completed and exterior enclosure of the entire low rise is 80% complete.</w:t>
      </w:r>
    </w:p>
    <w:p>
      <w:pPr>
        <w:spacing w:after="0" w:line="1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The project budget is being funded from our existing credit facilities and remaining proceeds from a $400 million debt offering completed in November 2007, and operating cash flow from Wynn Las Vegas. To the extent additional funds are required, we will provide these amounts with additional debt and equity contributions by Wynn Resorts or additional indebtedness to be incurred by Wynn Las Vegas.</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we executed the First Amendment to the Contract which set the Guaranteed Maximum Price (“GMP”) for construction work covered by the Contract at $1.3 billion. In connection with the execution and delivery of the Contract, Tutor and the Ronald N. Tutor Separate Trust (the “Trust”) have entered into and consented to a Net Worth Agreement pursuant to which (x) the Trust agreed that it will retain its current majority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32" w:name="page33"/>
    <w:bookmarkEnd w:id="32"/>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holdings of Tutor and (y) the Trust and Tutor agreed that during the term of the Contract, Tutor will maintain (i) net worth of at least $100 million, and (ii) liquid assets of at least $50 million.</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2007, we had incurred approximately $998.7 million of project costs related to the development and construction of Encore and related capital improvements.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77" w:lineRule="exact"/>
        <w:rPr>
          <w:sz w:val="20"/>
          <w:szCs w:val="20"/>
          <w:color w:val="auto"/>
        </w:rPr>
      </w:pPr>
    </w:p>
    <w:p>
      <w:pPr>
        <w:ind w:left="780" w:right="4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 and the remaining proceeds of a $400 million debt offering we completed in November 2007;</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Second, by using the proceeds of borrowings under our credit facilities;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 by using the funds from the completion guarantee deposit account.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 Rêve Production Rights</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May 31, 2006, we entered into an agreement to acquire substantially all intellectual property rights related to “Le Rêve”, which were previously only licensed to us. We paid $15.9 million to acquire substantially all of the rights in and to “Le Rêve,” and to repay approximately $1.4 million of production costs, which were reimbursable to the executive producer of “Le Rêve”. The rights acquired enable us to produce, present, enhance, or alter the performance of “Le Rêve” after May 31, 2006.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77"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On August 15, 2006, we entered into an Amended and Restated Credit Agreement (the “Amended and Restated Credit Agreement”) which, among other things, (i) increased our borrowing capacity from $1 billion to $1.125 billion by increasing the revolving credit facility from $600 million to $900 million (the “Revolver”) and reducing the delayed draw term loan facility from $400 million to $225 million (the “Term Loan”) (together, the “Credit Facilities”); (ii) reduced the borrowing margins on London Interbank Offered Rate (“LIBOR”)-based Revolver and Term Loans to 1.625% and 1.875%, respectively; (iii) extended the maturity dates for the Revolver and the Term Loan to 2011 and 2013, respectively; and (iv) reduced the consolidated interest coverage ratio requirement for quarterly periods on or prior to December 31, 2007 to 2:1. The Amended and Restated Credit Agreement also: (i) reduced the range of the Revolver’s annual LIBOR borrowing margin after the opening of Encore from a range of 1.25% to 2.50% to a range of 1% to 1.75%, depending on our leverage ratio; and</w:t>
      </w:r>
    </w:p>
    <w:p>
      <w:pPr>
        <w:ind w:right="120" w:firstLine="8"/>
        <w:spacing w:after="0" w:line="255" w:lineRule="auto"/>
        <w:tabs>
          <w:tab w:leader="none" w:pos="2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simplified the procedures for and conditions to obtaining advances and reduced the reporting obligations under the Amended and Restated Credit Agreement upon the satisfaction of certain conditions, including fully utilizing all remaining proceeds from previously funded amounts under the First Mortgage Notes for payment of Encore project costs.</w:t>
      </w:r>
    </w:p>
    <w:p>
      <w:pPr>
        <w:spacing w:after="0" w:line="131"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As of December 31, 2007, there were no amounts outstanding under the Revolver. We do have $16.7 million of outstanding letters of credit that reduce our availability under the Revolver. Consequently, $883.3 million remains available under the Revolver for future borrowings for the construction of Encore or for other uses as necessary. For borrowings under the Revolver, we have elected, and expect to continue to elect, Eurodollar loans, which bear interest at the 1-month LIBOR rate and currently include a margin of 1.625% on the outstanding balance. After opening Encore, the margin will fluctuate between a range of 1% to</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3" w:name="page34"/>
    <w:bookmarkEnd w:id="33"/>
    <w:p>
      <w:pPr>
        <w:ind w:right="5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$900 million Revolver will terminate and be payable in full on August 15, 2011. The $225 million Term Loan matures in 2 installments: $112.5 million will be payable on September 30, 2012 and the remaining $112.5 million will be payable on August 15, 2013.</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Credit Facilities are obligations of Wynn Las Vegas, LLC and are guaranteed by and secured by substantially all of the assets (except our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9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April 2007, we amended our Credit Facilities to: (a) have the Final Completion as defined, be deemed satisfied for Wynn Las Vegas with the resulting release of (i) all amounts in excess of $30 million from the Completion Guaranty Deposit; ($24.6 million), and (ii) the balance of funds in the Project Liquidity Reserve Account ($32.8 million), (b) increase the permitted expenditures for Encore from $300 million to $500 million prior to the execution of a guaranteed maximum price contract, and (c) permit the issuance of up to $500 million of unsecured debt as and when permitted under the indenture governing the First Mortgage Notes.</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October 2007, we amended the Credit Facilities to (a) permit the issuance of up to $500 million of secured indebtedness, in lieu of the $500 million unsecured indebtedness in the April 2007 amendment, (b) remove certain language related to the inter-company loan made by Wynn Las Vegas to Wynn Resorts (Macau) S.A. and (c) amend certain provisions governing Wynn Las Vegas’ insurance related obligations. Also in October 2007, pursuant to the Credit Facilities, Wynn Las Vegas entered into a pre-agreed upon form of Amended and Restated Master Disbursement Agreement with Deutsche Bank Trust Company Americas as Bank Agent and Disbursement Agent.</w:t>
      </w:r>
    </w:p>
    <w:p>
      <w:pPr>
        <w:spacing w:after="0" w:line="156" w:lineRule="exact"/>
        <w:rPr>
          <w:sz w:val="20"/>
          <w:szCs w:val="20"/>
          <w:color w:val="auto"/>
        </w:rPr>
      </w:pPr>
    </w:p>
    <w:p>
      <w:pPr>
        <w:ind w:right="80" w:firstLine="456"/>
        <w:spacing w:after="0" w:line="243" w:lineRule="auto"/>
        <w:rPr>
          <w:sz w:val="20"/>
          <w:szCs w:val="20"/>
          <w:color w:val="auto"/>
        </w:rPr>
      </w:pPr>
      <w:r>
        <w:rPr>
          <w:rFonts w:ascii="Arial" w:cs="Arial" w:eastAsia="Arial" w:hAnsi="Arial"/>
          <w:sz w:val="17"/>
          <w:szCs w:val="17"/>
          <w:color w:val="auto"/>
        </w:rPr>
        <w:t xml:space="preserve">On November 6, 2007, we completed a private offering of $400 million aggregate principal amount of our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First Mortgage Notes due 2014 at a price of 97.25% of the principal amount. The notes were issued under the same indenture as the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First Mortgage Notes that we had previously issued. The notes rank pari passu with, and will vote on any matter submitted to noteholders with, the previously issued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First Mortgage Notes. The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6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notes have not been registered under the Securities Act of 1933 or under any state securities laws. Therefore, we may not offer or sell the notes within the United States to, or for the account or benefit of, any United States person unless the offer or sale would qualify for a registration exemption from the Securities Act and applicable state securities laws. We have agreed to make an offer to exchange the notes for registered, publicly traded notes that have substantially identical terms as the notes.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Airplane Note</w:t>
      </w:r>
    </w:p>
    <w:p>
      <w:pPr>
        <w:spacing w:after="0" w:line="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May 24, 2005, World Travel, LLC, a subsidiary of Wynn Las Vegas, LLC, borrowed an aggregate amount of $44.75 million under term loans, which was to terminate and be payable in full on March 31, 2010. The term loans were guaranteed by Wynn Las Vegas, LLC and secured by a first priority security interest in our aircraft. Principal and interest was payable quarterly, and interest was calculated at LIBOR plus a margin of 2.375%. In addition to scheduled amortization payments, the borrower was required to prepay the loans if certain events of loss with respect to the aircraft occur.</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our aircraft. Principal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4" w:name="page35"/>
    <w:bookmarkEnd w:id="3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are due quarterly with a balloon payment of $28 million due at maturity. Interest is calculated at 90-day LIBOR plus 125 basis points. In connection with this transaction, we incurred a loss from extinguishment of debt of $157,000 related to the write-off of unamortized debt issue costs associated with the original loan during the year ended December 31, 2007.</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December 31, 2007, we had outstanding letters of credit totaling $16.7 million.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2007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5"/>
              </w:rPr>
              <w:t>Payments Due By Period</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Less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Than 1</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1"/>
              </w:rPr>
              <w:t>1 to 3</w:t>
            </w:r>
          </w:p>
        </w:tc>
        <w:tc>
          <w:tcPr>
            <w:tcW w:w="340" w:type="dxa"/>
            <w:vAlign w:val="bottom"/>
          </w:tcPr>
          <w:p>
            <w:pPr>
              <w:spacing w:after="0"/>
              <w:rPr>
                <w:sz w:val="12"/>
                <w:szCs w:val="12"/>
                <w:color w:val="auto"/>
              </w:rPr>
            </w:pPr>
          </w:p>
        </w:tc>
        <w:tc>
          <w:tcPr>
            <w:tcW w:w="500" w:type="dxa"/>
            <w:vAlign w:val="bottom"/>
          </w:tcPr>
          <w:p>
            <w:pPr>
              <w:jc w:val="right"/>
              <w:ind w:right="26"/>
              <w:spacing w:after="0" w:line="149" w:lineRule="exact"/>
              <w:rPr>
                <w:sz w:val="20"/>
                <w:szCs w:val="20"/>
                <w:color w:val="auto"/>
              </w:rPr>
            </w:pPr>
            <w:r>
              <w:rPr>
                <w:rFonts w:ascii="Arial" w:cs="Arial" w:eastAsia="Arial" w:hAnsi="Arial"/>
                <w:sz w:val="14"/>
                <w:szCs w:val="14"/>
                <w:b w:val="1"/>
                <w:bCs w:val="1"/>
                <w:color w:val="auto"/>
              </w:rPr>
              <w:t>4 to 5</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After 5</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Year</w:t>
            </w:r>
          </w:p>
        </w:tc>
        <w:tc>
          <w:tcPr>
            <w:tcW w:w="80" w:type="dxa"/>
            <w:vAlign w:val="bottom"/>
          </w:tcPr>
          <w:p>
            <w:pPr>
              <w:spacing w:after="0"/>
              <w:rPr>
                <w:sz w:val="15"/>
                <w:szCs w:val="15"/>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4"/>
                <w:szCs w:val="14"/>
                <w:b w:val="1"/>
                <w:bCs w:val="1"/>
                <w:color w:val="auto"/>
                <w:w w:val="99"/>
              </w:rPr>
              <w:t>Years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$ 115.3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$1,846.8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$ 1,966.0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112.6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225.3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225.3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215.9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 [1]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542.6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183.2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commitments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740.0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515.7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$2,079.0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$ 3,712.2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-172720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-172720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-172720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-172720</wp:posOffset>
            </wp:positionV>
            <wp:extent cx="32131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-172720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-172720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-172720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-172720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-172720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-172720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62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2007.</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includes open purchase orders, aircraft purchase and other contracts.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 restricted payments may not be made until Encore has been completed and certain other financial and non-financial criteria have been satisfied. In addition, the Credit Facilities contain similar restrictions.</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completion of Encore is delayed, then our debt service obligations accruing prior to the actual opening will increase correspondingly. Wynn Las Vegas will fund its operations and capital requirements from operating cash flow and remaining availability under our Credit Facilities. We cannot be sure, however, that Wynn Las Vegas will generate sufficient cash flow from operations or that future borrowings available to us under the Credit Facilities will be sufficient to enable us to service and repay Wynn Las Vegas, LLC’s indebtedness and to fund its other liquidity needs. We cannot be sure that we will be able to refinance any of the indebtedness on acceptable terms or at all.</w:t>
      </w:r>
    </w:p>
    <w:p>
      <w:pPr>
        <w:spacing w:after="0" w:line="12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Las Vegas,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well as other domestic or international markets. There can be no assurances regarding the business prospects with respect to any other opportunity. Any other development would require us to obtain additional financing.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Wynn Las Vegas, significant start-up costs were incurred and charged to pre-opening expenses through the second quarter of 2005. Once Wynn Las Vegas opened, expenses associated with the opening of the resort were no longer charged as pre-opening expenses. However, start-up costs relating to Encore will continue to be charged to pre-opening expenses.</w:t>
      </w:r>
    </w:p>
    <w:p>
      <w:pPr>
        <w:spacing w:after="0" w:line="13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of the project, including design and construction and applicable portions of interest, are capitalized. Accordingly, the recorded amounts of property and equipment increase significantly during construction periods. Depreciation expense related to capitalized construction costs is recognized when the related assets are put in service. Upon opening of Wynn Las Vegas, we began recognizing depreciation expense on the resort’s fixed assets.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w:t>
      </w:r>
    </w:p>
    <w:p>
      <w:pPr>
        <w:spacing w:after="0" w:line="158"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SFAS No. 144, “Accounting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We then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substantial portion of our outstanding receivables relate to casino credit play. Credit play, through the issuance of markers, represents a significant portion of the table games volume at Wynn Las Vegas. We maintain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36" w:name="page37"/>
    <w:bookmarkEnd w:id="3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December 31, 2007 and 2006, approximately 53% and 55%, respectively, of our casino accounts receivable were owed by customers from foreign countries, primarily in Asia. The collectibility of markers given by foreign customers is affected by a number of factors including changes in currency exchange rates and economic conditions in the customers’ home countries.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740" w:type="dxa"/>
            <w:vAlign w:val="bottom"/>
            <w:gridSpan w:val="4"/>
          </w:tcPr>
          <w:p>
            <w:pPr>
              <w:ind w:left="148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161,913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133,985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6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50,142</w:t>
            </w:r>
          </w:p>
        </w:tc>
        <w:tc>
          <w:tcPr>
            <w:tcW w:w="46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34,683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increase in the allowance for doubtful accounts as a percentage of casino accounts receivable is due to a normal increase in casino accounts receivable over 180 days. While collection efforts remain active, it is our current policy to fully reserve all accounts over one year old.</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 We currently have one interest rate swap with changes in fair value being recorded in our Consolidated Statement of Operations.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80" w:right="299" w:bottom="1440" w:gutter="0" w:footer="0" w:header="0"/>
        </w:sectPr>
      </w:pPr>
    </w:p>
    <w:bookmarkStart w:id="37" w:name="page38"/>
    <w:bookmarkEnd w:id="37"/>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reviewing conditions relevant to us. In applying the modified prospective method, financial statements of prior periods presented do not reflect any adjusted amounts (i.e. prior periods do not include compensation cost calculated under the fair value method).</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March 2005, the SEC issued Staff Accounting Bulletin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Our adoption of SFAS No. 157 on January 1, 2008 will not have a material impact on the Company’s financial position, results of operations or cash flows.</w:t>
      </w:r>
    </w:p>
    <w:p>
      <w:pPr>
        <w:spacing w:after="0" w:line="8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Company is currently evaluating the impact that the adoption of SFAS No. 159 will have on its consolidated financial statements.</w:t>
      </w:r>
    </w:p>
    <w:p>
      <w:pPr>
        <w:spacing w:after="0" w:line="9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38" w:name="page39"/>
    <w:bookmarkEnd w:id="38"/>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“Item 7.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considered necessary. We cannot be sure that these risk management strategies will have the desired effect, and interest rate fluctuations could have a negative impact on our results of operations.</w:t>
      </w:r>
    </w:p>
    <w:p>
      <w:pPr>
        <w:spacing w:after="0" w:line="12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2007 on our expected long-term indebtedness. However, we cannot predict the LIBOR rate that will be in effect in the future. Accordingly, the one-month LIBOR rate at December 31, 2007 of 4.6% is used for all variable rate calculations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89"/>
              </w:rPr>
              <w:t>As of December 31,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59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59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22"/>
                <w:szCs w:val="22"/>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22"/>
                <w:szCs w:val="22"/>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22"/>
                <w:szCs w:val="2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95"/>
        </w:trPr>
        <w:tc>
          <w:tcPr>
            <w:tcW w:w="59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5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Fixed rate</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1,700.0</w:t>
            </w: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1,700.0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Variable rate</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$ 1.1</w:t>
            </w: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$ 1.4</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$ 1.4</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$ 1.4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$113.9</w:t>
            </w:r>
          </w:p>
        </w:tc>
        <w:tc>
          <w:tcPr>
            <w:tcW w:w="3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146.8</w:t>
            </w: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266.0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December 31, 2007, we have one interest rate swap arrangement to hedge the underlying interest rate risk on a total of $200 million of borrowings under the current Wynn Las Vegas, LLC Term Loan, which bears interest at LIBOR plus 1.875%. Under this interest rate swap arrangement, we receive payments at a variable rate of LIBOR and pay a fixed rate of 3.793% on $200 million notional amount expiring December 31, 2008. Although this interest rate swap is highly effective economically in fixing the interest rate on this borrowing under the new Term Loan at approximately 5.7%, changes in fair value of this interest rate swap for each reporting period are, and will continue to be, recorded as an increase (decrease) in swap fair value in our Consolidated Statement of Operations as the swap does not qualify for hedge accounting.</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Swap Fair Values</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December 31, 2007 and 2006, the Wynn Las Vegas, LLC interest rate swaps had an approximate asset fair value of $0.4 million, and $4.8 million, respectively. The fair value approximates the amount we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39" w:name="page40"/>
    <w:bookmarkEnd w:id="39"/>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Interest Rate Swap Information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our interest rate swap, by contractual maturity date, as of December 31, 2007 and using estimated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LIBOR rates based upon implied forward rates in the yield curve: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10"/>
          </w:tcPr>
          <w:p>
            <w:pPr>
              <w:jc w:val="center"/>
              <w:ind w:right="79"/>
              <w:spacing w:after="0"/>
              <w:rPr>
                <w:sz w:val="20"/>
                <w:szCs w:val="20"/>
                <w:color w:val="auto"/>
              </w:rPr>
            </w:pPr>
            <w:r>
              <w:rPr>
                <w:rFonts w:ascii="Arial" w:cs="Arial" w:eastAsia="Arial" w:hAnsi="Arial"/>
                <w:sz w:val="14"/>
                <w:szCs w:val="14"/>
                <w:b w:val="1"/>
                <w:bCs w:val="1"/>
                <w:color w:val="auto"/>
                <w:w w:val="84"/>
              </w:rPr>
              <w:t>Expected Averages as of December 31,</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43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4360" w:type="dxa"/>
            <w:vAlign w:val="bottom"/>
          </w:tcPr>
          <w:p>
            <w:pPr>
              <w:spacing w:after="0"/>
              <w:rPr>
                <w:sz w:val="22"/>
                <w:szCs w:val="22"/>
                <w:color w:val="auto"/>
              </w:rPr>
            </w:pPr>
          </w:p>
        </w:tc>
        <w:tc>
          <w:tcPr>
            <w:tcW w:w="2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22"/>
                <w:szCs w:val="22"/>
                <w:color w:val="auto"/>
              </w:rPr>
            </w:pPr>
          </w:p>
        </w:tc>
        <w:tc>
          <w:tcPr>
            <w:tcW w:w="480" w:type="dxa"/>
            <w:vAlign w:val="bottom"/>
            <w:gridSpan w:val="2"/>
          </w:tcPr>
          <w:p>
            <w:pPr>
              <w:jc w:val="center"/>
              <w:ind w:left="49"/>
              <w:spacing w:after="0"/>
              <w:rPr>
                <w:sz w:val="20"/>
                <w:szCs w:val="20"/>
                <w:color w:val="auto"/>
              </w:rPr>
            </w:pPr>
            <w:r>
              <w:rPr>
                <w:rFonts w:ascii="Arial" w:cs="Arial" w:eastAsia="Arial" w:hAnsi="Arial"/>
                <w:sz w:val="14"/>
                <w:szCs w:val="14"/>
                <w:b w:val="1"/>
                <w:bCs w:val="1"/>
                <w:color w:val="auto"/>
                <w:w w:val="83"/>
              </w:rPr>
              <w:t>2009</w:t>
            </w:r>
          </w:p>
        </w:tc>
        <w:tc>
          <w:tcPr>
            <w:tcW w:w="58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3"/>
              </w:rPr>
              <w:t>2010</w:t>
            </w:r>
          </w:p>
        </w:tc>
        <w:tc>
          <w:tcPr>
            <w:tcW w:w="58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20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95"/>
        </w:trPr>
        <w:tc>
          <w:tcPr>
            <w:tcW w:w="43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43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gridSpan w:val="4"/>
          </w:tcPr>
          <w:p>
            <w:pPr>
              <w:jc w:val="center"/>
              <w:ind w:left="12"/>
              <w:spacing w:after="0"/>
              <w:rPr>
                <w:sz w:val="20"/>
                <w:szCs w:val="20"/>
                <w:color w:val="auto"/>
              </w:rPr>
            </w:pPr>
            <w:r>
              <w:rPr>
                <w:rFonts w:ascii="Arial" w:cs="Arial" w:eastAsia="Arial" w:hAnsi="Arial"/>
                <w:sz w:val="14"/>
                <w:szCs w:val="14"/>
                <w:b w:val="1"/>
                <w:bCs w:val="1"/>
                <w:color w:val="auto"/>
                <w:w w:val="89"/>
              </w:rPr>
              <w:t>(in millions)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3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$ 200</w:t>
            </w:r>
          </w:p>
        </w:tc>
        <w:tc>
          <w:tcPr>
            <w:tcW w:w="3060" w:type="dxa"/>
            <w:vAlign w:val="bottom"/>
            <w:gridSpan w:val="11"/>
            <w:shd w:val="clear" w:color="auto" w:fill="CCEEFF"/>
          </w:tcPr>
          <w:p>
            <w:pPr>
              <w:jc w:val="right"/>
              <w:ind w:right="19"/>
              <w:spacing w:after="0"/>
              <w:rPr>
                <w:sz w:val="20"/>
                <w:szCs w:val="20"/>
                <w:color w:val="auto"/>
              </w:rPr>
            </w:pPr>
            <w:r>
              <w:rPr>
                <w:rFonts w:ascii="Arial" w:cs="Arial" w:eastAsia="Arial" w:hAnsi="Arial"/>
                <w:sz w:val="18"/>
                <w:szCs w:val="18"/>
                <w:color w:val="auto"/>
              </w:rPr>
              <w:t>$—$—$—$—$   —</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$ 200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Average pay rate</w:t>
            </w:r>
          </w:p>
        </w:tc>
        <w:tc>
          <w:tcPr>
            <w:tcW w:w="3240" w:type="dxa"/>
            <w:vAlign w:val="bottom"/>
            <w:gridSpan w:val="3"/>
          </w:tcPr>
          <w:p>
            <w:pPr>
              <w:jc w:val="right"/>
              <w:ind w:right="12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6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3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r>
    </w:tbl>
    <w:p>
      <w:pPr>
        <w:spacing w:after="0" w:line="140" w:lineRule="exact"/>
        <w:rPr>
          <w:sz w:val="20"/>
          <w:szCs w:val="20"/>
          <w:color w:val="auto"/>
        </w:rPr>
      </w:pPr>
    </w:p>
    <w:p>
      <w:pPr>
        <w:ind w:left="240" w:right="560" w:firstLine="228"/>
        <w:spacing w:after="0" w:line="375" w:lineRule="auto"/>
        <w:rPr>
          <w:sz w:val="20"/>
          <w:szCs w:val="20"/>
          <w:color w:val="auto"/>
        </w:rPr>
      </w:pPr>
      <w:r>
        <w:rPr>
          <w:rFonts w:ascii="Arial" w:cs="Arial" w:eastAsia="Arial" w:hAnsi="Arial"/>
          <w:sz w:val="18"/>
          <w:szCs w:val="18"/>
          <w:color w:val="auto"/>
        </w:rPr>
        <w:t xml:space="preserve">We do not use derivative financial instruments, other financial instruments or derivative commodity instruments for trading or speculative purposes. </w:t>
      </w:r>
      <w:r>
        <w:rPr>
          <w:rFonts w:ascii="Arial" w:cs="Arial" w:eastAsia="Arial" w:hAnsi="Arial"/>
          <w:sz w:val="18"/>
          <w:szCs w:val="18"/>
          <w:i w:val="1"/>
          <w:iCs w:val="1"/>
          <w:color w:val="auto"/>
        </w:rPr>
        <w:t>Interest Rate Sensitivity</w:t>
      </w:r>
    </w:p>
    <w:p>
      <w:pPr>
        <w:spacing w:after="0" w:line="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2007, approximately 97% of our long-term debt was based on fixed rates, including $200 million of the Term Loan subject to the interest rate swap. Based on our borrowings as of December 31, 2007, an assumed 1% change in variable rates would cause our annual interest cost to change by $0.7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 Financial Statements and Supplementary Data</w:t>
      </w:r>
    </w:p>
    <w:p>
      <w:pPr>
        <w:spacing w:after="0" w:line="15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2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41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Report of Independent Registered Public Accounting Firm</w:t>
              </w:r>
            </w:hyperlink>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41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Report of Independent Registered Public Accounting Firm</w:t>
              </w:r>
            </w:hyperlink>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64"/>
        </w:trPr>
        <w:tc>
          <w:tcPr>
            <w:tcW w:w="4120" w:type="dxa"/>
            <w:vAlign w:val="bottom"/>
            <w:gridSpan w:val="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Balance Sheets</w:t>
              </w:r>
            </w:hyperlink>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264"/>
        </w:trPr>
        <w:tc>
          <w:tcPr>
            <w:tcW w:w="2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Consolidated Statements of Operations</w:t>
              </w:r>
            </w:hyperlink>
          </w:p>
        </w:tc>
        <w:tc>
          <w:tcPr>
            <w:tcW w:w="1360" w:type="dxa"/>
            <w:vAlign w:val="bottom"/>
            <w:gridSpan w:val="4"/>
          </w:tcPr>
          <w:p>
            <w:pPr>
              <w:spacing w:after="0"/>
              <w:rPr>
                <w:sz w:val="22"/>
                <w:szCs w:val="22"/>
                <w:color w:val="auto"/>
              </w:rPr>
            </w:pPr>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64"/>
        </w:trPr>
        <w:tc>
          <w:tcPr>
            <w:tcW w:w="32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Consolidated Statements of Member’s Equity</w:t>
              </w:r>
            </w:hyperlink>
          </w:p>
        </w:tc>
        <w:tc>
          <w:tcPr>
            <w:tcW w:w="900" w:type="dxa"/>
            <w:vAlign w:val="bottom"/>
          </w:tcPr>
          <w:p>
            <w:pPr>
              <w:spacing w:after="0"/>
              <w:rPr>
                <w:sz w:val="22"/>
                <w:szCs w:val="22"/>
                <w:color w:val="auto"/>
              </w:rPr>
            </w:pPr>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4120" w:type="dxa"/>
            <w:vAlign w:val="bottom"/>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Statements of Cash Flows</w:t>
              </w:r>
            </w:hyperlink>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264"/>
        </w:trPr>
        <w:tc>
          <w:tcPr>
            <w:tcW w:w="4120" w:type="dxa"/>
            <w:vAlign w:val="bottom"/>
            <w:gridSpan w:val="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Notes to Consolidated Financial Statements</w:t>
              </w:r>
            </w:hyperlink>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20" w:type="dxa"/>
            <w:vAlign w:val="bottom"/>
          </w:tcPr>
          <w:p>
            <w:pPr>
              <w:jc w:val="right"/>
              <w:ind w:right="5252"/>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1" w:name="page42"/>
    <w:bookmarkEnd w:id="41"/>
    <w:p>
      <w:pPr>
        <w:ind w:left="20" w:right="2700" w:firstLine="2695"/>
        <w:spacing w:after="0" w:line="37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REPORT OF INDEPENDENT REGISTERED PUBLIC ACCOUNTING FIRM </w:t>
      </w:r>
      <w:r>
        <w:rPr>
          <w:rFonts w:ascii="Arial" w:cs="Arial" w:eastAsia="Arial" w:hAnsi="Arial"/>
          <w:sz w:val="18"/>
          <w:szCs w:val="18"/>
          <w:color w:val="auto"/>
        </w:rPr>
        <w:t>The Member of Wynn Las Vegas, LLC:</w:t>
      </w:r>
    </w:p>
    <w:p>
      <w:pPr>
        <w:spacing w:after="0" w:line="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2007 and 2006, and the related consolidated statements of operations, member’s equity, and cash flows for each of the two years in the period ended December 31, 2007. Our audits also included the financial statement schedule included in Item 15(a)(2).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2007 and 2006, and the consolidated results of their operations and their cash flows for each of the two years in the period ended December 31, 2007,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Share-Based Payments in accordance with Statement of Financial Accounting Standards No. 123 (revised 2004) on January 1, 2006.</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Member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have audited the accompanying consolidated statements of operations, member’s equity, and cash flows of Wynn Las Vegas, LLC and subsidiaries for the year ended December 31, 2005. Our audit also included the financial statement schedule of Valuation and Qualifying Accounts included in Item 15(a)(2) for the year ended December 31, 2005. The financial statements and financial statement schedule are the responsibility of the Company’s management. Our responsibility is to express an opinion on the financial statements and financial statement schedule based on our audit.</w:t>
      </w:r>
    </w:p>
    <w:p>
      <w:pPr>
        <w:spacing w:after="0" w:line="9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results of operations and cash flows of Wynn Las Vegas, LLC for the year ended December 31, 2005, in conformity with accounting principles generally accepted in the United States of America. Also, in our opinion, such financial statement schedule, when considered in relation to the basic 2005 consolidated financial statements taken as a whole, presents fairly, in all material respects, the information set forth therein.</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2006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74" w:right="27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135,132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58,612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360,389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31,052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3,031,403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2,419,161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41,536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45,385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5,077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3,647,256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3,119,888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28,856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45,728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88,299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1,954,084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1,647,092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2,272,236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1,877,118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1,461,949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1,453,918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(86,929)</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(211,148)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1,375,020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1,242,770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3,647,256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3,119,888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jc w:val="center"/>
              <w:ind w:left="207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40" w:type="dxa"/>
            <w:vAlign w:val="bottom"/>
            <w:gridSpan w:val="2"/>
          </w:tcPr>
          <w:p>
            <w:pPr>
              <w:jc w:val="right"/>
              <w:ind w:right="335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-4193540</wp:posOffset>
            </wp:positionV>
            <wp:extent cx="56134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-4193540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-4193540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-4193540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-557530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642,327</w:t>
            </w:r>
          </w:p>
        </w:tc>
        <w:tc>
          <w:tcPr>
            <w:tcW w:w="3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535,561</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311,032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295,205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209,508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1,448,569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1,293,603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823,215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(152,718)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(154,255)</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(100,923)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1,295,851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1,139,348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722,292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276,523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250,447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192,497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185,382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199,825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180,656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19,473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17,091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152,839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147,608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14,399</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1,096,026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1,024,301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709,846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unconsolidated affiliates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200,621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Interest income and other income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14,217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22,801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(86,090)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(117,787)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(4,372)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(76,402)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(106,648)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53594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5" w:name="page46"/>
    <w:bookmarkEnd w:id="45"/>
    <w:p>
      <w:pPr>
        <w:jc w:val="center"/>
        <w:ind w:left="1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ind w:left="1660"/>
        <w:spacing w:after="0"/>
        <w:rPr>
          <w:sz w:val="20"/>
          <w:szCs w:val="20"/>
          <w:color w:val="auto"/>
        </w:rPr>
      </w:pPr>
      <w:r>
        <w:rPr>
          <w:rFonts w:ascii="Arial" w:cs="Arial" w:eastAsia="Arial" w:hAnsi="Arial"/>
          <w:sz w:val="16"/>
          <w:szCs w:val="16"/>
          <w:b w:val="1"/>
          <w:bCs w:val="1"/>
          <w:color w:val="auto"/>
        </w:rPr>
        <w:t>(A WHOLLY OWNED INDIRECT SUBSIDIARY OF WYNN RESORTS, LIMITED)</w:t>
      </w:r>
    </w:p>
    <w:p>
      <w:pPr>
        <w:spacing w:after="0" w:line="87"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(amounts in thousands)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Vested stock grant issued to consultant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Pre-opening settlement of amounts due from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Parent company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Parent company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16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81"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$ 1,276,868</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508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(7,273)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403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1,224,829</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9,808</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403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1,242,770</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124,219</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403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$ 1,375,020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57023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ectPr>
          <w:pgSz w:w="11900" w:h="16838" w:orient="portrait"/>
          <w:cols w:equalWidth="0" w:num="2">
            <w:col w:w="9760" w:space="720"/>
            <w:col w:w="920"/>
          </w:cols>
          <w:pgMar w:left="240" w:top="274"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124,219</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9,808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152,839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147,608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32,985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315,714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205,628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(678,480)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(249,526)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(657,443)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166,465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197,240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Purchase of intangibles and other assets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(26,249)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(21,437)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(562,021)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(90,341)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(417,739)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(282,911)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(440,169)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585,460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328,892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Proceeds from termination of interest rate swap</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299,008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(109,244)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419,080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146,521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110,298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108,205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contributions and transfers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due from affiliates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-781685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-781685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-781685</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-781685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-781685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-781685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-781685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-781685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-781685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274" w:right="239" w:bottom="1440" w:gutter="0" w:footer="0" w:header="0"/>
          <w:type w:val="continuous"/>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For the periods presented prior to April 28, 2005, the Company was solely a development stage company.</w:t>
      </w:r>
    </w:p>
    <w:p>
      <w:pPr>
        <w:spacing w:after="0" w:line="10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2007,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is currently constructing “Encore Suites at Wynn Las Vegas” or “Encore”. Encore is being constructed adjacent to Wynn Las Vegas and will be fully integrated with Wynn Las Vegas. Encore is expected to open in December 2008.</w:t>
      </w:r>
    </w:p>
    <w:p>
      <w:pPr>
        <w:spacing w:after="0" w:line="112" w:lineRule="exact"/>
        <w:rPr>
          <w:sz w:val="20"/>
          <w:szCs w:val="20"/>
          <w:color w:val="auto"/>
        </w:rPr>
      </w:pPr>
    </w:p>
    <w:p>
      <w:pPr>
        <w:ind w:left="240" w:right="7920" w:hanging="232"/>
        <w:spacing w:after="0" w:line="332" w:lineRule="auto"/>
        <w:tabs>
          <w:tab w:leader="none" w:pos="187"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 and Investments</w:t>
      </w:r>
    </w:p>
    <w:p>
      <w:pPr>
        <w:spacing w:after="0" w:line="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Restricted cash and investments consist primarily of certain proceeds of the Company’s financing activities invested in approved money market funds. The majority of these funds are restricted by the agreements governing the Company’s debt instruments for the payment of certain construction and development costs relating to Wynn Las Vegas and Encore. Amounts classified as current are equal to current construction payables.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2007 and 2006, approximately 53% and 55%,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8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3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(loss).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$33.6 million, $7.7 million and $36.8 million was capitalized for the years ended December 31, 2007, 2006 and 2005, respectively.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Company’s indefinite-lived intangible assets consist primarily of water rights acquired as part of the overall purchase price of the land on which Wynn Las Vegas is located, and trademarks. Indefinite-lived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are not amortized, but are reviewed annually for impairment. The Company’s finite-lived intangible assets consist of show production rights.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Finite-lived intangible assets are amortized over the shorter of their contractual terms or estimated useful lives.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$7.2 million, $8.8 million, and $9.7 million was amortized to interest expense during the years ended December 31, 2007, 2006 and 2005, respectively. Debt discounts incurred in connection with the issuance of debt has been capitalized and is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Company accounts for derivative financial instruments in accordance with Statement of Financial Accounting Standards (“SFAS”) No. 133, “Accounting for Derivative Instruments and Hedging Activities,” as amended. The fair value of derivative financial instruments are recognized as assets or liabilities at each balance sheet date, with changes in fair value affecting net income (loss) or comprehensive income (loss) as applicable. The Company’s current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Reseller of the Vendor’s Products).” EITF 01-9 requires that sales incentives be recorded as a reduction of revenues; consequently, the Company’s casino revenues are reduced by discounts and points earned in customer loyalty programs, such as the player’s club loyalty program.</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27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2006</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Food and beverage</w:t>
            </w: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53,742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55,930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$88,259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$91,687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-29210</wp:posOffset>
            </wp:positionV>
            <wp:extent cx="37274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$19.7 million, $16.7 million and $18 million, respectively, for the years ended December 31, 2007, 2006 and 2005.</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Pre-opening costs, consisting primarily of salaries and wages, legal and consulting fees, insurance, utilities and travel, are expensed as incurred. The Company incurred pre-opening costs in connection with Wynn Las Vegas prior to its opening on April 28, 2005. The Company will continue to incur such costs related to Encore prior to its opening in December 2008.</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The Company’s operations are reported on the consolidated tax return of Wynn Resorts. As a limited liability company, the Company is considered a partnership for federal income tax purposes. Accordingly, no provision has been made for federal income taxes as such taxes are liabilities of its member.</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2004, the Financial Accounting Standards Board (“FASB”) issued SFAS No. 123(R), “Share Based Payment.” This statement is a revision of SFAS No. 123, “Accounting for Stock-Based Compensation” and supercedes Accounting Principles Board (“APB”) Opinion No. 25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 of employee services received in exchange for an award of equity instruments based on the grant-date fair value of the award and recognize that cost over the service period. The Company adopted this statement on January 1, 2006 under the modified prospective method. The Company uses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4" w:right="27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Black-Scholes valuation model to determine the estimated fair value for each option grant issued. The Black- Scholes determined fair value net of estimated forfeitures is amortized as compensation cost on a straight-line basis over the service period. In applying the modified prospective method, financial statements of prior periods presented do not reflect any adjusted amounts (i.e. prior periods do not include compensation cost calculated under the fair value method). Further information on the Company’s share-based compensation arrangements is included in Note 11 “Benefit Plans.”</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2006, the Company applied the provisions of EITF Issue 00-23 “Options Granted to Employees of Entities under Common Control” and recorded the cost of equity instruments granted by Wynn Resorts to employees of the Company in the Company’s consolidated financial statements as a capital contribution.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June 2006, the FASB ratified the consensus reached on EITF Issue No. 06-03, “How Taxes Collected from Customers and Remitted to Governmental Authorities Should Be Presented in the Income Statement (that is, Gross Versus Net Presentation)”. The EITF reached a consensus that the presentation of taxes on either a gross or net basis is an accounting policy decision that requires disclosure. EITF Issue No. 06-03 is effective for the first interim or annual reporting period beginning after December 15, 2006. The Company has historically and will continue to record taxes collected from customers on a net basis. Accordingly, the adoption of EITF Issue No. 06-03 did not have an effect on the Company’s results of operation or financial position.</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adoption of this statement will not have a material impact on the Company’s consolidated financial statements.</w:t>
      </w:r>
    </w:p>
    <w:p>
      <w:pPr>
        <w:spacing w:after="0" w:line="9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Company is currently evaluating the impact that the adoption of SFAS No. 159 will have on its consolidated financial statements.</w:t>
      </w:r>
    </w:p>
    <w:p>
      <w:pPr>
        <w:spacing w:after="0" w:line="9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0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4" w:right="2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2006 have been reclassified to be consistent with the current year presentation. These reclassifications had no effect on the previously reported net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21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$161,913</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$133,985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Hotel</w:t>
            </w:r>
          </w:p>
        </w:tc>
        <w:tc>
          <w:tcPr>
            <w:tcW w:w="2320" w:type="dxa"/>
            <w:vAlign w:val="bottom"/>
            <w:gridSpan w:val="5"/>
          </w:tcPr>
          <w:p>
            <w:pPr>
              <w:jc w:val="right"/>
              <w:spacing w:after="0"/>
              <w:rPr>
                <w:sz w:val="20"/>
                <w:szCs w:val="20"/>
                <w:color w:val="auto"/>
              </w:rPr>
            </w:pPr>
            <w:r>
              <w:rPr>
                <w:rFonts w:ascii="Arial" w:cs="Arial" w:eastAsia="Arial" w:hAnsi="Arial"/>
                <w:sz w:val="18"/>
                <w:szCs w:val="18"/>
                <w:color w:val="auto"/>
              </w:rPr>
              <w:t>15,317</w:t>
            </w:r>
          </w:p>
        </w:tc>
        <w:tc>
          <w:tcPr>
            <w:tcW w:w="1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185,736</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155,491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480" w:type="dxa"/>
            <w:vAlign w:val="bottom"/>
            <w:gridSpan w:val="6"/>
          </w:tcPr>
          <w:p>
            <w:pPr>
              <w:jc w:val="right"/>
              <w:ind w:right="120"/>
              <w:spacing w:after="0"/>
              <w:rPr>
                <w:sz w:val="20"/>
                <w:szCs w:val="20"/>
                <w:color w:val="auto"/>
              </w:rPr>
            </w:pPr>
            <w:r>
              <w:rPr>
                <w:rFonts w:ascii="Arial" w:cs="Arial" w:eastAsia="Arial" w:hAnsi="Arial"/>
                <w:sz w:val="18"/>
                <w:szCs w:val="18"/>
                <w:color w:val="auto"/>
              </w:rPr>
              <w:t>(50,604)</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(35,002)</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$135,132</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32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212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603,838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603,290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1,209,562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1,164,947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655,754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614,676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865,130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214,574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3,378,538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2,641,741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320" w:type="dxa"/>
            <w:vAlign w:val="bottom"/>
            <w:gridSpan w:val="5"/>
          </w:tcPr>
          <w:p>
            <w:pPr>
              <w:jc w:val="right"/>
              <w:ind w:right="160"/>
              <w:spacing w:after="0"/>
              <w:rPr>
                <w:sz w:val="20"/>
                <w:szCs w:val="20"/>
                <w:color w:val="auto"/>
              </w:rPr>
            </w:pPr>
            <w:r>
              <w:rPr>
                <w:rFonts w:ascii="Arial" w:cs="Arial" w:eastAsia="Arial" w:hAnsi="Arial"/>
                <w:sz w:val="18"/>
                <w:szCs w:val="18"/>
                <w:color w:val="auto"/>
              </w:rPr>
              <w:t>(347,135)</w:t>
            </w:r>
          </w:p>
        </w:tc>
        <w:tc>
          <w:tcPr>
            <w:tcW w:w="16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(222,580)</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$ 3,031,403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$ 2,419,161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-2567940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-2567940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-2567940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-2567940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-2567940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-2567940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57023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023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December 31, 2007 and 2006, construction in progress includes interest and other costs capitalized in conjunction with the Encore project and to certain enhancements to Wynn Las Vegas.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3" w:name="page54"/>
    <w:bookmarkEnd w:id="5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Show</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220" w:type="dxa"/>
            <w:vAlign w:val="bottom"/>
            <w:gridSpan w:val="4"/>
          </w:tcPr>
          <w:p>
            <w:pPr>
              <w:ind w:left="2280"/>
              <w:spacing w:after="0" w:line="149" w:lineRule="exact"/>
              <w:rPr>
                <w:sz w:val="20"/>
                <w:szCs w:val="20"/>
                <w:color w:val="auto"/>
              </w:rPr>
            </w:pPr>
            <w:r>
              <w:rPr>
                <w:rFonts w:ascii="Arial" w:cs="Arial" w:eastAsia="Arial" w:hAnsi="Arial"/>
                <w:sz w:val="14"/>
                <w:szCs w:val="14"/>
                <w:b w:val="1"/>
                <w:bCs w:val="1"/>
                <w:color w:val="auto"/>
              </w:rPr>
              <w:t>Production</w:t>
            </w:r>
          </w:p>
        </w:tc>
        <w:tc>
          <w:tcPr>
            <w:tcW w:w="2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Rights</w:t>
            </w:r>
          </w:p>
        </w:tc>
        <w:tc>
          <w:tcPr>
            <w:tcW w:w="26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Rights</w:t>
            </w:r>
          </w:p>
        </w:tc>
        <w:tc>
          <w:tcPr>
            <w:tcW w:w="1300" w:type="dxa"/>
            <w:vAlign w:val="bottom"/>
            <w:gridSpan w:val="3"/>
          </w:tcPr>
          <w:p>
            <w:pPr>
              <w:ind w:left="580"/>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January 1, 2006</w:t>
            </w:r>
          </w:p>
        </w:tc>
        <w:tc>
          <w:tcPr>
            <w:tcW w:w="23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11,250</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Additions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14,497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20,789</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Additions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23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17,826</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32131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4584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Water rights reflect the fair value allocation determined in the purchase of the Desert Inn in April 2000. The value of the trademarks primarily represents the costs to acquire the “Le Rêve” name. The water rights and trademarks are indefinite-lived assets and, accordingly, not amortized. Show production rights represent the amounts paid to purchase the rights to present “Monty Python’s Spamalot” and “Le Rêve” production shows. On May 31, 2006, the Company entered into an agreement to acquire substantially all intellectual property rights related to “Le Rêve” which were previously only licensed to the Company. The Company paid $14.5 million to acquire substantially all of the rights in and to “Le Rêve”. The rights acquired enable the Company to produce, present, enhance, or alter the performance of “Le Rêve” after May 31, 2006. The Company expects that amortization of show production rights will be approximately $3.1 million for each of the years 2008 through 2012, approximately $1.9 million for 2013, and approximately $0.2 million in 2014.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62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2007</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$ 38,986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$ 30,057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Base stock</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10,645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5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Golf memberships</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50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$ 63,895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$ 56,257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5000" w:type="dxa"/>
            <w:vAlign w:val="bottom"/>
            <w:vMerge w:val="restart"/>
          </w:tcPr>
          <w:p>
            <w:pPr>
              <w:jc w:val="right"/>
              <w:ind w:right="3315"/>
              <w:spacing w:after="0"/>
              <w:rPr>
                <w:sz w:val="20"/>
                <w:szCs w:val="20"/>
                <w:color w:val="auto"/>
              </w:rPr>
            </w:pPr>
            <w:r>
              <w:rPr>
                <w:rFonts w:ascii="Arial" w:cs="Arial" w:eastAsia="Arial" w:hAnsi="Arial"/>
                <w:sz w:val="18"/>
                <w:szCs w:val="18"/>
                <w:color w:val="auto"/>
              </w:rPr>
              <w:t>54</w:t>
            </w: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-325755</wp:posOffset>
            </wp:positionV>
            <wp:extent cx="4070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20" w:type="dxa"/>
            <w:vAlign w:val="bottom"/>
          </w:tcPr>
          <w:p>
            <w:pPr>
              <w:spacing w:after="0"/>
              <w:rPr>
                <w:sz w:val="22"/>
                <w:szCs w:val="22"/>
                <w:color w:val="auto"/>
              </w:rPr>
            </w:pPr>
          </w:p>
        </w:tc>
        <w:tc>
          <w:tcPr>
            <w:tcW w:w="104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22"/>
                <w:szCs w:val="22"/>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 net of original issue discount of $10,816</w:t>
            </w: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$ 1,689,184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w w:val="92"/>
              </w:rPr>
              <w:t>$900 million Revolving Credit Facility; due August 15, 2011; interest at LIBOR plus 1.625% (approximately 6.2% and 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88,892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w w:val="93"/>
              </w:rPr>
              <w:t>$225 million Term Loan Facility; $112.5 million due September 30, 2012 with the remaining $112.5 million due August 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2013; interest at LIBOR plus 1.875% (approximately 6.9% and 7.2%, respectively)</w:t>
            </w: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225,000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$44.75 million Note Payable; due March 31, 2010; interest at LIBOR plus 2.375% (approximately 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 (approximately 6.5%)</w:t>
            </w: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40,950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1,955,134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1,652,401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40" w:type="dxa"/>
            <w:vAlign w:val="bottom"/>
            <w:gridSpan w:val="4"/>
          </w:tcPr>
          <w:p>
            <w:pPr>
              <w:jc w:val="right"/>
              <w:ind w:right="340"/>
              <w:spacing w:after="0"/>
              <w:rPr>
                <w:sz w:val="20"/>
                <w:szCs w:val="20"/>
                <w:color w:val="auto"/>
              </w:rPr>
            </w:pPr>
            <w:r>
              <w:rPr>
                <w:rFonts w:ascii="Arial" w:cs="Arial" w:eastAsia="Arial" w:hAnsi="Arial"/>
                <w:sz w:val="18"/>
                <w:szCs w:val="18"/>
                <w:color w:val="auto"/>
              </w:rPr>
              <w:t>(1,050)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$ 1,954,084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$ 1,647,092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56134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98" w:lineRule="exact"/>
        <w:rPr>
          <w:sz w:val="20"/>
          <w:szCs w:val="20"/>
          <w:color w:val="auto"/>
        </w:rPr>
      </w:pPr>
    </w:p>
    <w:p>
      <w:pPr>
        <w:ind w:right="140" w:firstLine="456"/>
        <w:spacing w:after="0" w:line="274" w:lineRule="auto"/>
        <w:rPr>
          <w:sz w:val="20"/>
          <w:szCs w:val="20"/>
          <w:color w:val="auto"/>
        </w:rPr>
      </w:pPr>
      <w:r>
        <w:rPr>
          <w:rFonts w:ascii="Arial" w:cs="Arial" w:eastAsia="Arial" w:hAnsi="Arial"/>
          <w:sz w:val="15"/>
          <w:szCs w:val="15"/>
          <w:color w:val="auto"/>
        </w:rPr>
        <w:t xml:space="preserve">On December 14, 2004, the Issuers issued $1.3 billion aggregate principal amount of 6 </w:t>
      </w:r>
      <w:r>
        <w:rPr>
          <w:rFonts w:ascii="Arial" w:cs="Arial" w:eastAsia="Arial" w:hAnsi="Arial"/>
          <w:sz w:val="19"/>
          <w:szCs w:val="19"/>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xml:space="preserve">% First Mortgage Notes (the “First Mortgage Notes”). The First Mortgage Notes mature on December 1, 2014 and bear interest at the rate of 6 </w:t>
      </w:r>
      <w:r>
        <w:rPr>
          <w:rFonts w:ascii="Arial" w:cs="Arial" w:eastAsia="Arial" w:hAnsi="Arial"/>
          <w:sz w:val="19"/>
          <w:szCs w:val="19"/>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per year. The Company pays interest on the First Mortgage Notes on June 1</w:t>
      </w:r>
      <w:r>
        <w:rPr>
          <w:rFonts w:ascii="Arial" w:cs="Arial" w:eastAsia="Arial" w:hAnsi="Arial"/>
          <w:sz w:val="19"/>
          <w:szCs w:val="19"/>
          <w:color w:val="auto"/>
          <w:vertAlign w:val="superscript"/>
        </w:rPr>
        <w:t>st</w:t>
      </w:r>
    </w:p>
    <w:p>
      <w:pPr>
        <w:spacing w:after="0" w:line="1" w:lineRule="exact"/>
        <w:rPr>
          <w:sz w:val="20"/>
          <w:szCs w:val="20"/>
          <w:color w:val="auto"/>
        </w:rPr>
      </w:pPr>
    </w:p>
    <w:p>
      <w:pPr>
        <w:ind w:right="140"/>
        <w:spacing w:after="0" w:line="225" w:lineRule="auto"/>
        <w:rPr>
          <w:sz w:val="20"/>
          <w:szCs w:val="20"/>
          <w:color w:val="auto"/>
        </w:rPr>
      </w:pPr>
      <w:r>
        <w:rPr>
          <w:rFonts w:ascii="Arial" w:cs="Arial" w:eastAsia="Arial" w:hAnsi="Arial"/>
          <w:sz w:val="17"/>
          <w:szCs w:val="17"/>
          <w:color w:val="auto"/>
        </w:rPr>
        <w:t>and December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each year. Commencing December 1, 2009, the First Mortgage Notes are redeemable at the Company’s option at a price equal to 103.313% of the principal amount redeemed and declining ratably on December 1st of each year thereafter to zero on or after December 1, 2012.</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indenture governing the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First Mortgage Notes and the guarantees thereof are secured by: (1) all amounts on deposit from time to time (currently $31.1 million) in a completion guarantee deposit account maintained by Wynn Completion Guarantor, LLC; (2) a first priority pledge of all of the member’s interests owned by Wynn Las Vegas, LLC in its subsidiaries (other than Wynn Completion Guarantor, LLC) and of Wynn Resorts Holdings, LLC’s 100% member’s interest in Wynn Las Vegas, LLC; (3) first mortgages on all real property constituting Wynn Las Vegas, its golf course and Encore; and (4) a first priority security interest in substantially all other existing and future assets of Wynn Las Vegas, LLC and the guarantors, excluding, among other things, an aircraft beneficially owned by World Travel, LLC.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54" w:lineRule="exact"/>
        <w:rPr>
          <w:sz w:val="20"/>
          <w:szCs w:val="20"/>
          <w:color w:val="auto"/>
        </w:rPr>
      </w:pPr>
    </w:p>
    <w:p>
      <w:pPr>
        <w:ind w:right="20" w:firstLine="456"/>
        <w:spacing w:after="0" w:line="230" w:lineRule="auto"/>
        <w:rPr>
          <w:sz w:val="20"/>
          <w:szCs w:val="20"/>
          <w:color w:val="auto"/>
        </w:rPr>
      </w:pPr>
      <w:r>
        <w:rPr>
          <w:rFonts w:ascii="Arial" w:cs="Arial" w:eastAsia="Arial" w:hAnsi="Arial"/>
          <w:sz w:val="18"/>
          <w:szCs w:val="18"/>
          <w:color w:val="auto"/>
        </w:rPr>
        <w:t xml:space="preserve">On November 6, 2007, the Issuers issued, in a private offering, $400 million aggregate principal amount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at a price of 97.25% of the principal amount (the “Additional Notes”). The Additional Notes were issued under the same indenture as the First Mortgage Notes issued on December 14, 2004.</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Additional Notes rank pari passu with, and will vote on any matter submitted to note holders with, the previously issued First Mortgage Notes. The Additional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Additional Notes have not been registered under the Securities Act of 1933 or under any state securities laws. Therefore, the Issuers may not offer or sell the Additional Notes within the United States to, or for the account or benefit of, any United States person unless the offer or sale would qualify for a registration exemption from the Securities Act and applicable state securities laws. The Issuers have agreed to make an offer to exchange the Additional Notes for registered, publicly traded notes that have substantially identical terms as the Additional Notes.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December 14, 2004, Wynn Las Vegas, LLC entered into a credit agreement and related ancillary agreements for secured revolving credit and term loan facilities in the aggregate amount of $1 billion. The credit facilities consisted of a revolving credit facility (the “Revolver”) in the amount of $600 million and a term loan facility (the “Term Loan”) in the amount of $400 million. The Revolver was to terminate and be payable in full on December 14, 2009, and the Term Loan was to mature on December 14, 2011.</w:t>
      </w:r>
    </w:p>
    <w:p>
      <w:pPr>
        <w:spacing w:after="0" w:line="13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August 15, 2006, the Company refinanced the above noted credit facilities and entered into an Amended and Restated Credit Agreement (the “Amended and Restated Credit Agreement”) which increased the Wynn Las Vegas credit facilities from $1 billion to $1.125 billion by increasing the Revolver from $600 million to $900 million and reducing the Term Loan from $400 million to $225 million. The $900 million Revolver and the $225 million Term Loan are herein referred to as the “Credit Facilities”. In August 2006, the maturity dates for the Revolver and the Term Loan were extended to August 15, 2011 and August 15, 2013, respectively. One half of the Term Loan is due on September 30, 2012 and the remaining half is due August 15, 2013.</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5"/>
          <w:szCs w:val="15"/>
          <w:color w:val="auto"/>
        </w:rPr>
        <w:t>For purposes of calculating interest, loans under the Credit Facilities will be designated, at the election of Wynn Las Vegas, LLC, as Eurodollar Loans or, in certain circumstances, Base Rate Loans. Eurodollar Loans under the Revolver and Term Loan bear interest initially at the Eurodollar rate plus 1.625%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greater of (i) the rate most</w:t>
      </w:r>
    </w:p>
    <w:p>
      <w:pPr>
        <w:spacing w:after="0" w:line="1" w:lineRule="exact"/>
        <w:rPr>
          <w:sz w:val="20"/>
          <w:szCs w:val="20"/>
          <w:color w:val="auto"/>
        </w:rPr>
      </w:pPr>
    </w:p>
    <w:p>
      <w:pPr>
        <w:ind w:right="540"/>
        <w:spacing w:after="0" w:line="241" w:lineRule="auto"/>
        <w:rPr>
          <w:sz w:val="20"/>
          <w:szCs w:val="20"/>
          <w:color w:val="auto"/>
        </w:rPr>
      </w:pPr>
      <w:r>
        <w:rPr>
          <w:rFonts w:ascii="Arial" w:cs="Arial" w:eastAsia="Arial" w:hAnsi="Arial"/>
          <w:sz w:val="17"/>
          <w:szCs w:val="17"/>
          <w:color w:val="auto"/>
        </w:rPr>
        <w:t xml:space="preserve">recently announced by Deutsche Bank as its “prime rate,” or (ii) the Federal Funds Rate plus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of 1% per annum; plus (b) a borrowing margin 0.625% or 0.875% under the Revolver and Term Loans, respectively. Interest on Base Rate Loans will be payable quarterly in arrears.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After the opening of Encore, the applicable borrowing margins for the Revolver will be based on Wynn Las Vegas, LLC’s leverage ratio, ranging from 1% to 1.75% per annum for Eurodollar Loans and 0% to 0.75% per annum for Base Rate Loans. Until then, Wynn Las Vegas, LLC will pay, quarterly in arrears, 0.375% per annum on the daily average of unborrowed availability under the Revolver. After opening Encore, the annual fee Wynn Las Vegas, LLC will be required to pay for unborrowed availability under the Revolver will be based on Wynn Las Vegas, LLC’s leverage ratio, ranging from 0.25% to 0.50% per annum.</w:t>
      </w:r>
    </w:p>
    <w:p>
      <w:pPr>
        <w:spacing w:after="0" w:line="99"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Credit Facilities are secured by: (1) all amounts on deposit from time to time (currently $31.1 million) in a completion guarantee deposit account maintained by Wynn Completion Guarantor, LLC; (2) all amounts on deposit from time to time in a secured account holding the proceeds of the Credit Facilities;</w:t>
      </w:r>
    </w:p>
    <w:p>
      <w:pPr>
        <w:spacing w:after="0" w:line="3" w:lineRule="exact"/>
        <w:rPr>
          <w:sz w:val="20"/>
          <w:szCs w:val="20"/>
          <w:color w:val="auto"/>
        </w:rPr>
      </w:pPr>
    </w:p>
    <w:p>
      <w:pPr>
        <w:jc w:val="both"/>
        <w:ind w:right="100" w:firstLine="8"/>
        <w:spacing w:after="0" w:line="254"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first priority pledge of all member’s interests owned by Wynn Las Vegas, LLC in its subsidiaries (other than Wynn Completion Guarantor, LLC) and Wynn Resorts Holdings, LLC’s 100% member’s interest in Wynn Las Vegas, LLC; (4) first mortgages on all real property constituting Wynn Las Vegas, its golf course and Encore; and (5) a first priority security interest in substantially all other existing and future assets of Wynn Las Vegas, LLC and the guarantors, excluding an aircraft beneficially owned by World Travel, LLC.</w:t>
      </w:r>
    </w:p>
    <w:p>
      <w:pPr>
        <w:spacing w:after="0" w:line="13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equal in right of payment with existing and future senior indebtedness, including indebtedness with respect to the First Mortgage Notes and rank senior in right of payment to all existing and future subordinated indebtedness.</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Credit Facilities from the net proceeds of all debt offerings (other than those constituting certain permitted debt). After opening Encore, Wynn Las Vegas, LLC will also be required to make mandatory repayments of indebtedness under the Credit Facilities from specified percentages of excess cash flow, which percentages may decrease and/or be eliminated based on Wynn Las Vegas, LLC’s leverage ratio. Wynn Las Vegas, LLC has the option to prepay all or any portion of the indebtedness under the Credit Facilities at any time without premium or penalty.</w:t>
      </w:r>
    </w:p>
    <w:p>
      <w:pPr>
        <w:spacing w:after="0" w:line="10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Amended and Restated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(i) maintaining a ratio of earnings before interest, taxes, depreciation and amortization to total interest expense, and (ii) maintaining a ratio of total debt to earnings before interest, taxes, depreciation and amortization.</w:t>
      </w:r>
    </w:p>
    <w:p>
      <w:pPr>
        <w:spacing w:after="0" w:line="10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accordance with EITF 96-19, “Debtor’s Accounting for a Modification or Exchange of Debt Instruments,” the Company recorded a loss from extinguishment of debt for the year ended December 31, 2006 of approximately $10.8 million to reflect the write-off of the previous Term Loan’s unamortized deferred financing costs and the payment of certain third-party bank fees incurred during the refinancing of the Credit Facilities.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April 2007, the Company amended the Credit Facilities to: (a) have the Final Completion, as defined, be deemed satisfied for Wynn Las Vegas with the resulting release of (i) all amounts in excess of $30 million from the Completion Guaranty Deposit Account, ($24.6 million), and (ii) the balance of funds in the Project Liquidity Reserve Account ($32.8 million), (b) increase the permitted expenditures for Encore from $300 million to $500 million prior to the execution of a guaranteed maximum price construction contract, and (c) permit the issuance of up to $500 million of unsecured debt as and when permitted under the indenture governing the First Mortgage Notes.</w:t>
      </w:r>
    </w:p>
    <w:p>
      <w:pPr>
        <w:spacing w:after="0" w:line="12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October 2007, the Company further amended the Credit Facilities to (a) permit the issuance of up to $500 million of secured indebtedness, in lieu of the $500 million unsecured indebtedness in the April 2007 amendment, (b) remove certain language related to the inter-company loan made by Wynn Las Vegas to Wynn Resorts (Macau) S.A. and (c) amend certain provisions governing Wynn Las Vegas’ insurance related obligations.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 and $42 Million Note Payable for Aircraft</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May 24, 2005, World Travel, LLC, a subsidiary of Wynn Las Vegas, LLC, borrowed an aggregate amount of $44.75 million under term loans, which were to terminate on March 31, 2010. The term loans were guaranteed by Wynn Las Vegas, LLC and secured by a first priority security interest in the Company’s aircraft. Principal and interest was payable quarterly, and interest was calculated at LIBOR plus a margin of 2.375%. In addition to scheduled amortization payments, the borrower was required to prepay the loans if certain events of loss with respect to the aircraft occur.</w:t>
      </w:r>
    </w:p>
    <w:p>
      <w:pPr>
        <w:spacing w:after="0" w:line="9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March 2007, World Travel, LLC, a subsidiary of Wynn Las Vegas, refinanced the $44.75 million note payable. The new loan has a principal balance of $42 million and is due April 1, 2017. The loan is guaranteed by Wynn Las Vegas, LLC and secured by a first priority security interest in the Company’s aircraft. Principal and interest are due quarterly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 during the year ended December 31, 2007.</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management believes the Company was in compliance with all debt covenants.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net book value of the First Mortgage Notes, including the Additional Notes, at December 31, 2007 and 2006 was $1.7 billion and $1.3 billion, respectively. The estimated fair value of the First Mortgage Notes, including the Additional Notes, based upon most recent trades at December 31, 2007 and 2006 was approximately $1.67 billion and $1.3 billion, respectively. The net book value of the Company’s other debt instruments approximates fair value.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58" w:name="page59"/>
    <w:bookmarkEnd w:id="58"/>
    <w:tbl>
      <w:tblPr>
        <w:tblLayout w:type="fixed"/>
        <w:tblInd w:w="24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540" w:type="dxa"/>
            <w:vAlign w:val="bottom"/>
          </w:tcPr>
          <w:p>
            <w:pPr>
              <w:jc w:val="center"/>
              <w:ind w:right="872"/>
              <w:spacing w:after="0"/>
              <w:rPr>
                <w:sz w:val="20"/>
                <w:szCs w:val="20"/>
                <w:color w:val="auto"/>
              </w:rPr>
            </w:pPr>
            <w:r>
              <w:rPr>
                <w:rFonts w:ascii="Arial" w:cs="Arial" w:eastAsia="Arial" w:hAnsi="Arial"/>
                <w:sz w:val="18"/>
                <w:szCs w:val="18"/>
                <w:b w:val="1"/>
                <w:bCs w:val="1"/>
                <w:color w:val="auto"/>
                <w:w w:val="96"/>
              </w:rPr>
              <w:t>WYNN LAS VEGAS, LLC AND SUBSIDIARIES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20" w:type="dxa"/>
            <w:vAlign w:val="bottom"/>
          </w:tcPr>
          <w:p>
            <w:pPr>
              <w:spacing w:after="0"/>
              <w:rPr>
                <w:sz w:val="24"/>
                <w:szCs w:val="24"/>
                <w:color w:val="auto"/>
              </w:rPr>
            </w:pPr>
          </w:p>
        </w:tc>
        <w:tc>
          <w:tcPr>
            <w:tcW w:w="7800" w:type="dxa"/>
            <w:vAlign w:val="bottom"/>
            <w:gridSpan w:val="2"/>
          </w:tcPr>
          <w:p>
            <w:pPr>
              <w:jc w:val="center"/>
              <w:ind w:left="123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720" w:type="dxa"/>
            <w:vAlign w:val="bottom"/>
            <w:gridSpan w:val="3"/>
          </w:tcPr>
          <w:p>
            <w:pPr>
              <w:spacing w:after="0"/>
              <w:rPr>
                <w:sz w:val="20"/>
                <w:szCs w:val="20"/>
                <w:color w:val="auto"/>
              </w:rPr>
            </w:pPr>
            <w:r>
              <w:rPr>
                <w:rFonts w:ascii="Arial" w:cs="Arial" w:eastAsia="Arial" w:hAnsi="Arial"/>
                <w:sz w:val="18"/>
                <w:szCs w:val="18"/>
                <w:i w:val="1"/>
                <w:iCs w:val="1"/>
                <w:color w:val="auto"/>
              </w:rPr>
              <w:t>Scheduled Maturities of Long-Term Debt</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720" w:type="dxa"/>
            <w:vAlign w:val="bottom"/>
            <w:gridSpan w:val="3"/>
          </w:tcPr>
          <w:p>
            <w:pPr>
              <w:ind w:left="220"/>
              <w:spacing w:after="0"/>
              <w:rPr>
                <w:sz w:val="20"/>
                <w:szCs w:val="20"/>
                <w:color w:val="auto"/>
              </w:rPr>
            </w:pPr>
            <w:r>
              <w:rPr>
                <w:rFonts w:ascii="Arial" w:cs="Arial" w:eastAsia="Arial" w:hAnsi="Arial"/>
                <w:sz w:val="18"/>
                <w:szCs w:val="18"/>
                <w:color w:val="auto"/>
              </w:rPr>
              <w:t>Scheduled maturities of long-term debt are as follows (amounts in thousands):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720" w:type="dxa"/>
            <w:vAlign w:val="bottom"/>
            <w:gridSpan w:val="3"/>
          </w:tcPr>
          <w:p>
            <w:pPr>
              <w:ind w:left="900"/>
              <w:spacing w:after="0"/>
              <w:rPr>
                <w:sz w:val="20"/>
                <w:szCs w:val="20"/>
                <w:color w:val="auto"/>
              </w:rPr>
            </w:pPr>
            <w:r>
              <w:rPr>
                <w:rFonts w:ascii="Arial" w:cs="Arial" w:eastAsia="Arial" w:hAnsi="Arial"/>
                <w:sz w:val="14"/>
                <w:szCs w:val="14"/>
                <w:b w:val="1"/>
                <w:bCs w:val="1"/>
                <w:color w:val="auto"/>
              </w:rPr>
              <w:t>Years Ending December 31,</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2009</w:t>
            </w: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2011</w:t>
            </w: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113,900</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1,846,800</w:t>
            </w: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1,965,950</w:t>
            </w: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Swaps</w:t>
      </w:r>
    </w:p>
    <w:p>
      <w:pPr>
        <w:spacing w:after="0" w:line="8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Company has entered into floating-for-fixed interest rate swap arrangements relating to its Term Loans. The Company accounts for its interest rate swaps in accordance with SFAS No. 133, “Accounting for Derivative Instruments and Hedging Activities”, and its related interpretations.</w:t>
      </w:r>
    </w:p>
    <w:p>
      <w:pPr>
        <w:spacing w:after="0" w:line="7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December 14, 2004, the Company entered into two $200 million notional amount interest rate swap arrangements to fix the interest rate on the $400 million of floating-rate Term Loan borrowings outstanding prior to the August 15, 2006 refinancing of the Credit Facilities (See Note 7 “Long-term Debt”). Under these arrangements, the Company paid 3.793% of the notional amount and received payments equal to 1-month LIBOR. Although these interest rate swaps essentially fixed the interest rate at approximately 5.9%, changes in the fair value of the interest rate swaps for each reporting period were recorded in the increase (decrease) in swap fair value in the accompanying Consolidated Statements of Operations since the interest rate swaps did not qualify for hedge accounting under SFAS No. 133.</w:t>
      </w:r>
    </w:p>
    <w:p>
      <w:pPr>
        <w:spacing w:after="0" w:line="13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On August 15, 2006, the Company reduced its Term Loan facility as part of the refinancing of the Credit Facilities, and concurrently terminated one of its two $200 million interest rate swap arrangements. The Company received approximately $6.6 million in cash from unwinding this interest rate swap. The Company elected to retain the second $200 million interest rate swap to essentially fix the interest rate on $200 million of the new $225 million of Term Loan borrowings. Because the Company continues to pay a fixed rate of 3.793% on the $200 million notional amount and receives payments based on LIBOR, the interest rate on $200 million of the new $225 million Term Loan is fixed at approximately 5.7%. The interest rate on the remaining $25 million of Term Loan is subject to changes in LIBOR rates.</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2007 and 2006, the Company has recorded an asset of approximately $0.4 million and $4.8 million, respectively to reflect the fair value of the remaining $200 million notional amount interest rate swap. The fair value approximates the amount the Company would receive if the contract was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noted above, although the current interest rate swap is highly effective economically in fixing the interest rate on $200 million of the Term Loan, this interest rate swap does not qualify for hedge accounting under SFAS No. 133. Accordingly, changes in the fair value of the interest rate swap are recorded in the accompanying Consolidated Statement of Operations as an increase/(decrease) in swap fair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 net</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 Limited</w:t>
      </w:r>
    </w:p>
    <w:p>
      <w:pPr>
        <w:spacing w:after="0" w:line="7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On August 15, 2005, the Company loaned $80 million to Wynn Resorts that further loaned those funds through its subsidiaries to Wynn Macau, S.A. as part of the financing of Wynn Macau, Wynn Resorts’ casino resort facility in the Macau Special Administrative Region of the People’s Republic of China (“Macau”), which opened on September 6, 2006. Wynn Macau S. A. repaid to Wynn Resorts all amounts outstanding in November 2006. Interest accrues at 7.5% per annum. Unpaid principal and interest is due at maturity on August 15, 2012. Included in the balances as of December 31, 2007 and 2006, was approximately $8.4 million and $2.4 million, respectively, of accrued interest receivable related to this note.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December 31, 2007, the Company’s net due to affiliates was primarily comprised of construction payables of approximately $65.7 million, construction retention of approximately $41.6 million, a management fee of approximately $47.4 million (equal to 1.5% of net revenues and payable upon meeting certain leverage ratios as specified in the documents governing the Company’s Credit Facilities), and other net amounts receivable from affiliates totaling $35.2 million (including corporate allocations discussed below). As of December 31, 2006 the Company’s net due to affiliates was primarily comprised of construction payables of approximately $20 million, construction retention of approximately $9 million, a management fee of approximately $27.9 million (equal to 1.5% of revenues and payable upon meeting certain leverage ratios as specified in the documents governing the Company’s Credit Facilities) and other net amounts payable to affiliates totaling $7.8 million (including corporate allocations discussed below).</w:t>
      </w:r>
    </w:p>
    <w:p>
      <w:pPr>
        <w:spacing w:after="0" w:line="10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The allocation methods include specific identification, relative cost, square footage and headcount. Wynn Resorts maintains corporate offices at Wynn Las Vegas without charge from the Company. The Company settles these corporate allocation charges with Wynn Resorts on a periodic basis as discussed in “Amounts Due to Affiliates, net” above. During the years ended December 31, 2007 and 2006, approximately $18.7 million and $18.4 million, respectively, was charged to the Company for such corporate allocations.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These services include household services, construction work and other personal services. The cost of these services is transferred to Wynn Resorts, Limited on a periodic basis. Mr. Wynn and these other officers have amounts on deposit with Wynn Resorts to prepay any such items, which are replenished on an ongoing basis as needed. At December 31, 2007 and December 31, 2006, Wynn Resorts owed Mr. Wynn and the other officers approximately $357,145 and $315,000,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Substantially all services for, and maintenance of, the suite are included in the rental.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From the opening of Wynn Las Vegas through February 2006, the resort included an art gallery that displayed rare paintings from a private collection of fine art owned by Mr. and Mrs. Wynn.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2007, 2006 and 2005, were $6 million, $14.4 million and $14.2 million, respectively.</w:t>
      </w:r>
    </w:p>
    <w:p>
      <w:pPr>
        <w:spacing w:after="0" w:line="18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response to the Company’s evaluation of the completed Wynn Las Vegas project and the reactions of its guests, the Company continues to make enhancements and refinements to the property. Costs relating to assets retired as a result of these enhancement and remodel efforts have been expensed as property charges. During the year ended December 31, 2007, asset abandonments were recorded related to the remodel and enhancements made to the Le Rêve Theater, the abandonment of a marquee sign, two retail outlet conversions and the conversion of </w:t>
      </w:r>
      <w:r>
        <w:rPr>
          <w:rFonts w:ascii="Arial" w:cs="Arial" w:eastAsia="Arial" w:hAnsi="Arial"/>
          <w:sz w:val="16"/>
          <w:szCs w:val="16"/>
          <w:i w:val="1"/>
          <w:iCs w:val="1"/>
          <w:color w:val="auto"/>
        </w:rPr>
        <w:t>Lure</w:t>
      </w:r>
      <w:r>
        <w:rPr>
          <w:rFonts w:ascii="Arial" w:cs="Arial" w:eastAsia="Arial" w:hAnsi="Arial"/>
          <w:sz w:val="16"/>
          <w:szCs w:val="16"/>
          <w:color w:val="auto"/>
        </w:rPr>
        <w:t xml:space="preserve"> to the nighclub </w:t>
      </w:r>
      <w:r>
        <w:rPr>
          <w:rFonts w:ascii="Arial" w:cs="Arial" w:eastAsia="Arial" w:hAnsi="Arial"/>
          <w:sz w:val="16"/>
          <w:szCs w:val="16"/>
          <w:i w:val="1"/>
          <w:iCs w:val="1"/>
          <w:color w:val="auto"/>
        </w:rPr>
        <w:t>Blush</w:t>
      </w:r>
      <w:r>
        <w:rPr>
          <w:rFonts w:ascii="Arial" w:cs="Arial" w:eastAsia="Arial" w:hAnsi="Arial"/>
          <w:sz w:val="16"/>
          <w:szCs w:val="16"/>
          <w:color w:val="auto"/>
        </w:rPr>
        <w:t>. During the year ended December 31, 2006, the Company remodeled six North Fairway Villas, several areas of the retail promenade, a portion of the baccarat area to feature a casino bar and improved public baccarat space along with private baccarat salons and converted the Keno lounge to a retail outlet for womens’ accessories. Included in property charges and other for 2005 are approximately $9.4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million of costs relating to assets retired and approximately $3.1 million of expenses relating to the abandonment of improvements made to the temporary offices utilized during part of the construction and development of Wynn Las Vegas. The Company also wrote off approximately $1.6 million of costs incurred in 2005 in connection with the preliminary design and development of a third theater originally planned for a new show production for Wynn Las Vegas which was later abandoned.</w:t>
      </w:r>
    </w:p>
    <w:p>
      <w:pPr>
        <w:spacing w:after="0" w:line="124" w:lineRule="exact"/>
        <w:rPr>
          <w:sz w:val="20"/>
          <w:szCs w:val="20"/>
          <w:color w:val="auto"/>
        </w:rPr>
      </w:pPr>
    </w:p>
    <w:p>
      <w:pPr>
        <w:ind w:right="9740" w:firstLine="8"/>
        <w:spacing w:after="0" w:line="398" w:lineRule="auto"/>
        <w:tabs>
          <w:tab w:leader="none" w:pos="254"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$4.5 million, $3 million and $591,000 for the years ended December 31, 2007, 2006 and 2005, respectively.</w:t>
      </w:r>
    </w:p>
    <w:p>
      <w:pPr>
        <w:spacing w:after="0" w:line="10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$4.5 million, $4.3 million and $1.2 million under such plans for the years ended December 31, 2007, 2006 and 2005, respectively. Information from the plans’ sponsors is not available to permit the Company to determine its share of unfunded vested benefits, if 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A maximum of 9,750,000 shares of Wynn Resorts’ common stock has been reserved for issuance under the Stock Plan. As of December 31, 2007, 4,430,712 shares remain available for the grant of stock options or nonvested shares of Wynn Resorts’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Stock Plan as of December 31, 2007, and the changes during the year then ended is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Term</w:t>
            </w:r>
          </w:p>
        </w:tc>
        <w:tc>
          <w:tcPr>
            <w:tcW w:w="22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1,341,000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$ 48.34</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5"/>
              </w:rPr>
              <w:t>(113,825)</w:t>
            </w: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$ 43.79</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(21,250)</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$ 52.37</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1,205,925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$ 48.68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$73,342,220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344,175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$ 29.99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$28,271,490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-329565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-329565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weighted average fair value of options granted during the years ended December 31, 2006 and 2005 was $31.01 and $24.31, respectively. There were no stock options granted during the year ended December 31, 2007. The total intrinsic value of the options exercised for the years ended December 31, 2007, 2006 and 2005 was $7.9 million, $25 million and $2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Shares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of the Stock Plan’s nonvested shares as of December 31, 2007 and changes during the year then ended is presented below:</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169,000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14,000</w:t>
            </w:r>
          </w:p>
        </w:tc>
        <w:tc>
          <w:tcPr>
            <w:tcW w:w="260" w:type="dxa"/>
            <w:vAlign w:val="bottom"/>
          </w:tcPr>
          <w:p>
            <w:pPr>
              <w:spacing w:after="0"/>
              <w:rPr>
                <w:sz w:val="18"/>
                <w:szCs w:val="18"/>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(12,000)</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171,000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March 2005, the SEC issued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general and administrative expenses, pre-opening costs and construction in progress for the Company’s development projects.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Since the adoption of SFAS No. 123(R), the Company uses the simplified method prescribed by SAB No. 107 for companies with a limited trading history, to estimate the expected term. Prior to the adoption of SFAS No. 123(R), the Company used its best estimate and comparisons to industry peers. The risk-free interest rate used for each period presented is based on the U.S. Treasury yield curve at the time of grant for the period equal to the expected term.</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weighted-average assumptions noted in the table below. There were no options granted during the year ended December 31, 2007.</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380" w:type="dxa"/>
            <w:vAlign w:val="bottom"/>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640" w:type="dxa"/>
            <w:vAlign w:val="bottom"/>
          </w:tcPr>
          <w:p>
            <w:pPr>
              <w:jc w:val="right"/>
              <w:ind w:right="99"/>
              <w:spacing w:after="0"/>
              <w:rPr>
                <w:sz w:val="20"/>
                <w:szCs w:val="20"/>
                <w:color w:val="auto"/>
              </w:rPr>
            </w:pPr>
            <w:r>
              <w:rPr>
                <w:rFonts w:ascii="Arial" w:cs="Arial" w:eastAsia="Arial" w:hAnsi="Arial"/>
                <w:sz w:val="14"/>
                <w:szCs w:val="14"/>
                <w:b w:val="1"/>
                <w:bCs w:val="1"/>
                <w:color w:val="auto"/>
              </w:rPr>
              <w:t>2006</w:t>
            </w:r>
          </w:p>
        </w:tc>
        <w:tc>
          <w:tcPr>
            <w:tcW w:w="940" w:type="dxa"/>
            <w:vAlign w:val="bottom"/>
          </w:tcPr>
          <w:p>
            <w:pPr>
              <w:spacing w:after="0"/>
              <w:rPr>
                <w:sz w:val="22"/>
                <w:szCs w:val="22"/>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32.5%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Compensation cost related to stock options for the years ended December 31, 2007 and 2006, were $6.1 million and $7.3 million, respectively.</w:t>
      </w:r>
    </w:p>
    <w:p>
      <w:pPr>
        <w:spacing w:after="0" w:line="18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compensation cost relating to stock options, during the years ended December 31, 2007 and 2006, the Company recognized compensation cost related to nonvested shares of Wynn Resorts’ common stock of approximately $1.9 million and $809,000, respectively. Approximately $8.7 million of unamortized compensation cost relating to nonvested shares of Common Stock at December 31, 2007, will be recognized as compensation over the vesting period of the related grants through May 2016.</w:t>
      </w:r>
    </w:p>
    <w:p>
      <w:pPr>
        <w:spacing w:after="0" w:line="13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2007 and 2006 is allocated as follows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Rooms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permitted by SFAS No. 148, “Accounting for Stock-Based Compensation—Transition and Disclosure, an amendment of SFAS No. 123”, the Company continued to apply the provisions of APB Opinion No. 25, “Accounting for Stock Issued to Employees,” and related interpretations in accounting for its employee stock-based compensation for the year ended December 31, 2005. Accordingly, compensation expense was recognized only to the extent that the market value at the date of grant exceeded the exercise price.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following table illustrates the effect on the net loss that would have resulted had the Company applied the fair value recognition provisions of SFAS No. 123, “Accounting for Stock-Based Compensation” to stock-based employee compensation during the year ended December 31, 2005 (amounts in thousands):</w:t>
      </w:r>
    </w:p>
    <w:p>
      <w:pPr>
        <w:spacing w:after="0" w:line="3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20" w:type="dxa"/>
            <w:vAlign w:val="bottom"/>
            <w:gridSpan w:val="4"/>
          </w:tcPr>
          <w:p>
            <w:pPr>
              <w:ind w:left="5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7"/>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w w:val="93"/>
              </w:rPr>
              <w:t>Less: total stock-based employee compensation expenses determined under the fair-value based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ind w:left="640"/>
              <w:spacing w:after="0"/>
              <w:rPr>
                <w:sz w:val="20"/>
                <w:szCs w:val="20"/>
                <w:color w:val="auto"/>
              </w:rPr>
            </w:pPr>
            <w:r>
              <w:rPr>
                <w:rFonts w:ascii="Arial" w:cs="Arial" w:eastAsia="Arial" w:hAnsi="Arial"/>
                <w:sz w:val="18"/>
                <w:szCs w:val="18"/>
                <w:color w:val="auto"/>
              </w:rPr>
              <w:t>method for all awards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-27305</wp:posOffset>
            </wp:positionV>
            <wp:extent cx="53594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222" w:lineRule="exact"/>
        <w:rPr>
          <w:sz w:val="20"/>
          <w:szCs w:val="20"/>
          <w:color w:val="auto"/>
        </w:rPr>
      </w:pPr>
    </w:p>
    <w:p>
      <w:pPr>
        <w:ind w:left="240" w:right="8640" w:hanging="232"/>
        <w:spacing w:after="0" w:line="373" w:lineRule="auto"/>
        <w:tabs>
          <w:tab w:leader="none" w:pos="275"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Wynn Las Vegas</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Wynn Las Vegas Enhancements. </w:t>
      </w:r>
      <w:r>
        <w:rPr>
          <w:rFonts w:ascii="Arial" w:cs="Arial" w:eastAsia="Arial" w:hAnsi="Arial"/>
          <w:sz w:val="16"/>
          <w:szCs w:val="16"/>
          <w:color w:val="auto"/>
        </w:rPr>
        <w:t>The Company has made and continues to make certain enhancements and refinements to Wynn Las Vegas. As a result,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has incurred and will continue to incur capital expenditures related to these enhancements and refinements. Under the terms of the Wynn Las Vegas, LLC credit facilities, the Company was permitted up to $172.2 million of capital expenditures in 2007, of which $60.1 million was spent. For 2008, the limit under the Wynn Las Vegas Credit Facilities is $272.1 million, including $112.1 million carried forward from 2007. These spending limits do not apply to any funds that may be contributed to Wynn Las Vegas, LLC by Wynn Resorts.</w:t>
      </w:r>
    </w:p>
    <w:p>
      <w:pPr>
        <w:spacing w:after="0" w:line="10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Encore Construction Development</w:t>
      </w:r>
      <w:r>
        <w:rPr>
          <w:rFonts w:ascii="Arial" w:cs="Arial" w:eastAsia="Arial" w:hAnsi="Arial"/>
          <w:sz w:val="16"/>
          <w:szCs w:val="16"/>
          <w:color w:val="auto"/>
        </w:rPr>
        <w:t>. Encore’s design includes a 2,034 all-suite hotel tower fully integrated with Wynn Las Vegas, as well as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72,000 square foot casino, additional convention and meeting space, restaurants, a nightclub, swimming pools, a spa and salon and retail outlets. The Company commenced construction of Encore on April 28, 2006 and expects to open Encore in December 2008.</w:t>
      </w:r>
    </w:p>
    <w:p>
      <w:pPr>
        <w:spacing w:after="0" w:line="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project budget for Encore is approximately $2.2 billion, consisting of approximately $2.1 billion for Encore and approximately $100 million for an employee parking garage on our Koval property, an associated pedestrian bridge and costs incurred in connection with the theater remodeling and production of “Monty Python’s Spamalot” at Wynn Las Vegas. The project budget is being funded from our existing Credit Facilities, operating cash flow from Wynn Las Vegas and remaining proceeds from a $400 million addition to the Wynn Las Vegas First Mortgage Notes that was completed in November 2007 (see Note 7). To the extent additional funds are required, they will be provided from additional debt and equity contributions by Wynn Resorts or additional indebtedness to be incurred by Wynn Las Vegas.</w:t>
      </w:r>
    </w:p>
    <w:p>
      <w:pPr>
        <w:spacing w:after="0" w:line="13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February 27, 2007, the Company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the Company and Tutor executed the First Amendment to the Contract which set the Guaranteed Maximum Price (“GMP”) for construction work covered by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2007, the Company has incurred approximately $998.7 million of project costs related to the development and construction of Encore and related capital improvements.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Completion Guarantee </w:t>
      </w:r>
      <w:r>
        <w:rPr>
          <w:rFonts w:ascii="Arial" w:cs="Arial" w:eastAsia="Arial" w:hAnsi="Arial"/>
          <w:sz w:val="16"/>
          <w:szCs w:val="16"/>
          <w:color w:val="auto"/>
        </w:rPr>
        <w:t>As part of the Wynn Las Vegas financing, the Company contributed $50 million of the net proceeds of the initial public offering of</w:t>
      </w:r>
      <w:r>
        <w:rPr>
          <w:rFonts w:ascii="Arial" w:cs="Arial" w:eastAsia="Arial" w:hAnsi="Arial"/>
          <w:sz w:val="16"/>
          <w:szCs w:val="16"/>
          <w:i w:val="1"/>
          <w:iCs w:val="1"/>
          <w:color w:val="auto"/>
        </w:rPr>
        <w:t xml:space="preserve"> </w:t>
      </w:r>
      <w:r>
        <w:rPr>
          <w:rFonts w:ascii="Arial" w:cs="Arial" w:eastAsia="Arial" w:hAnsi="Arial"/>
          <w:sz w:val="16"/>
          <w:szCs w:val="16"/>
          <w:color w:val="auto"/>
        </w:rPr>
        <w:t>Wynn Resorts’ common stock to Wynn Completion Guarantor, LLC, a special purpose subsidiary of Wynn Las Vegas, LLC and deposited those funds into a completion guarantee deposit account to secure completion of Wynn Las Vegas. As referenced in Note 7, in April 2007 all amounts in excess of $30 million were released as a result of the April 2007 amendment to the Credit Facilities. The remaining $30 million is retained as Encore’s completion guarantee.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77"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2009</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the Company is the lessee under leases for certain land, buildings and office equipment. Total minimum payments of approximately $9.7 million are to be made under non-cancelable leases for approximately $1.7 million in 2008 and 2009, $1.2 million in 2010, $1.1 million in 2011 and 2012 and approximately $2.9 million thereafter.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274" w:right="29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Condensed Consolidating Financial Information of Guarantors and Issuers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2007 and 2006, and for each of the three years in the period ended December 31, 2007.</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74" w:right="27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Current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135,094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58,612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360,218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2,825,608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205,795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3,031,403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41,536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5,077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2,173</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3,392,123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221,908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3,647,256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28,811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44,516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88,299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(148,607)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189,121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191,450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Long-term debt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1,914,184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1,954,084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1,118</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2,017,103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231,350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2,272,236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Member’s equity: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1,461,949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(12,530)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1,461,949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Accumulated earnings (deficit)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(86,929)</w:t>
            </w:r>
          </w:p>
        </w:tc>
        <w:tc>
          <w:tcPr>
            <w:tcW w:w="12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(21,972)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14,703</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(86,929)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1,375,020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(9,442)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1,375,020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3,392,123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221,908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3,647,256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40" w:type="dxa"/>
            <w:vAlign w:val="bottom"/>
            <w:gridSpan w:val="3"/>
          </w:tcPr>
          <w:p>
            <w:pPr>
              <w:ind w:left="1220"/>
              <w:spacing w:after="0"/>
              <w:rPr>
                <w:sz w:val="20"/>
                <w:szCs w:val="20"/>
                <w:color w:val="auto"/>
              </w:rPr>
            </w:pPr>
            <w:r>
              <w:rPr>
                <w:rFonts w:ascii="Arial" w:cs="Arial" w:eastAsia="Arial" w:hAnsi="Arial"/>
                <w:sz w:val="18"/>
                <w:szCs w:val="18"/>
                <w:color w:val="auto"/>
              </w:rPr>
              <w:t>68</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-3962400</wp:posOffset>
            </wp:positionV>
            <wp:extent cx="53594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-3962400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-3962400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-3962400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-3962400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-3962400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-3962400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-3962400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-3962400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-3962400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-3962400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-3962400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-3962400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-325755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-325755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46736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93,825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24,621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120,489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49,451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21,321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309,707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118,965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53,931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172,896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82,379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2,219,360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199,801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2,419,161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22,058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45,215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56,243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2,045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(2,045)</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2,855,972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212,030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3,119,888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28,364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36,235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18,078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67,317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(161,022)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175,664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182,163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1,613,892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1,647,092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1,613,202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215,363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1,877,118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1,453,918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(12,530)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1,453,918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Accumulated earnings (deficit)</w:t>
            </w:r>
          </w:p>
        </w:tc>
        <w:tc>
          <w:tcPr>
            <w:tcW w:w="8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(211,148)</w:t>
            </w:r>
          </w:p>
        </w:tc>
        <w:tc>
          <w:tcPr>
            <w:tcW w:w="12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(15,863)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5,378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10,485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(211,148)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1,242,770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(2,045)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1,242,770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2,855,972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212,030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3,119,888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-3825240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-3825240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-3825240</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-3825240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-3825240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-3825240</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-3825240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-3825240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-3825240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-3825240</wp:posOffset>
            </wp:positionV>
            <wp:extent cx="46736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-3825240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-3825240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-3825240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-325755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-325755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-325755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-325755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7"/>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7"/>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642,327</w:t>
            </w:r>
          </w:p>
        </w:tc>
        <w:tc>
          <w:tcPr>
            <w:tcW w:w="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311,032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1,449,365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(152,718)</w:t>
            </w:r>
          </w:p>
        </w:tc>
        <w:tc>
          <w:tcPr>
            <w:tcW w:w="18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1,296,647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1,295,851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276,523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192,497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202,135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19,473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147,413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1,092,910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(4,218)</w:t>
            </w: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796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199,519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12,321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1,896</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(83,249)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(4,372)</w:t>
            </w: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(75,300)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-325755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-325755</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-325755</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-325755</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-325755</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-325755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535,561</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295,205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1,295,012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1,293,603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(154,255)</w:t>
            </w:r>
          </w:p>
        </w:tc>
        <w:tc>
          <w:tcPr>
            <w:tcW w:w="180" w:type="dxa"/>
            <w:vAlign w:val="bottom"/>
          </w:tcPr>
          <w:p>
            <w:pPr>
              <w:spacing w:after="0"/>
              <w:rPr>
                <w:sz w:val="19"/>
                <w:szCs w:val="19"/>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(154,255)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1,140,757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250,447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185,382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183,166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17,091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142,713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4,895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termination fee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14,399</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1,021,916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(3,090)</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3,090</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20,303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(114,584)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(117,787)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(105,943)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(106,648)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6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-325755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-325755</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-325755</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-325755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-325755</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-325755</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Issuers</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125,797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823,475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823,215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(100,923)</w:t>
            </w:r>
          </w:p>
        </w:tc>
        <w:tc>
          <w:tcPr>
            <w:tcW w:w="160" w:type="dxa"/>
            <w:vAlign w:val="bottom"/>
          </w:tcPr>
          <w:p>
            <w:pPr>
              <w:spacing w:after="0"/>
              <w:rPr>
                <w:sz w:val="19"/>
                <w:szCs w:val="19"/>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(100,923)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722,552</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722,292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110,931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90,355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3,942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706,881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709,846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(2,898)</w:t>
            </w:r>
          </w:p>
        </w:tc>
        <w:tc>
          <w:tcPr>
            <w:tcW w:w="1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17,085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(85,072)</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9,940</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(58,047)</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(45,274)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(4,283)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333"/>
              <w:spacing w:after="0"/>
              <w:rPr>
                <w:sz w:val="20"/>
                <w:szCs w:val="20"/>
                <w:color w:val="auto"/>
              </w:rPr>
            </w:pPr>
            <w:r>
              <w:rPr>
                <w:rFonts w:ascii="Arial" w:cs="Arial" w:eastAsia="Arial" w:hAnsi="Arial"/>
                <w:sz w:val="18"/>
                <w:szCs w:val="18"/>
                <w:color w:val="auto"/>
                <w:w w:val="99"/>
              </w:rPr>
              <w:t>72</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-325755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-325755</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-325755</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-325755</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-325755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0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Entries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$ 124,219</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(6,109)</w:t>
            </w: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1,891</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00"/>
              <w:spacing w:after="0"/>
              <w:rPr>
                <w:sz w:val="20"/>
                <w:szCs w:val="20"/>
                <w:color w:val="auto"/>
              </w:rPr>
            </w:pPr>
            <w:r>
              <w:rPr>
                <w:rFonts w:ascii="Arial" w:cs="Arial" w:eastAsia="Arial" w:hAnsi="Arial"/>
                <w:sz w:val="18"/>
                <w:szCs w:val="18"/>
                <w:color w:val="auto"/>
                <w:w w:val="79"/>
              </w:rPr>
              <w:t>4,218</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147,413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4,218</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(4,218)</w:t>
            </w: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21,139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6,005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swap fair value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(41,744)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(7,252)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35,963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7,642</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320,801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retentions</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(667,060)</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(11,420)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143,586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(21,542)</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(4,707)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(20,585)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2"/>
              </w:rPr>
              <w:t>(24,770)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964</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8"/>
              </w:rPr>
              <w:t>(564,637)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(243,352)</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(39,559)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543,460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(3,541)</w:t>
            </w:r>
          </w:p>
        </w:tc>
        <w:tc>
          <w:tcPr>
            <w:tcW w:w="140" w:type="dxa"/>
            <w:vAlign w:val="bottom"/>
          </w:tcPr>
          <w:p>
            <w:pPr>
              <w:spacing w:after="0"/>
              <w:rPr>
                <w:sz w:val="19"/>
                <w:szCs w:val="19"/>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296,567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52,731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year</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93,825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$ 146,556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720" w:type="dxa"/>
            <w:vAlign w:val="bottom"/>
          </w:tcPr>
          <w:p>
            <w:pPr>
              <w:jc w:val="right"/>
              <w:ind w:right="393"/>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-325755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-325755</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-325755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-325755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-325755</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-325755</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46736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Issuers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9,808</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(5,588)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2,498</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3,090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(loss) to net cash provided by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142,713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3,090</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(1,159)</w:t>
            </w:r>
          </w:p>
        </w:tc>
        <w:tc>
          <w:tcPr>
            <w:tcW w:w="16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14,399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(52,644)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(7,546)</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275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32,985</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204,419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w w:val="99"/>
              </w:rPr>
              <w:t>Capital expenditures, net of construction payables and retention</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(212,455)</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(37,071)</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(249,526)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199,738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(2,498)</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(21,423)</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(60,024)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(94,164)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(2,498)</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(435,142)</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(5,027)</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(440,169)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328,892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Proceeds from termination of interest rate swap</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(4,572)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(104,217)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(5,027)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(109,244)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6,038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year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13"/>
              <w:spacing w:after="0"/>
              <w:rPr>
                <w:sz w:val="20"/>
                <w:szCs w:val="20"/>
                <w:color w:val="auto"/>
              </w:rPr>
            </w:pPr>
            <w:r>
              <w:rPr>
                <w:rFonts w:ascii="Arial" w:cs="Arial" w:eastAsia="Arial" w:hAnsi="Arial"/>
                <w:sz w:val="18"/>
                <w:szCs w:val="18"/>
                <w:color w:val="auto"/>
              </w:rPr>
              <w:t>74</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-325755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-325755</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-325755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-325755</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Issuers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(45,274)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(4,283)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1,385</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2,898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(loss) to net cash provided by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90,355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2,898</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14,203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(9,940)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(107,092)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265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(54,901)</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130,679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13,273</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retentions</w:t>
            </w:r>
          </w:p>
        </w:tc>
        <w:tc>
          <w:tcPr>
            <w:tcW w:w="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(648,527)</w:t>
            </w: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(8,916)</w:t>
            </w:r>
          </w:p>
        </w:tc>
        <w:tc>
          <w:tcPr>
            <w:tcW w:w="16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(657,443)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385,223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(3,739)</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(80,000)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(36,725)</w:t>
            </w: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(29,723)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8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(373,999)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(42,355)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(417,739)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(120,000)</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(1,214)</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503,436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(7,638)</w:t>
            </w: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375,798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419,080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62,095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year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13"/>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-325755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-325755</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-325755</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-325755</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387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3873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2007 and 2006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80" w:type="dxa"/>
            <w:vAlign w:val="bottom"/>
            <w:gridSpan w:val="6"/>
          </w:tcPr>
          <w:p>
            <w:pPr>
              <w:jc w:val="right"/>
              <w:ind w:right="432"/>
              <w:spacing w:after="0"/>
              <w:rPr>
                <w:sz w:val="20"/>
                <w:szCs w:val="20"/>
                <w:color w:val="auto"/>
              </w:rPr>
            </w:pPr>
            <w:r>
              <w:rPr>
                <w:rFonts w:ascii="Arial" w:cs="Arial" w:eastAsia="Arial" w:hAnsi="Arial"/>
                <w:sz w:val="14"/>
                <w:szCs w:val="14"/>
                <w:b w:val="1"/>
                <w:bCs w:val="1"/>
                <w:color w:val="auto"/>
              </w:rPr>
              <w:t>Year Ended December 31, 2007</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First</w:t>
            </w: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Second</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22"/>
                <w:szCs w:val="22"/>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22"/>
                <w:szCs w:val="22"/>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$ 330,934</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$ 335,181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$ 305,798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$ 323,938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$ 1,295,851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Operating income</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59,014</w:t>
            </w:r>
          </w:p>
        </w:tc>
        <w:tc>
          <w:tcPr>
            <w:tcW w:w="4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63,420</w:t>
            </w:r>
          </w:p>
        </w:tc>
        <w:tc>
          <w:tcPr>
            <w:tcW w:w="700" w:type="dxa"/>
            <w:vAlign w:val="bottom"/>
          </w:tcPr>
          <w:p>
            <w:pPr>
              <w:jc w:val="right"/>
              <w:spacing w:after="0"/>
              <w:rPr>
                <w:sz w:val="20"/>
                <w:szCs w:val="20"/>
                <w:color w:val="auto"/>
              </w:rPr>
            </w:pPr>
            <w:r>
              <w:rPr>
                <w:rFonts w:ascii="Arial" w:cs="Arial" w:eastAsia="Arial" w:hAnsi="Arial"/>
                <w:sz w:val="18"/>
                <w:szCs w:val="18"/>
                <w:color w:val="auto"/>
              </w:rPr>
              <w:t>35,803</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42,384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200,621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37,572</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45,354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80" w:type="dxa"/>
            <w:vAlign w:val="bottom"/>
            <w:gridSpan w:val="6"/>
          </w:tcPr>
          <w:p>
            <w:pPr>
              <w:jc w:val="right"/>
              <w:ind w:right="432"/>
              <w:spacing w:after="0"/>
              <w:rPr>
                <w:sz w:val="20"/>
                <w:szCs w:val="20"/>
                <w:color w:val="auto"/>
              </w:rPr>
            </w:pPr>
            <w:r>
              <w:rPr>
                <w:rFonts w:ascii="Arial" w:cs="Arial" w:eastAsia="Arial" w:hAnsi="Arial"/>
                <w:sz w:val="14"/>
                <w:szCs w:val="14"/>
                <w:b w:val="1"/>
                <w:bCs w:val="1"/>
                <w:color w:val="auto"/>
              </w:rPr>
              <w:t>Year Ended December 31, 2006</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First</w:t>
            </w: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Second</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22"/>
                <w:szCs w:val="22"/>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22"/>
                <w:szCs w:val="22"/>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$ 277,361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$ 273,562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$ 273,228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$ 315,197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$ 1,139,348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Operating income</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22,248</w:t>
            </w:r>
          </w:p>
        </w:tc>
        <w:tc>
          <w:tcPr>
            <w:tcW w:w="4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22,140</w:t>
            </w:r>
          </w:p>
        </w:tc>
        <w:tc>
          <w:tcPr>
            <w:tcW w:w="700" w:type="dxa"/>
            <w:vAlign w:val="bottom"/>
          </w:tcPr>
          <w:p>
            <w:pPr>
              <w:jc w:val="right"/>
              <w:spacing w:after="0"/>
              <w:rPr>
                <w:sz w:val="20"/>
                <w:szCs w:val="20"/>
                <w:color w:val="auto"/>
              </w:rPr>
            </w:pPr>
            <w:r>
              <w:rPr>
                <w:rFonts w:ascii="Arial" w:cs="Arial" w:eastAsia="Arial" w:hAnsi="Arial"/>
                <w:sz w:val="18"/>
                <w:szCs w:val="18"/>
                <w:color w:val="auto"/>
              </w:rPr>
              <w:t>22,440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49,628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116,456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(408)</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(15,864)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40" w:type="dxa"/>
            <w:vAlign w:val="bottom"/>
          </w:tcPr>
          <w:p>
            <w:pPr>
              <w:jc w:val="right"/>
              <w:ind w:right="392"/>
              <w:spacing w:after="0"/>
              <w:rPr>
                <w:sz w:val="20"/>
                <w:szCs w:val="20"/>
                <w:color w:val="auto"/>
              </w:rPr>
            </w:pPr>
            <w:r>
              <w:rPr>
                <w:rFonts w:ascii="Arial" w:cs="Arial" w:eastAsia="Arial" w:hAnsi="Arial"/>
                <w:sz w:val="18"/>
                <w:szCs w:val="18"/>
                <w:color w:val="auto"/>
              </w:rPr>
              <w:t>76</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firstLine="464"/>
        <w:spacing w:after="0" w:line="286"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2007,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13" w:lineRule="exact"/>
        <w:rPr>
          <w:rFonts w:ascii="Arial" w:cs="Arial" w:eastAsia="Arial" w:hAnsi="Arial"/>
          <w:sz w:val="16"/>
          <w:szCs w:val="16"/>
          <w:color w:val="auto"/>
        </w:rPr>
      </w:pPr>
    </w:p>
    <w:p>
      <w:pPr>
        <w:ind w:right="46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2007.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Based on our assessment, management believes that, as of December 31, 2007, the Company’s internal control over financial reporting was effective.</w:t>
      </w:r>
    </w:p>
    <w:p>
      <w:pPr>
        <w:spacing w:after="0" w:line="181" w:lineRule="exact"/>
        <w:rPr>
          <w:sz w:val="20"/>
          <w:szCs w:val="20"/>
          <w:color w:val="auto"/>
        </w:rPr>
      </w:pPr>
    </w:p>
    <w:p>
      <w:pPr>
        <w:ind w:right="40" w:firstLine="464"/>
        <w:spacing w:after="0" w:line="306"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274" w:right="27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shows the fees paid or accrued by us for audit and other services provided by our auditors, Ernst &amp; Young LLP, during each of the years ended December 31, 2007 and 2006:</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ind w:left="400"/>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95"/>
        </w:trPr>
        <w:tc>
          <w:tcPr>
            <w:tcW w:w="780" w:type="dxa"/>
            <w:vAlign w:val="bottom"/>
            <w:gridSpan w:val="2"/>
          </w:tcPr>
          <w:p>
            <w:pPr>
              <w:spacing w:after="0"/>
              <w:rPr>
                <w:sz w:val="8"/>
                <w:szCs w:val="8"/>
                <w:color w:val="auto"/>
              </w:rPr>
            </w:pPr>
          </w:p>
        </w:tc>
        <w:tc>
          <w:tcPr>
            <w:tcW w:w="34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249,022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177,339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360" w:firstLine="456"/>
        <w:spacing w:after="0" w:line="281" w:lineRule="auto"/>
        <w:rPr>
          <w:sz w:val="20"/>
          <w:szCs w:val="20"/>
          <w:color w:val="auto"/>
        </w:rPr>
      </w:pPr>
      <w:r>
        <w:rPr>
          <w:rFonts w:ascii="Arial" w:cs="Arial" w:eastAsia="Arial" w:hAnsi="Arial"/>
          <w:sz w:val="16"/>
          <w:szCs w:val="16"/>
          <w:color w:val="auto"/>
        </w:rPr>
        <w:t>“Audit fees” includes the aggregate fees billed by our principal auditors for professional services rendered for the audit of our consolidated financial statements for the year ended December 31. “Audit fees” also includes amounts billed for services provided in connection with the preparation of an offering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memorandum in 2007 relating to the issuance of $400 million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w:t>
      </w:r>
    </w:p>
    <w:p>
      <w:pPr>
        <w:spacing w:after="0" w:line="15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of the principal accounting fees and services were pre-approved by the Audit Committee in 2007 and 2006. The Audit Committee pre-approves services either by: (1) approving a request from management to engage our principal auditors for a specific project at a specific fee or rate or (2) by pre-approving certain types of services that would comprise the fees within each of the above categories at our principal auditors usual and customary rates.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(a)1. The following consolidated financial statements of the Company are filed as part of this report under Item 8—Financial Statements and Supplemental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70"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Consolidated Balance Sheets as of December 31, 2007 and 2006</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2007, 2006 and 2005</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Consolidated Statements of Member’s Equity for the years ended December 31, 2007, 2006 and 2005</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2007, 2006 and 2005</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 Financial Statement Schedules</w:t>
      </w:r>
    </w:p>
    <w:p>
      <w:pPr>
        <w:spacing w:after="0" w:line="77"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10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w w:val="98"/>
              </w:rPr>
              <w:t>Description</w:t>
            </w: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center"/>
              <w:ind w:right="47"/>
              <w:spacing w:after="0"/>
              <w:rPr>
                <w:sz w:val="20"/>
                <w:szCs w:val="20"/>
                <w:color w:val="auto"/>
              </w:rPr>
            </w:pPr>
            <w:r>
              <w:rPr>
                <w:rFonts w:ascii="Arial" w:cs="Arial" w:eastAsia="Arial" w:hAnsi="Arial"/>
                <w:sz w:val="14"/>
                <w:szCs w:val="14"/>
                <w:b w:val="1"/>
                <w:bCs w:val="1"/>
                <w:color w:val="auto"/>
                <w:w w:val="89"/>
              </w:rPr>
              <w:t>2007</w:t>
            </w:r>
          </w:p>
        </w:tc>
        <w:tc>
          <w:tcPr>
            <w:tcW w:w="5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420" w:type="dxa"/>
            <w:vAlign w:val="bottom"/>
            <w:gridSpan w:val="4"/>
            <w:shd w:val="clear" w:color="auto" w:fill="CCEEFF"/>
          </w:tcPr>
          <w:p>
            <w:pPr>
              <w:jc w:val="center"/>
              <w:ind w:left="2612"/>
              <w:spacing w:after="0"/>
              <w:rPr>
                <w:sz w:val="20"/>
                <w:szCs w:val="20"/>
                <w:color w:val="auto"/>
              </w:rPr>
            </w:pPr>
            <w:r>
              <w:rPr>
                <w:rFonts w:ascii="Arial" w:cs="Arial" w:eastAsia="Arial" w:hAnsi="Arial"/>
                <w:sz w:val="18"/>
                <w:szCs w:val="18"/>
                <w:color w:val="auto"/>
                <w:w w:val="91"/>
              </w:rPr>
              <w:t>$ 35,002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w w:val="98"/>
              </w:rPr>
              <w:t>Description</w:t>
            </w: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center"/>
              <w:ind w:right="47"/>
              <w:spacing w:after="0"/>
              <w:rPr>
                <w:sz w:val="20"/>
                <w:szCs w:val="20"/>
                <w:color w:val="auto"/>
              </w:rPr>
            </w:pPr>
            <w:r>
              <w:rPr>
                <w:rFonts w:ascii="Arial" w:cs="Arial" w:eastAsia="Arial" w:hAnsi="Arial"/>
                <w:sz w:val="14"/>
                <w:szCs w:val="14"/>
                <w:b w:val="1"/>
                <w:bCs w:val="1"/>
                <w:color w:val="auto"/>
                <w:w w:val="89"/>
              </w:rPr>
              <w:t>2006</w:t>
            </w:r>
          </w:p>
        </w:tc>
        <w:tc>
          <w:tcPr>
            <w:tcW w:w="5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420" w:type="dxa"/>
            <w:vAlign w:val="bottom"/>
            <w:gridSpan w:val="4"/>
            <w:shd w:val="clear" w:color="auto" w:fill="CCEEFF"/>
          </w:tcPr>
          <w:p>
            <w:pPr>
              <w:jc w:val="center"/>
              <w:ind w:left="2612"/>
              <w:spacing w:after="0"/>
              <w:rPr>
                <w:sz w:val="20"/>
                <w:szCs w:val="20"/>
                <w:color w:val="auto"/>
              </w:rPr>
            </w:pPr>
            <w:r>
              <w:rPr>
                <w:rFonts w:ascii="Arial" w:cs="Arial" w:eastAsia="Arial" w:hAnsi="Arial"/>
                <w:sz w:val="18"/>
                <w:szCs w:val="18"/>
                <w:color w:val="auto"/>
                <w:w w:val="91"/>
              </w:rPr>
              <w:t>$ 15,812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w w:val="98"/>
              </w:rPr>
              <w:t>Description</w:t>
            </w: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center"/>
              <w:ind w:right="47"/>
              <w:spacing w:after="0"/>
              <w:rPr>
                <w:sz w:val="20"/>
                <w:szCs w:val="20"/>
                <w:color w:val="auto"/>
              </w:rPr>
            </w:pPr>
            <w:r>
              <w:rPr>
                <w:rFonts w:ascii="Arial" w:cs="Arial" w:eastAsia="Arial" w:hAnsi="Arial"/>
                <w:sz w:val="14"/>
                <w:szCs w:val="14"/>
                <w:b w:val="1"/>
                <w:bCs w:val="1"/>
                <w:color w:val="auto"/>
                <w:w w:val="89"/>
              </w:rPr>
              <w:t>2005</w:t>
            </w:r>
          </w:p>
        </w:tc>
        <w:tc>
          <w:tcPr>
            <w:tcW w:w="5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38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40" w:type="dxa"/>
            <w:vAlign w:val="bottom"/>
          </w:tcPr>
          <w:p>
            <w:pPr>
              <w:jc w:val="right"/>
              <w:ind w:right="972"/>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(a)3. 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10820" w:type="dxa"/>
            <w:vAlign w:val="bottom"/>
            <w:gridSpan w:val="3"/>
          </w:tcPr>
          <w:p>
            <w:pPr>
              <w:ind w:left="444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74"/>
        </w:trPr>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No.</w:t>
            </w:r>
          </w:p>
        </w:tc>
        <w:tc>
          <w:tcPr>
            <w:tcW w:w="5280" w:type="dxa"/>
            <w:vAlign w:val="bottom"/>
          </w:tcPr>
          <w:p>
            <w:pPr>
              <w:spacing w:after="0"/>
              <w:rPr>
                <w:sz w:val="15"/>
                <w:szCs w:val="15"/>
                <w:color w:val="auto"/>
              </w:rPr>
            </w:pPr>
          </w:p>
        </w:tc>
        <w:tc>
          <w:tcPr>
            <w:tcW w:w="55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r>
      <w:tr>
        <w:trPr>
          <w:trHeight w:val="316"/>
        </w:trPr>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Wynn Las Vegas, LLC.(1)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Wynn Las Vegas, LLC.(1)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Incorporation of Wynn Las Vegas Capital Corp.(1)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Certificate of Amendment of the Articles of Incorporation of Wynn Las Vegas Capital Corp.(1)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Bylaws of Wynn Las Vegas Capital Corp.(1)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First Amendment to the First Amended and Restated Bylaws of Wynn Las Vegas Capital Corp.(1)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Second Amendment to the First Amended and Restated Bylaws of Wynn Las Vegas Capital Corp.(1)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Kevyn, LLC(16)</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Operating Agreement of Kevyn, LLC(16)</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3.10</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Amended and Restated Articles of Organization of Wynn Golf, LLC.(1)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Golf, LLC.(1)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Las Vegas Jet, LLC.(1)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Las Vegas Jet, LLC.(1)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3.14</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Wynn Sunrise, LLC.(1)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3.15</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Sunrise, LLC.(1)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3.16</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World Travel, LLC.(1)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3.17</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World Travel, LLC.(1)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3.18</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Organization of Wynn Show Performers, LLC.(1)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3.19</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Show Performers, LLC.(1)</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r>
      <w:tr>
        <w:trPr>
          <w:trHeight w:val="222"/>
        </w:trPr>
        <w:tc>
          <w:tcPr>
            <w:tcW w:w="6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trustee.(3)</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7"/>
              </w:rPr>
              <w:t>Supplemental Indenture, dated as of December 14, 2004, among Wynn Las Vegas, LLC, Wynn Las Vegas Capital Corp., the Guarantors set forth</w:t>
            </w:r>
          </w:p>
        </w:tc>
      </w:tr>
      <w:tr>
        <w:trPr>
          <w:trHeight w:val="222"/>
        </w:trPr>
        <w:tc>
          <w:tcPr>
            <w:tcW w:w="6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therein and Wells Fargo Bank, National Association, as trustee.(3)</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7"/>
              </w:rPr>
              <w:t>First Supplemental Indenture, dated as of June 29, 2005, among Wynn Las Vegas, LLC, Wynn Las Vegas Capital Corp., the Guarantors set forth</w:t>
            </w:r>
          </w:p>
        </w:tc>
      </w:tr>
      <w:tr>
        <w:trPr>
          <w:trHeight w:val="222"/>
        </w:trPr>
        <w:tc>
          <w:tcPr>
            <w:tcW w:w="6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therein and U.S. Bank National Association, as trustee.(8)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Second Supplemental Indenture, dated as of July 29, 2005, among Wynn Las Vegas, LLC, Wynn Las Vegas Capital Corp., the Guarantors set</w:t>
            </w:r>
          </w:p>
        </w:tc>
      </w:tr>
      <w:tr>
        <w:trPr>
          <w:trHeight w:val="222"/>
        </w:trPr>
        <w:tc>
          <w:tcPr>
            <w:tcW w:w="6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forth therein and U.S. Bank National Association, as trustee.(16)</w:t>
            </w:r>
          </w:p>
        </w:tc>
      </w:tr>
      <w:tr>
        <w:trPr>
          <w:trHeight w:val="365"/>
        </w:trPr>
        <w:tc>
          <w:tcPr>
            <w:tcW w:w="600" w:type="dxa"/>
            <w:vAlign w:val="bottom"/>
          </w:tcPr>
          <w:p>
            <w:pPr>
              <w:spacing w:after="0"/>
              <w:rPr>
                <w:sz w:val="24"/>
                <w:szCs w:val="24"/>
                <w:color w:val="auto"/>
              </w:rPr>
            </w:pPr>
          </w:p>
        </w:tc>
        <w:tc>
          <w:tcPr>
            <w:tcW w:w="5280" w:type="dxa"/>
            <w:vAlign w:val="bottom"/>
          </w:tcPr>
          <w:p>
            <w:pPr>
              <w:ind w:left="5020"/>
              <w:spacing w:after="0"/>
              <w:rPr>
                <w:sz w:val="20"/>
                <w:szCs w:val="20"/>
                <w:color w:val="auto"/>
              </w:rPr>
            </w:pPr>
            <w:r>
              <w:rPr>
                <w:rFonts w:ascii="Arial" w:cs="Arial" w:eastAsia="Arial" w:hAnsi="Arial"/>
                <w:sz w:val="18"/>
                <w:szCs w:val="18"/>
                <w:color w:val="auto"/>
              </w:rPr>
              <w:t>80</w:t>
            </w:r>
          </w:p>
        </w:tc>
        <w:tc>
          <w:tcPr>
            <w:tcW w:w="9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80" w:name="page81"/>
    <w:bookmarkEnd w:id="80"/>
    <w:p>
      <w:pPr>
        <w:jc w:val="center"/>
        <w:ind w:right="472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7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60325</wp:posOffset>
            </wp:positionV>
            <wp:extent cx="3771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-260350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90805</wp:posOffset>
            </wp:positionV>
            <wp:extent cx="5746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140" w:space="720"/>
            <w:col w:w="5420"/>
          </w:cols>
          <w:pgMar w:left="340" w:top="275" w:right="279" w:bottom="1440" w:gutter="0" w:footer="0" w:header="0"/>
        </w:sectPr>
      </w:pPr>
    </w:p>
    <w:p>
      <w:pPr>
        <w:spacing w:after="0" w:line="8" w:lineRule="exact"/>
        <w:rPr>
          <w:sz w:val="20"/>
          <w:szCs w:val="20"/>
          <w:color w:val="auto"/>
        </w:rPr>
      </w:pPr>
    </w:p>
    <w:p>
      <w:pPr>
        <w:ind w:left="1060" w:right="480" w:hanging="772"/>
        <w:spacing w:after="0" w:line="259" w:lineRule="auto"/>
        <w:tabs>
          <w:tab w:leader="none" w:pos="10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Registration Rights Agreement, dated as of December 14, 2004, by and among Wynn Las Vegas, LLC, Wynn Las Vegas Capital Corp., the Guarantor signatories thereto and Deutsche Bank Securities Inc., Banc of America Securities LLC, Bear, Stearns &amp; Co. Inc., J.P. Morgan Securities Inc. and SG Americas Securities, LLC.(4)</w:t>
      </w:r>
    </w:p>
    <w:p>
      <w:pPr>
        <w:spacing w:after="0" w:line="86" w:lineRule="exact"/>
        <w:rPr>
          <w:sz w:val="20"/>
          <w:szCs w:val="20"/>
          <w:color w:val="auto"/>
        </w:rPr>
      </w:pPr>
    </w:p>
    <w:p>
      <w:pPr>
        <w:ind w:left="1060" w:right="560" w:hanging="772"/>
        <w:spacing w:after="0" w:line="268" w:lineRule="auto"/>
        <w:tabs>
          <w:tab w:leader="none" w:pos="10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Registration Rights Agreement, dated as of November 6, 2007, by and among Wynn Las Vegas, LLC, Wynn Las Vegas Capital Corp., the Guarantor signatories thereto and Deutsche Bank Securities Inc., Banc of America Securities LLC.(19)</w:t>
      </w:r>
    </w:p>
    <w:p>
      <w:pPr>
        <w:spacing w:after="0" w:line="78" w:lineRule="exact"/>
        <w:rPr>
          <w:sz w:val="20"/>
          <w:szCs w:val="20"/>
          <w:color w:val="auto"/>
        </w:rPr>
      </w:pPr>
    </w:p>
    <w:p>
      <w:pPr>
        <w:ind w:left="1060" w:hanging="860"/>
        <w:spacing w:after="0" w:line="268" w:lineRule="auto"/>
        <w:tabs>
          <w:tab w:leader="none" w:pos="10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Master Disbursement Agreement, dated as of December 14, 2004, among Wynn Las Vegas, LLC, Wynn Las Vegas Capital Corp., Deutsche Bank Trust Company Americas and U.S. Bank National Association.(3)</w:t>
      </w:r>
    </w:p>
    <w:p>
      <w:pPr>
        <w:spacing w:after="0" w:line="78" w:lineRule="exact"/>
        <w:rPr>
          <w:sz w:val="20"/>
          <w:szCs w:val="20"/>
          <w:color w:val="auto"/>
        </w:rPr>
      </w:pPr>
    </w:p>
    <w:p>
      <w:pPr>
        <w:ind w:left="1060" w:right="400" w:hanging="860"/>
        <w:spacing w:after="0" w:line="268" w:lineRule="auto"/>
        <w:tabs>
          <w:tab w:leader="none" w:pos="1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to Master Disbursement Agreement, dated April 26, 2005, among Wynn Las Vegas, LLC, Deutsche Bank Trust Company Americas, as bank agent and Deutsche Bank Trust Company Americas, as disbursement agent.(9)</w:t>
      </w:r>
    </w:p>
    <w:p>
      <w:pPr>
        <w:spacing w:after="0" w:line="78" w:lineRule="exact"/>
        <w:rPr>
          <w:sz w:val="20"/>
          <w:szCs w:val="20"/>
          <w:color w:val="auto"/>
        </w:rPr>
      </w:pPr>
    </w:p>
    <w:p>
      <w:pPr>
        <w:ind w:left="1060" w:right="240" w:hanging="860"/>
        <w:spacing w:after="0" w:line="268" w:lineRule="auto"/>
        <w:tabs>
          <w:tab w:leader="none" w:pos="10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Second Amendment to Master Disbursement Agreement, dated as of June 29, 2005, between Wynn Las Vegas, LLC and Deutsche Bank Trust Company Americas.(8)</w:t>
      </w:r>
    </w:p>
    <w:p>
      <w:pPr>
        <w:spacing w:after="0" w:line="78" w:lineRule="exact"/>
        <w:rPr>
          <w:sz w:val="20"/>
          <w:szCs w:val="20"/>
          <w:color w:val="auto"/>
        </w:rPr>
      </w:pPr>
    </w:p>
    <w:p>
      <w:pPr>
        <w:ind w:left="1060" w:right="220" w:hanging="860"/>
        <w:spacing w:after="0" w:line="268" w:lineRule="auto"/>
        <w:tabs>
          <w:tab w:leader="none" w:pos="10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Third Amendment to Master Disbursement Agreement, dated as of March 13, 2006, between Wynn Las Vegas, LLC and Deutsche Bank Trust Company Americas.(14)</w:t>
      </w:r>
    </w:p>
    <w:p>
      <w:pPr>
        <w:spacing w:after="0" w:line="78" w:lineRule="exact"/>
        <w:rPr>
          <w:sz w:val="20"/>
          <w:szCs w:val="20"/>
          <w:color w:val="auto"/>
        </w:rPr>
      </w:pPr>
    </w:p>
    <w:p>
      <w:pPr>
        <w:ind w:left="1060" w:right="200" w:hanging="860"/>
        <w:spacing w:after="0" w:line="268" w:lineRule="auto"/>
        <w:tabs>
          <w:tab w:leader="none" w:pos="10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Fourth Amendment to Master Disbursement Agreement, dated as of August 15, 2006, among Wynn Las Vegas, LLC and Deutsche Bank Trust Company America, as both agent and disbursement agent.(15)</w:t>
      </w:r>
    </w:p>
    <w:p>
      <w:pPr>
        <w:spacing w:after="0" w:line="78" w:lineRule="exact"/>
        <w:rPr>
          <w:sz w:val="20"/>
          <w:szCs w:val="20"/>
          <w:color w:val="auto"/>
        </w:rPr>
      </w:pPr>
    </w:p>
    <w:p>
      <w:pPr>
        <w:ind w:left="1060" w:right="600" w:hanging="860"/>
        <w:spacing w:after="0" w:line="268" w:lineRule="auto"/>
        <w:tabs>
          <w:tab w:leader="none" w:pos="10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Fifth Amendment to Master Disbursement Agreement, dated as of April 9, 2007 among Wynn Las Vegas, LLC and Deutsche Bank Trust Company Americas.(17)</w:t>
      </w:r>
    </w:p>
    <w:p>
      <w:pPr>
        <w:spacing w:after="0" w:line="78" w:lineRule="exact"/>
        <w:rPr>
          <w:sz w:val="20"/>
          <w:szCs w:val="20"/>
          <w:color w:val="auto"/>
        </w:rPr>
      </w:pPr>
    </w:p>
    <w:p>
      <w:pPr>
        <w:ind w:left="1060" w:right="220" w:hanging="860"/>
        <w:spacing w:after="0" w:line="370" w:lineRule="auto"/>
        <w:tabs>
          <w:tab w:leader="none" w:pos="10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Amended and Restated Master Disbursement Agreement, dated as of October 25, 2007, by and among Wynn Las Vegas, LLC, Deutsche Bank Trust Company Americas, as the initial Bank Agent, and Deutsche Bank Trust Company America, as the initial Disbursement Agent.(20)</w:t>
      </w:r>
    </w:p>
    <w:p>
      <w:pPr>
        <w:spacing w:after="0" w:line="8" w:lineRule="exact"/>
        <w:rPr>
          <w:sz w:val="20"/>
          <w:szCs w:val="20"/>
          <w:color w:val="auto"/>
        </w:rPr>
      </w:pPr>
    </w:p>
    <w:p>
      <w:pPr>
        <w:ind w:left="1060" w:right="300" w:hanging="860"/>
        <w:spacing w:after="0" w:line="259" w:lineRule="auto"/>
        <w:tabs>
          <w:tab w:leader="none" w:pos="10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First Amendment to Amended and Restated Master Disbursement Agreement, dated as of October 31, 2007, by and among Wynn Las Vegas, LLC, Deutsche Bank Trust Company Americas, as the initial Bank Agent, and Deutsche Bank Trust Company America, as the initial Disbursement Agent.(18)</w:t>
      </w:r>
    </w:p>
    <w:p>
      <w:pPr>
        <w:spacing w:after="0" w:line="86" w:lineRule="exact"/>
        <w:rPr>
          <w:sz w:val="20"/>
          <w:szCs w:val="20"/>
          <w:color w:val="auto"/>
        </w:rPr>
      </w:pPr>
    </w:p>
    <w:p>
      <w:pPr>
        <w:ind w:left="1060" w:right="20" w:hanging="860"/>
        <w:spacing w:after="0" w:line="259" w:lineRule="auto"/>
        <w:tabs>
          <w:tab w:leader="none" w:pos="10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Second Amendment to Amended and Restated Master Disbursement Agreement, dated as of November 6, 2007, by and among Wynn Las Vegas, LLC, Deutsche Bank Trust Company Americas, as the Bank Agent, and Deutsche Bank Trust Company Americas, as the Disbursement Agent. (19)</w:t>
      </w:r>
    </w:p>
    <w:p>
      <w:pPr>
        <w:spacing w:after="0" w:line="86" w:lineRule="exact"/>
        <w:rPr>
          <w:sz w:val="20"/>
          <w:szCs w:val="20"/>
          <w:color w:val="auto"/>
        </w:rPr>
      </w:pPr>
    </w:p>
    <w:p>
      <w:pPr>
        <w:ind w:left="1060" w:right="120" w:hanging="948"/>
        <w:spacing w:after="0" w:line="259" w:lineRule="auto"/>
        <w:tabs>
          <w:tab w:leader="none" w:pos="10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Promissory Note and Agreement, dated May 24, 2005, by Wells Fargo Northwest, National Association, not in its individual capacity but solely as owner trustee, and World Travel, LLC; and accepted and agreed to by Bank of America, N.A., as lender and Wells Fargo Bank, National Association, not in its individual capacity but solely as collateral agent.(10)</w:t>
      </w:r>
    </w:p>
    <w:p>
      <w:pPr>
        <w:spacing w:after="0" w:line="86" w:lineRule="exact"/>
        <w:rPr>
          <w:sz w:val="20"/>
          <w:szCs w:val="20"/>
          <w:color w:val="auto"/>
        </w:rPr>
      </w:pPr>
    </w:p>
    <w:p>
      <w:pPr>
        <w:jc w:val="both"/>
        <w:ind w:left="1060" w:right="80" w:hanging="941"/>
        <w:spacing w:after="0" w:line="306" w:lineRule="auto"/>
        <w:tabs>
          <w:tab w:leader="none" w:pos="10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Promissory Note and Agreement, dated May 24, 2005, by Wells Fargo Northwest, National Association, not in its individual capacity but solely as owner trustee, and World Travel, LLC; and accepted and agreed to by The CIT Group / Equipment Financing, Inc., as lender and Wells Fargo Bank, National Association, not in its individual capacity but solely as collateral agent.(10)</w:t>
      </w:r>
    </w:p>
    <w:p>
      <w:pPr>
        <w:spacing w:after="0" w:line="53" w:lineRule="exact"/>
        <w:rPr>
          <w:sz w:val="20"/>
          <w:szCs w:val="20"/>
          <w:color w:val="auto"/>
        </w:rPr>
      </w:pPr>
    </w:p>
    <w:p>
      <w:pPr>
        <w:jc w:val="right"/>
        <w:ind w:left="100"/>
        <w:spacing w:after="0" w:line="332" w:lineRule="auto"/>
        <w:rPr>
          <w:sz w:val="20"/>
          <w:szCs w:val="20"/>
          <w:color w:val="auto"/>
        </w:rPr>
      </w:pPr>
      <w:r>
        <w:rPr>
          <w:rFonts w:ascii="Arial" w:cs="Arial" w:eastAsia="Arial" w:hAnsi="Arial"/>
          <w:sz w:val="16"/>
          <w:szCs w:val="16"/>
          <w:color w:val="auto"/>
        </w:rPr>
        <w:t>10.12       Aircraft Security Agreement, dated May 24, 2005, between Wells Fargo Northwest, National Association, not in its individual capacity but solely as owner trustee, World Travel, LLC and Wells Fargo Bank, National Association, not in its individual capacity but solely as collateral agent.(10)</w:t>
      </w:r>
    </w:p>
    <w:p>
      <w:pPr>
        <w:spacing w:after="0" w:line="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80"/>
          </w:cols>
          <w:pgMar w:left="340" w:top="275" w:right="279" w:bottom="1440" w:gutter="0" w:footer="0" w:header="0"/>
          <w:type w:val="continuous"/>
        </w:sectPr>
      </w:pPr>
    </w:p>
    <w:bookmarkStart w:id="81" w:name="page82"/>
    <w:bookmarkEnd w:id="81"/>
    <w:p>
      <w:pPr>
        <w:jc w:val="center"/>
        <w:ind w:right="472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7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60325</wp:posOffset>
            </wp:positionV>
            <wp:extent cx="3771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-260350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90805</wp:posOffset>
            </wp:positionV>
            <wp:extent cx="57467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140" w:space="720"/>
            <w:col w:w="5400"/>
          </w:cols>
          <w:pgMar w:left="340" w:top="275" w:right="299" w:bottom="1440" w:gutter="0" w:footer="0" w:header="0"/>
        </w:sectPr>
      </w:pPr>
    </w:p>
    <w:p>
      <w:pPr>
        <w:spacing w:after="0" w:line="8" w:lineRule="exact"/>
        <w:rPr>
          <w:sz w:val="20"/>
          <w:szCs w:val="20"/>
          <w:color w:val="auto"/>
        </w:rPr>
      </w:pPr>
    </w:p>
    <w:p>
      <w:pPr>
        <w:ind w:left="1060" w:right="220" w:hanging="948"/>
        <w:spacing w:after="0" w:line="268" w:lineRule="auto"/>
        <w:tabs>
          <w:tab w:leader="none" w:pos="10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Guaranty, dated May 24, 2005, by Wynn Las Vegas, LLC in favor of The CIT Group / Equipment Financing, Inc., Bank of America, N.A. and Wells Fargo Bank, National Association, not in its individual capacity but solely as collateral agent.(10)</w:t>
      </w:r>
    </w:p>
    <w:p>
      <w:pPr>
        <w:spacing w:after="0" w:line="78"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Agreement of Termination, dated June 30, 2005, by and between Stephen A. Wynn and Wynn Las Vegas, LLC.(11)</w:t>
      </w:r>
    </w:p>
    <w:p>
      <w:pPr>
        <w:spacing w:after="0" w:line="117" w:lineRule="exact"/>
        <w:rPr>
          <w:sz w:val="20"/>
          <w:szCs w:val="20"/>
          <w:color w:val="auto"/>
        </w:rPr>
      </w:pPr>
    </w:p>
    <w:p>
      <w:pPr>
        <w:ind w:left="1060" w:right="400" w:hanging="948"/>
        <w:spacing w:after="0" w:line="268" w:lineRule="auto"/>
        <w:tabs>
          <w:tab w:leader="none" w:pos="10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Fourth Amended and Restated Art Rental and Licensing Agreement, dated as of June 30, 2005, between Stephen A. Wynn, as lessor, Wynn Gallery, LLC, as lessee.(11)</w:t>
      </w:r>
    </w:p>
    <w:p>
      <w:pPr>
        <w:spacing w:after="0" w:line="78"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Lump Sum Agreement, by and between Wynn Las Vegas, LLC and Wadsworth Golf Construction Company, effective as of February 18, 2003.</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(6)</w:t>
      </w:r>
    </w:p>
    <w:p>
      <w:pPr>
        <w:spacing w:after="0" w:line="111" w:lineRule="exact"/>
        <w:rPr>
          <w:sz w:val="20"/>
          <w:szCs w:val="20"/>
          <w:color w:val="auto"/>
        </w:rPr>
      </w:pPr>
    </w:p>
    <w:p>
      <w:pPr>
        <w:ind w:left="1060" w:right="40" w:hanging="948"/>
        <w:spacing w:after="0" w:line="268" w:lineRule="auto"/>
        <w:tabs>
          <w:tab w:leader="none" w:pos="10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Completion Guaranty, dated December 14, 2004, by Wynn Completion Guarantor, LLC in favor of Deutsche Bank Trust Company Americas, as the Bank Agent, and U.S. Bank National Association, as Indenture Trustee.(4)</w:t>
      </w:r>
    </w:p>
    <w:p>
      <w:pPr>
        <w:spacing w:after="0" w:line="78"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Purchase Agreement, dated October 25, 2002, by and among Wynn Las Vegas, LLC, Wynn Las Vegas Capital Corp. and Stephen A. Wynn.(2)</w:t>
      </w:r>
    </w:p>
    <w:p>
      <w:pPr>
        <w:spacing w:after="0" w:line="11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Purchase Agreement, dated October 25, 2002, by and among Wynn Las Vegas, LLC, Wynn Las Vegas Capital Corp. and Aruze USA, Inc.(2)</w:t>
      </w:r>
    </w:p>
    <w:p>
      <w:pPr>
        <w:spacing w:after="0" w:line="117" w:lineRule="exact"/>
        <w:rPr>
          <w:sz w:val="20"/>
          <w:szCs w:val="20"/>
          <w:color w:val="auto"/>
        </w:rPr>
      </w:pPr>
    </w:p>
    <w:p>
      <w:pPr>
        <w:ind w:left="1060" w:right="120" w:hanging="948"/>
        <w:spacing w:after="0" w:line="268" w:lineRule="auto"/>
        <w:tabs>
          <w:tab w:leader="none" w:pos="10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Acknowledgement and Agreement, dated as of September 1, 2004, among Wynn Las Vegas, LLC, Wells Fargo Bank, National Association and the lenders named therein.(7)</w:t>
      </w:r>
    </w:p>
    <w:p>
      <w:pPr>
        <w:spacing w:after="0" w:line="78" w:lineRule="exact"/>
        <w:rPr>
          <w:sz w:val="20"/>
          <w:szCs w:val="20"/>
          <w:color w:val="auto"/>
        </w:rPr>
      </w:pPr>
    </w:p>
    <w:p>
      <w:pPr>
        <w:ind w:left="1060" w:hanging="948"/>
        <w:spacing w:after="0" w:line="268" w:lineRule="auto"/>
        <w:tabs>
          <w:tab w:leader="none" w:pos="10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Third Amended and Restated Art Rental and Licensing Agreement, dated as of August 6, 2004, by and between Stephen A. Wynn and Wynn Las Vegas, LLC.(5)</w:t>
      </w:r>
    </w:p>
    <w:p>
      <w:pPr>
        <w:spacing w:after="0" w:line="78" w:lineRule="exact"/>
        <w:rPr>
          <w:sz w:val="20"/>
          <w:szCs w:val="20"/>
          <w:color w:val="auto"/>
        </w:rPr>
      </w:pPr>
    </w:p>
    <w:p>
      <w:pPr>
        <w:ind w:left="1060" w:right="160" w:hanging="948"/>
        <w:spacing w:after="0" w:line="370" w:lineRule="auto"/>
        <w:tabs>
          <w:tab w:leader="none" w:pos="10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Las Vegas, LLC, as trustor, to Nevada Title Company, as trustee, for the benefit of Deutsche Bank Trust Company Americas, as collateral agent.(4)</w:t>
      </w:r>
    </w:p>
    <w:p>
      <w:pPr>
        <w:spacing w:after="0" w:line="8" w:lineRule="exact"/>
        <w:rPr>
          <w:sz w:val="20"/>
          <w:szCs w:val="20"/>
          <w:color w:val="auto"/>
        </w:rPr>
      </w:pPr>
    </w:p>
    <w:p>
      <w:pPr>
        <w:ind w:left="1060" w:right="20" w:hanging="948"/>
        <w:spacing w:after="0" w:line="370" w:lineRule="auto"/>
        <w:tabs>
          <w:tab w:leader="none" w:pos="10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Sunrise, LLC, as trustor, to Nevada Title Company, as trustee, for the benefit of Deutsche Bank Trust Company Americas, as collateral agent.(4)</w:t>
      </w:r>
    </w:p>
    <w:p>
      <w:pPr>
        <w:spacing w:after="0" w:line="8" w:lineRule="exact"/>
        <w:rPr>
          <w:sz w:val="20"/>
          <w:szCs w:val="20"/>
          <w:color w:val="auto"/>
        </w:rPr>
      </w:pPr>
    </w:p>
    <w:p>
      <w:pPr>
        <w:ind w:left="1060" w:right="220" w:hanging="948"/>
        <w:spacing w:after="0" w:line="332" w:lineRule="auto"/>
        <w:tabs>
          <w:tab w:leader="none" w:pos="10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Deed of Trust, Assignment of Rents and Leases, Security Agreement and Fixture Filing, dated as of December 14, 2004, made by Wynn Golf, LLC, as trustor, to Nevada Title Company, as trustee, for the benefit of Deutsche Bank Trust Company Americas, as collateral agent.(4)</w:t>
      </w:r>
    </w:p>
    <w:p>
      <w:pPr>
        <w:spacing w:after="0" w:line="31" w:lineRule="exact"/>
        <w:rPr>
          <w:sz w:val="20"/>
          <w:szCs w:val="20"/>
          <w:color w:val="auto"/>
        </w:rPr>
      </w:pPr>
    </w:p>
    <w:p>
      <w:pPr>
        <w:ind w:left="1060" w:right="60" w:hanging="948"/>
        <w:spacing w:after="0" w:line="306" w:lineRule="auto"/>
        <w:tabs>
          <w:tab w:leader="none" w:pos="10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Guarantee and Collateral Agreement, dated as of December 14, 2004, made by Wynn Resorts Holdings, LLC, Wynn Las Vegas, LLC, Wynn Show Performers, LLC, Wynn Las Vegas Capital Corp., Wynn Golf, LLC, World Travel, LLC, Las Vegas Jet, LLC, Wynn Sunrise, LLC and the other Grantors from time to time party thereto in favor of Deutsche Bank Trust Company Americas, as administrative agent.(4)</w:t>
      </w:r>
    </w:p>
    <w:p>
      <w:pPr>
        <w:spacing w:after="0" w:line="53" w:lineRule="exact"/>
        <w:rPr>
          <w:sz w:val="20"/>
          <w:szCs w:val="20"/>
          <w:color w:val="auto"/>
        </w:rPr>
      </w:pPr>
    </w:p>
    <w:p>
      <w:pPr>
        <w:ind w:left="1060" w:right="100" w:hanging="948"/>
        <w:spacing w:after="0" w:line="268" w:lineRule="auto"/>
        <w:tabs>
          <w:tab w:leader="none" w:pos="10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Intercreditor Agreement, dated as of December 14, 2004, among Deutsche Bank Trust Company Americas, as bank agent, Deutsche Bank Trust Company Americas, as collateral agent, and U.S. Bank National Association, as trustee.(3)</w:t>
      </w:r>
    </w:p>
    <w:p>
      <w:pPr>
        <w:spacing w:after="0" w:line="78" w:lineRule="exact"/>
        <w:rPr>
          <w:sz w:val="20"/>
          <w:szCs w:val="20"/>
          <w:color w:val="auto"/>
        </w:rPr>
      </w:pPr>
    </w:p>
    <w:p>
      <w:pPr>
        <w:ind w:left="1060" w:right="100" w:hanging="948"/>
        <w:spacing w:after="0" w:line="306" w:lineRule="auto"/>
        <w:tabs>
          <w:tab w:leader="none" w:pos="10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Pledge and Security Agreement, dated as of December 14, 2004, made by Wynn Resorts Holdings, LLC, Wynn Las Vegas, LLC, Wynn Show Performers, LLC, Wynn Las Vegas Capital Corp., Wynn Golf, LLC, World Travel, LLC, Las Vegas Jet, LLC, Wynn Sunrise, LLC and the other Grantors from time to time party thereto in favor of Deutsche Bank Trust Company Americas, as administrative agent.(4)</w:t>
      </w:r>
    </w:p>
    <w:p>
      <w:pPr>
        <w:spacing w:after="0" w:line="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60"/>
          </w:cols>
          <w:pgMar w:left="340" w:top="275" w:right="299" w:bottom="1440" w:gutter="0" w:footer="0" w:header="0"/>
          <w:type w:val="continuous"/>
        </w:sectPr>
      </w:pPr>
    </w:p>
    <w:bookmarkStart w:id="82" w:name="page83"/>
    <w:bookmarkEnd w:id="82"/>
    <w:p>
      <w:pPr>
        <w:jc w:val="center"/>
        <w:ind w:right="4628"/>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28"/>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3771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-260350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90805</wp:posOffset>
            </wp:positionV>
            <wp:extent cx="57467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232" w:space="720"/>
            <w:col w:w="5460"/>
          </w:cols>
          <w:pgMar w:left="248" w:top="275" w:right="239" w:bottom="1440" w:gutter="0" w:footer="0" w:header="0"/>
        </w:sectPr>
      </w:pPr>
    </w:p>
    <w:p>
      <w:pPr>
        <w:spacing w:after="0" w:line="8" w:lineRule="exact"/>
        <w:rPr>
          <w:sz w:val="20"/>
          <w:szCs w:val="20"/>
          <w:color w:val="auto"/>
        </w:rPr>
      </w:pPr>
    </w:p>
    <w:p>
      <w:pPr>
        <w:ind w:left="1152" w:right="420" w:hanging="948"/>
        <w:spacing w:after="0" w:line="306" w:lineRule="auto"/>
        <w:tabs>
          <w:tab w:leader="none" w:pos="1132"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 xml:space="preserve">Management Fees Subordination Agreement, dated as of December 14, 2004, by Wynn Resorts, Limited, Wynn Las Vegas, LLC, Wynn Las Vegas Capital Corp., and those subsidiaries of Wynn Las Vegas, LLC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in favor of Deutsche Bank Trust Company Americas, as administrative agent, and U.S. Bank National Association, as trustee.(4)</w:t>
      </w:r>
    </w:p>
    <w:p>
      <w:pPr>
        <w:spacing w:after="0" w:line="53" w:lineRule="exact"/>
        <w:rPr>
          <w:sz w:val="20"/>
          <w:szCs w:val="20"/>
          <w:color w:val="auto"/>
        </w:rPr>
      </w:pPr>
    </w:p>
    <w:p>
      <w:pPr>
        <w:ind w:left="1152" w:right="60" w:hanging="948"/>
        <w:spacing w:after="0" w:line="332" w:lineRule="auto"/>
        <w:tabs>
          <w:tab w:leader="none" w:pos="1132"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Management Agreement, made as of December 14, 2004, by and among Wynn Las Vegas, LLC, Wynn Show Performers, LLC, Wynn Las Vegas Capital Corp., Wynn Golf, LLC, World Travel, LLC, Las Vegas Jet, LLC, Wynn Sunrise, LLC, and Wynn Resorts, Limited.(4)</w:t>
      </w:r>
    </w:p>
    <w:p>
      <w:pPr>
        <w:spacing w:after="0" w:line="31" w:lineRule="exact"/>
        <w:rPr>
          <w:sz w:val="20"/>
          <w:szCs w:val="20"/>
          <w:color w:val="auto"/>
        </w:rPr>
      </w:pPr>
    </w:p>
    <w:p>
      <w:pPr>
        <w:ind w:left="1152" w:right="200" w:hanging="948"/>
        <w:spacing w:after="0" w:line="268" w:lineRule="auto"/>
        <w:tabs>
          <w:tab w:leader="none" w:pos="1132"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Irrevocable Trust Agreement, dated as of December 14, 2004, by and among Wynn Las Vegas, LLC, Wynn Las Vegas Capital Corp., and Wells Fargo Bank, National Association, as Trustee.(4)</w:t>
      </w:r>
    </w:p>
    <w:p>
      <w:pPr>
        <w:spacing w:after="0" w:line="78" w:lineRule="exact"/>
        <w:rPr>
          <w:sz w:val="20"/>
          <w:szCs w:val="20"/>
          <w:color w:val="auto"/>
        </w:rPr>
      </w:pPr>
    </w:p>
    <w:p>
      <w:pPr>
        <w:ind w:left="1152" w:right="20" w:hanging="948"/>
        <w:spacing w:after="0" w:line="268" w:lineRule="auto"/>
        <w:tabs>
          <w:tab w:leader="none" w:pos="1132"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Amended and Restated Project Administration Services Agreement, dated December 14, 2004, between Wynn Las Vegas, LLC and Wynn Design &amp; Development, LLC.(4)</w:t>
      </w:r>
    </w:p>
    <w:p>
      <w:pPr>
        <w:spacing w:after="0" w:line="78" w:lineRule="exact"/>
        <w:rPr>
          <w:sz w:val="20"/>
          <w:szCs w:val="20"/>
          <w:color w:val="auto"/>
        </w:rPr>
      </w:pPr>
    </w:p>
    <w:p>
      <w:pPr>
        <w:ind w:left="1152" w:right="320" w:hanging="948"/>
        <w:spacing w:after="0" w:line="268" w:lineRule="auto"/>
        <w:tabs>
          <w:tab w:leader="none" w:pos="1132"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Intellectual Property License Agreement, dated as of December 14, 2004, by and among Wynn Resorts Holdings, Wynn Resorts, Limited and Wynn Las Vegas, LLC.(4)</w:t>
      </w:r>
    </w:p>
    <w:p>
      <w:pPr>
        <w:spacing w:after="0" w:line="78" w:lineRule="exact"/>
        <w:rPr>
          <w:sz w:val="20"/>
          <w:szCs w:val="20"/>
          <w:color w:val="auto"/>
        </w:rPr>
      </w:pPr>
    </w:p>
    <w:p>
      <w:pPr>
        <w:ind w:left="192"/>
        <w:spacing w:after="0"/>
        <w:tabs>
          <w:tab w:leader="none" w:pos="1132"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5"/>
          <w:szCs w:val="15"/>
          <w:color w:val="auto"/>
        </w:rPr>
        <w:t>Employment Agreement, dated as of August 31, 2005, between Wynn Las Vegas, LLC and Andrew Pascal.(12)</w:t>
      </w:r>
    </w:p>
    <w:p>
      <w:pPr>
        <w:spacing w:after="0" w:line="117" w:lineRule="exact"/>
        <w:rPr>
          <w:sz w:val="20"/>
          <w:szCs w:val="20"/>
          <w:color w:val="auto"/>
        </w:rPr>
      </w:pPr>
    </w:p>
    <w:p>
      <w:pPr>
        <w:ind w:left="192"/>
        <w:spacing w:after="0"/>
        <w:tabs>
          <w:tab w:leader="none" w:pos="1132"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5"/>
          <w:szCs w:val="15"/>
          <w:color w:val="auto"/>
        </w:rPr>
        <w:t>Employment Agreement, dated as of September 16, 2003 by and between Wynn Las Vegas, LLC and David Sisk.(1)</w:t>
      </w:r>
    </w:p>
    <w:p>
      <w:pPr>
        <w:spacing w:after="0" w:line="117" w:lineRule="exact"/>
        <w:rPr>
          <w:sz w:val="20"/>
          <w:szCs w:val="20"/>
          <w:color w:val="auto"/>
        </w:rPr>
      </w:pPr>
    </w:p>
    <w:p>
      <w:pPr>
        <w:ind w:left="192"/>
        <w:spacing w:after="0"/>
        <w:tabs>
          <w:tab w:leader="none" w:pos="1132"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First Amendment to Employment Agreement, dated October 20, 2003, by and between Wynn Las Vegas, LLC and David Sisk.(1)</w:t>
      </w:r>
    </w:p>
    <w:p>
      <w:pPr>
        <w:spacing w:after="0" w:line="117" w:lineRule="exact"/>
        <w:rPr>
          <w:sz w:val="20"/>
          <w:szCs w:val="20"/>
          <w:color w:val="auto"/>
        </w:rPr>
      </w:pPr>
    </w:p>
    <w:p>
      <w:pPr>
        <w:ind w:left="1152" w:right="480" w:hanging="948"/>
        <w:spacing w:after="0" w:line="268" w:lineRule="auto"/>
        <w:tabs>
          <w:tab w:leader="none" w:pos="1132"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Amended and Restated Credit Agreement, dated as of August 15, 2006 among Wynn Las Vegas, LLC, as the Borrower, several lenders and agents, and Deutsche Bank Trust Company Americas, as Administrative Agent.(21)</w:t>
      </w:r>
    </w:p>
    <w:p>
      <w:pPr>
        <w:spacing w:after="0" w:line="78" w:lineRule="exact"/>
        <w:rPr>
          <w:sz w:val="20"/>
          <w:szCs w:val="20"/>
          <w:color w:val="auto"/>
        </w:rPr>
      </w:pPr>
    </w:p>
    <w:p>
      <w:pPr>
        <w:ind w:left="1152" w:right="80" w:hanging="948"/>
        <w:spacing w:after="0" w:line="298" w:lineRule="auto"/>
        <w:tabs>
          <w:tab w:leader="none" w:pos="1132"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First Amendment to Amended and Restated Credit Agreement dated April 9, 2007 among Wynn Las Vegas, LLC, Wynn Las Vegas Capital Corp., Wynn Show Performers, LLC, Wynn Golf, LLC, Wynn Sunrise, LLC, World Travel, LLC, Kevyn, LLC, Las Vegas Jet, LLC, and Deutsche Bank Trust Company Americas, as Administrative Agent on behalf of the several banks and other financial institutions or entities from time to time party to Wynn Las Vegas LLC’s Amended and Restated Credit Agreement, dated as of August 15, 2006.(17)</w:t>
      </w:r>
    </w:p>
    <w:p>
      <w:pPr>
        <w:spacing w:after="0" w:line="59" w:lineRule="exact"/>
        <w:rPr>
          <w:sz w:val="20"/>
          <w:szCs w:val="20"/>
          <w:color w:val="auto"/>
        </w:rPr>
      </w:pPr>
    </w:p>
    <w:p>
      <w:pPr>
        <w:ind w:left="1152" w:hanging="948"/>
        <w:spacing w:after="0" w:line="255" w:lineRule="auto"/>
        <w:tabs>
          <w:tab w:leader="none" w:pos="1132"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Second Amendment to Amended and Restated Credit Agreement dated October 31, 2007 among Wynn Las Vegas, LLC, Wynn Las Vegas Capital Corp., Wynn Show Performers, LLC, Wynn Golf, LLC, Wynn Sunrise, LLC, World Travel, LLC, Kevyn, LLC, Las Vegas Jet, LLC, Wynn Resorts Holdings, LLC, Wynn Completion Guarantors, LLC and Deutsche Bank Trust Company Americas, as Administrative Agent on behalf of the several banks and other financial institutions or entities from time to time party to Wynn Las Vegas LLC’s Amended and Restated Credit Agreement, dated as of August 15, 2006.(18)</w:t>
      </w:r>
    </w:p>
    <w:p>
      <w:pPr>
        <w:spacing w:after="0" w:line="89" w:lineRule="exact"/>
        <w:rPr>
          <w:sz w:val="20"/>
          <w:szCs w:val="20"/>
          <w:color w:val="auto"/>
        </w:rPr>
      </w:pPr>
    </w:p>
    <w:p>
      <w:pPr>
        <w:ind w:left="292"/>
        <w:spacing w:after="0"/>
        <w:tabs>
          <w:tab w:leader="none" w:pos="113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Registrant. Pursuant to General Instructions I of Form 10-K, the list of subsidiaries is omitted.</w:t>
      </w:r>
    </w:p>
    <w:p>
      <w:pPr>
        <w:spacing w:after="0" w:line="117" w:lineRule="exact"/>
        <w:rPr>
          <w:sz w:val="20"/>
          <w:szCs w:val="20"/>
          <w:color w:val="auto"/>
        </w:rPr>
      </w:pPr>
    </w:p>
    <w:p>
      <w:pPr>
        <w:ind w:left="292"/>
        <w:spacing w:after="0"/>
        <w:tabs>
          <w:tab w:leader="none" w:pos="113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2002.(16)</w:t>
      </w:r>
    </w:p>
    <w:p>
      <w:pPr>
        <w:spacing w:after="0" w:line="117" w:lineRule="exact"/>
        <w:rPr>
          <w:sz w:val="20"/>
          <w:szCs w:val="20"/>
          <w:color w:val="auto"/>
        </w:rPr>
      </w:pPr>
    </w:p>
    <w:p>
      <w:pPr>
        <w:ind w:left="292"/>
        <w:spacing w:after="0"/>
        <w:tabs>
          <w:tab w:leader="none" w:pos="113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2002.(16)</w:t>
      </w:r>
    </w:p>
    <w:p>
      <w:pPr>
        <w:spacing w:after="0" w:line="117" w:lineRule="exact"/>
        <w:rPr>
          <w:sz w:val="20"/>
          <w:szCs w:val="20"/>
          <w:color w:val="auto"/>
        </w:rPr>
      </w:pPr>
    </w:p>
    <w:p>
      <w:pPr>
        <w:ind w:left="1152" w:hanging="733"/>
        <w:spacing w:after="0"/>
        <w:tabs>
          <w:tab w:leader="none" w:pos="1152" w:val="left"/>
        </w:tabs>
        <w:numPr>
          <w:ilvl w:val="1"/>
          <w:numId w:val="36"/>
        </w:numPr>
        <w:rPr>
          <w:rFonts w:ascii="Arial" w:cs="Arial" w:eastAsia="Arial" w:hAnsi="Arial"/>
          <w:sz w:val="16"/>
          <w:szCs w:val="16"/>
          <w:color w:val="auto"/>
        </w:rPr>
      </w:pPr>
      <w:r>
        <w:rPr>
          <w:rFonts w:ascii="Arial" w:cs="Arial" w:eastAsia="Arial" w:hAnsi="Arial"/>
          <w:sz w:val="16"/>
          <w:szCs w:val="16"/>
          <w:color w:val="auto"/>
        </w:rPr>
        <w:t>Certification of CEO and CFO Pursuant to 18 U.S.C. Section 1350, as Adopted Pursuant to Section 906 of the Sarbanes-Oxley Act of 2002.(16)</w:t>
      </w:r>
    </w:p>
    <w:p>
      <w:pPr>
        <w:spacing w:after="0" w:line="261" w:lineRule="exact"/>
        <w:rPr>
          <w:rFonts w:ascii="Arial" w:cs="Arial" w:eastAsia="Arial" w:hAnsi="Arial"/>
          <w:sz w:val="16"/>
          <w:szCs w:val="16"/>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-202565</wp:posOffset>
            </wp:positionV>
            <wp:extent cx="7461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12"/>
          </w:cols>
          <w:pgMar w:left="248" w:top="275" w:right="239" w:bottom="1440" w:gutter="0" w:footer="0" w:header="0"/>
          <w:type w:val="continuous"/>
        </w:sectPr>
      </w:pPr>
    </w:p>
    <w:bookmarkStart w:id="83" w:name="page84"/>
    <w:bookmarkEnd w:id="83"/>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Incorporated by reference from the Current Report on Form 8-K filed by Wynn Resorts on November 18, 2002.</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June 29, 2005 and incorporated herein by reference.</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April 27, 2005 and incorporated herein by reference</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May 25, 2005 and incorporated herein by reference.</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Previously filed with the Periodic Report on form 10-Q filed by Wynn Resorts, Limited on August 2, 2005 and incorporated herein by reference.</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September 1, 2005 and incorporated herein by reference.</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used.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Wynn Resorts on March 16, 2006.</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Limited on November 9, 2006.</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pacing w:after="0" w:line="15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612"/>
          </w:cols>
          <w:pgMar w:left="248" w:top="280" w:right="10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p>
      <w:pPr>
        <w:spacing w:after="0"/>
        <w:tabs>
          <w:tab w:leader="none" w:pos="6060" w:val="left"/>
          <w:tab w:leader="none" w:pos="8080" w:val="left"/>
        </w:tabs>
        <w:rPr>
          <w:sz w:val="20"/>
          <w:szCs w:val="20"/>
          <w:color w:val="auto"/>
        </w:rPr>
      </w:pPr>
      <w:r>
        <w:rPr>
          <w:rFonts w:ascii="Arial" w:cs="Arial" w:eastAsia="Arial" w:hAnsi="Arial"/>
          <w:sz w:val="18"/>
          <w:szCs w:val="18"/>
          <w:color w:val="auto"/>
        </w:rPr>
        <w:t>Dated: February 22,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Andrew Pascal</w:t>
      </w:r>
    </w:p>
    <w:p>
      <w:pPr>
        <w:jc w:val="center"/>
        <w:ind w:left="6520"/>
        <w:spacing w:after="0" w:line="223" w:lineRule="auto"/>
        <w:rPr>
          <w:sz w:val="20"/>
          <w:szCs w:val="20"/>
          <w:color w:val="auto"/>
        </w:rPr>
      </w:pPr>
      <w:r>
        <w:rPr>
          <w:rFonts w:ascii="Arial" w:cs="Arial" w:eastAsia="Arial" w:hAnsi="Arial"/>
          <w:sz w:val="14"/>
          <w:szCs w:val="14"/>
          <w:b w:val="1"/>
          <w:bCs w:val="1"/>
          <w:color w:val="auto"/>
        </w:rPr>
        <w:t>Chief Operating Officer and President</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spacing w:after="0"/>
        <w:tabs>
          <w:tab w:leader="none" w:pos="6060" w:val="left"/>
          <w:tab w:leader="none" w:pos="8280" w:val="left"/>
        </w:tabs>
        <w:rPr>
          <w:sz w:val="20"/>
          <w:szCs w:val="20"/>
          <w:color w:val="auto"/>
        </w:rPr>
      </w:pPr>
      <w:r>
        <w:rPr>
          <w:rFonts w:ascii="Arial" w:cs="Arial" w:eastAsia="Arial" w:hAnsi="Arial"/>
          <w:sz w:val="18"/>
          <w:szCs w:val="18"/>
          <w:color w:val="auto"/>
        </w:rPr>
        <w:t>Dated: February 22,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S</w:t>
      </w:r>
      <w:r>
        <w:rPr>
          <w:rFonts w:ascii="Arial" w:cs="Arial" w:eastAsia="Arial" w:hAnsi="Arial"/>
          <w:sz w:val="14"/>
          <w:szCs w:val="14"/>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David Sisk</w:t>
      </w:r>
    </w:p>
    <w:p>
      <w:pPr>
        <w:jc w:val="center"/>
        <w:ind w:left="652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52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p>
      <w:pPr>
        <w:ind w:left="2020"/>
        <w:spacing w:after="0"/>
        <w:tabs>
          <w:tab w:leader="none" w:pos="666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68580</wp:posOffset>
            </wp:positionV>
            <wp:extent cx="2489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3177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S</w:t>
            </w:r>
            <w:r>
              <w:rPr>
                <w:rFonts w:ascii="Arial" w:cs="Arial" w:eastAsia="Arial" w:hAnsi="Arial"/>
                <w:sz w:val="14"/>
                <w:szCs w:val="14"/>
                <w:color w:val="auto"/>
                <w:w w:val="97"/>
              </w:rPr>
              <w:t>TEPHEN</w:t>
            </w:r>
            <w:r>
              <w:rPr>
                <w:rFonts w:ascii="Arial" w:cs="Arial" w:eastAsia="Arial" w:hAnsi="Arial"/>
                <w:sz w:val="18"/>
                <w:szCs w:val="18"/>
                <w:color w:val="auto"/>
                <w:w w:val="97"/>
              </w:rPr>
              <w:t xml:space="preserve"> A. W</w:t>
            </w:r>
            <w:r>
              <w:rPr>
                <w:rFonts w:ascii="Arial" w:cs="Arial" w:eastAsia="Arial" w:hAnsi="Arial"/>
                <w:sz w:val="14"/>
                <w:szCs w:val="14"/>
                <w:color w:val="auto"/>
                <w:w w:val="97"/>
              </w:rPr>
              <w:t>YNN</w:t>
            </w:r>
          </w:p>
        </w:tc>
        <w:tc>
          <w:tcPr>
            <w:tcW w:w="4520" w:type="dxa"/>
            <w:vAlign w:val="bottom"/>
          </w:tcPr>
          <w:p>
            <w:pPr>
              <w:ind w:left="240"/>
              <w:spacing w:after="0"/>
              <w:rPr>
                <w:sz w:val="20"/>
                <w:szCs w:val="20"/>
                <w:color w:val="auto"/>
              </w:rPr>
            </w:pPr>
            <w:r>
              <w:rPr>
                <w:rFonts w:ascii="Arial" w:cs="Arial" w:eastAsia="Arial" w:hAnsi="Arial"/>
                <w:sz w:val="18"/>
                <w:szCs w:val="18"/>
                <w:color w:val="auto"/>
              </w:rPr>
              <w:t>Chairman of the Board</w:t>
            </w:r>
          </w:p>
        </w:tc>
        <w:tc>
          <w:tcPr>
            <w:tcW w:w="1780" w:type="dxa"/>
            <w:vAlign w:val="bottom"/>
          </w:tcPr>
          <w:p>
            <w:pPr>
              <w:ind w:left="480"/>
              <w:spacing w:after="0"/>
              <w:rPr>
                <w:sz w:val="20"/>
                <w:szCs w:val="20"/>
                <w:color w:val="auto"/>
              </w:rPr>
            </w:pPr>
            <w:r>
              <w:rPr>
                <w:rFonts w:ascii="Arial" w:cs="Arial" w:eastAsia="Arial" w:hAnsi="Arial"/>
                <w:sz w:val="18"/>
                <w:szCs w:val="18"/>
                <w:color w:val="auto"/>
                <w:w w:val="86"/>
              </w:rPr>
              <w:t>February 22, 2008</w:t>
            </w:r>
          </w:p>
        </w:tc>
      </w:tr>
      <w:tr>
        <w:trPr>
          <w:trHeight w:val="110"/>
        </w:trPr>
        <w:tc>
          <w:tcPr>
            <w:tcW w:w="458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63"/>
        </w:trPr>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45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520" w:type="dxa"/>
            <w:vAlign w:val="bottom"/>
          </w:tcPr>
          <w:p>
            <w:pPr>
              <w:ind w:left="240"/>
              <w:spacing w:after="0"/>
              <w:rPr>
                <w:sz w:val="20"/>
                <w:szCs w:val="20"/>
                <w:color w:val="auto"/>
              </w:rPr>
            </w:pPr>
            <w:r>
              <w:rPr>
                <w:rFonts w:ascii="Arial" w:cs="Arial" w:eastAsia="Arial" w:hAnsi="Arial"/>
                <w:sz w:val="18"/>
                <w:szCs w:val="18"/>
                <w:color w:val="auto"/>
              </w:rPr>
              <w:t>Vice Chairman of the Board</w:t>
            </w:r>
          </w:p>
        </w:tc>
        <w:tc>
          <w:tcPr>
            <w:tcW w:w="1780" w:type="dxa"/>
            <w:vAlign w:val="bottom"/>
          </w:tcPr>
          <w:p>
            <w:pPr>
              <w:ind w:left="480"/>
              <w:spacing w:after="0"/>
              <w:rPr>
                <w:sz w:val="20"/>
                <w:szCs w:val="20"/>
                <w:color w:val="auto"/>
              </w:rPr>
            </w:pPr>
            <w:r>
              <w:rPr>
                <w:rFonts w:ascii="Arial" w:cs="Arial" w:eastAsia="Arial" w:hAnsi="Arial"/>
                <w:sz w:val="18"/>
                <w:szCs w:val="18"/>
                <w:color w:val="auto"/>
                <w:w w:val="86"/>
              </w:rPr>
              <w:t>February 22, 2008</w:t>
            </w:r>
          </w:p>
        </w:tc>
      </w:tr>
      <w:tr>
        <w:trPr>
          <w:trHeight w:val="110"/>
        </w:trPr>
        <w:tc>
          <w:tcPr>
            <w:tcW w:w="458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63"/>
        </w:trPr>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45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R</w:t>
            </w:r>
            <w:r>
              <w:rPr>
                <w:rFonts w:ascii="Arial" w:cs="Arial" w:eastAsia="Arial" w:hAnsi="Arial"/>
                <w:sz w:val="14"/>
                <w:szCs w:val="14"/>
                <w:color w:val="auto"/>
                <w:w w:val="98"/>
              </w:rPr>
              <w:t>ONALD</w:t>
            </w:r>
            <w:r>
              <w:rPr>
                <w:rFonts w:ascii="Arial" w:cs="Arial" w:eastAsia="Arial" w:hAnsi="Arial"/>
                <w:sz w:val="18"/>
                <w:szCs w:val="18"/>
                <w:color w:val="auto"/>
                <w:w w:val="98"/>
              </w:rPr>
              <w:t xml:space="preserve"> J. K</w:t>
            </w:r>
            <w:r>
              <w:rPr>
                <w:rFonts w:ascii="Arial" w:cs="Arial" w:eastAsia="Arial" w:hAnsi="Arial"/>
                <w:sz w:val="14"/>
                <w:szCs w:val="14"/>
                <w:color w:val="auto"/>
                <w:w w:val="98"/>
              </w:rPr>
              <w:t>RAMER</w:t>
            </w:r>
          </w:p>
        </w:tc>
        <w:tc>
          <w:tcPr>
            <w:tcW w:w="4520" w:type="dxa"/>
            <w:vAlign w:val="bottom"/>
          </w:tcPr>
          <w:p>
            <w:pPr>
              <w:ind w:left="240"/>
              <w:spacing w:after="0"/>
              <w:rPr>
                <w:sz w:val="20"/>
                <w:szCs w:val="20"/>
                <w:color w:val="auto"/>
              </w:rPr>
            </w:pPr>
            <w:r>
              <w:rPr>
                <w:rFonts w:ascii="Arial" w:cs="Arial" w:eastAsia="Arial" w:hAnsi="Arial"/>
                <w:sz w:val="18"/>
                <w:szCs w:val="18"/>
                <w:color w:val="auto"/>
              </w:rPr>
              <w:t>President and Director</w:t>
            </w:r>
          </w:p>
        </w:tc>
        <w:tc>
          <w:tcPr>
            <w:tcW w:w="1780" w:type="dxa"/>
            <w:vAlign w:val="bottom"/>
          </w:tcPr>
          <w:p>
            <w:pPr>
              <w:ind w:left="480"/>
              <w:spacing w:after="0"/>
              <w:rPr>
                <w:sz w:val="20"/>
                <w:szCs w:val="20"/>
                <w:color w:val="auto"/>
              </w:rPr>
            </w:pPr>
            <w:r>
              <w:rPr>
                <w:rFonts w:ascii="Arial" w:cs="Arial" w:eastAsia="Arial" w:hAnsi="Arial"/>
                <w:sz w:val="18"/>
                <w:szCs w:val="18"/>
                <w:color w:val="auto"/>
                <w:w w:val="86"/>
              </w:rPr>
              <w:t>February 22, 2008</w:t>
            </w:r>
          </w:p>
        </w:tc>
      </w:tr>
      <w:tr>
        <w:trPr>
          <w:trHeight w:val="110"/>
        </w:trPr>
        <w:tc>
          <w:tcPr>
            <w:tcW w:w="458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63"/>
        </w:trPr>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89"/>
              </w:rPr>
              <w:t>Ronald J. Kramer</w:t>
            </w:r>
          </w:p>
        </w:tc>
        <w:tc>
          <w:tcPr>
            <w:tcW w:w="45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tc>
        <w:tc>
          <w:tcPr>
            <w:tcW w:w="4520" w:type="dxa"/>
            <w:vAlign w:val="bottom"/>
          </w:tcPr>
          <w:p>
            <w:pPr>
              <w:ind w:left="240"/>
              <w:spacing w:after="0"/>
              <w:rPr>
                <w:sz w:val="20"/>
                <w:szCs w:val="20"/>
                <w:color w:val="auto"/>
              </w:rPr>
            </w:pPr>
            <w:r>
              <w:rPr>
                <w:rFonts w:ascii="Arial" w:cs="Arial" w:eastAsia="Arial" w:hAnsi="Arial"/>
                <w:sz w:val="18"/>
                <w:szCs w:val="18"/>
                <w:color w:val="auto"/>
              </w:rPr>
              <w:t>President, Wynn International Marketing and Director</w:t>
            </w:r>
          </w:p>
        </w:tc>
        <w:tc>
          <w:tcPr>
            <w:tcW w:w="1780" w:type="dxa"/>
            <w:vAlign w:val="bottom"/>
          </w:tcPr>
          <w:p>
            <w:pPr>
              <w:ind w:left="480"/>
              <w:spacing w:after="0"/>
              <w:rPr>
                <w:sz w:val="20"/>
                <w:szCs w:val="20"/>
                <w:color w:val="auto"/>
              </w:rPr>
            </w:pPr>
            <w:r>
              <w:rPr>
                <w:rFonts w:ascii="Arial" w:cs="Arial" w:eastAsia="Arial" w:hAnsi="Arial"/>
                <w:sz w:val="18"/>
                <w:szCs w:val="18"/>
                <w:color w:val="auto"/>
                <w:w w:val="86"/>
              </w:rPr>
              <w:t>February 22, 2008</w:t>
            </w:r>
          </w:p>
        </w:tc>
      </w:tr>
      <w:tr>
        <w:trPr>
          <w:trHeight w:val="110"/>
        </w:trPr>
        <w:tc>
          <w:tcPr>
            <w:tcW w:w="458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63"/>
        </w:trPr>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45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R</w:t>
            </w:r>
            <w:r>
              <w:rPr>
                <w:rFonts w:ascii="Arial" w:cs="Arial" w:eastAsia="Arial" w:hAnsi="Arial"/>
                <w:sz w:val="14"/>
                <w:szCs w:val="14"/>
                <w:color w:val="auto"/>
                <w:w w:val="97"/>
              </w:rPr>
              <w:t>AY</w:t>
            </w:r>
            <w:r>
              <w:rPr>
                <w:rFonts w:ascii="Arial" w:cs="Arial" w:eastAsia="Arial" w:hAnsi="Arial"/>
                <w:sz w:val="18"/>
                <w:szCs w:val="18"/>
                <w:color w:val="auto"/>
                <w:w w:val="97"/>
              </w:rPr>
              <w:t xml:space="preserve"> R. I</w:t>
            </w:r>
            <w:r>
              <w:rPr>
                <w:rFonts w:ascii="Arial" w:cs="Arial" w:eastAsia="Arial" w:hAnsi="Arial"/>
                <w:sz w:val="14"/>
                <w:szCs w:val="14"/>
                <w:color w:val="auto"/>
                <w:w w:val="97"/>
              </w:rPr>
              <w:t>RANI</w:t>
            </w:r>
          </w:p>
        </w:tc>
        <w:tc>
          <w:tcPr>
            <w:tcW w:w="45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480"/>
              <w:spacing w:after="0"/>
              <w:rPr>
                <w:sz w:val="20"/>
                <w:szCs w:val="20"/>
                <w:color w:val="auto"/>
              </w:rPr>
            </w:pPr>
            <w:r>
              <w:rPr>
                <w:rFonts w:ascii="Arial" w:cs="Arial" w:eastAsia="Arial" w:hAnsi="Arial"/>
                <w:sz w:val="18"/>
                <w:szCs w:val="18"/>
                <w:color w:val="auto"/>
                <w:w w:val="86"/>
              </w:rPr>
              <w:t>February 22, 2008</w:t>
            </w:r>
          </w:p>
        </w:tc>
      </w:tr>
      <w:tr>
        <w:trPr>
          <w:trHeight w:val="110"/>
        </w:trPr>
        <w:tc>
          <w:tcPr>
            <w:tcW w:w="458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63"/>
        </w:trPr>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3"/>
              </w:rPr>
              <w:t>Dr. Ray R. Irani</w:t>
            </w:r>
          </w:p>
        </w:tc>
        <w:tc>
          <w:tcPr>
            <w:tcW w:w="45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R</w:t>
            </w:r>
            <w:r>
              <w:rPr>
                <w:rFonts w:ascii="Arial" w:cs="Arial" w:eastAsia="Arial" w:hAnsi="Arial"/>
                <w:sz w:val="14"/>
                <w:szCs w:val="14"/>
                <w:color w:val="auto"/>
                <w:w w:val="96"/>
              </w:rPr>
              <w:t>OBERT</w:t>
            </w:r>
            <w:r>
              <w:rPr>
                <w:rFonts w:ascii="Arial" w:cs="Arial" w:eastAsia="Arial" w:hAnsi="Arial"/>
                <w:sz w:val="18"/>
                <w:szCs w:val="18"/>
                <w:color w:val="auto"/>
                <w:w w:val="96"/>
              </w:rPr>
              <w:t xml:space="preserve"> J. M</w:t>
            </w:r>
            <w:r>
              <w:rPr>
                <w:rFonts w:ascii="Arial" w:cs="Arial" w:eastAsia="Arial" w:hAnsi="Arial"/>
                <w:sz w:val="14"/>
                <w:szCs w:val="14"/>
                <w:color w:val="auto"/>
                <w:w w:val="96"/>
              </w:rPr>
              <w:t>ILLER</w:t>
            </w:r>
          </w:p>
        </w:tc>
        <w:tc>
          <w:tcPr>
            <w:tcW w:w="45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480"/>
              <w:spacing w:after="0"/>
              <w:rPr>
                <w:sz w:val="20"/>
                <w:szCs w:val="20"/>
                <w:color w:val="auto"/>
              </w:rPr>
            </w:pPr>
            <w:r>
              <w:rPr>
                <w:rFonts w:ascii="Arial" w:cs="Arial" w:eastAsia="Arial" w:hAnsi="Arial"/>
                <w:sz w:val="18"/>
                <w:szCs w:val="18"/>
                <w:color w:val="auto"/>
                <w:w w:val="86"/>
              </w:rPr>
              <w:t>February 22, 2008</w:t>
            </w:r>
          </w:p>
        </w:tc>
      </w:tr>
      <w:tr>
        <w:trPr>
          <w:trHeight w:val="110"/>
        </w:trPr>
        <w:tc>
          <w:tcPr>
            <w:tcW w:w="458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63"/>
        </w:trPr>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45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J</w:t>
            </w:r>
            <w:r>
              <w:rPr>
                <w:rFonts w:ascii="Arial" w:cs="Arial" w:eastAsia="Arial" w:hAnsi="Arial"/>
                <w:sz w:val="14"/>
                <w:szCs w:val="14"/>
                <w:color w:val="auto"/>
                <w:w w:val="97"/>
              </w:rPr>
              <w:t>OHN</w:t>
            </w:r>
            <w:r>
              <w:rPr>
                <w:rFonts w:ascii="Arial" w:cs="Arial" w:eastAsia="Arial" w:hAnsi="Arial"/>
                <w:sz w:val="18"/>
                <w:szCs w:val="18"/>
                <w:color w:val="auto"/>
                <w:w w:val="97"/>
              </w:rPr>
              <w:t xml:space="preserve"> A. M</w:t>
            </w:r>
            <w:r>
              <w:rPr>
                <w:rFonts w:ascii="Arial" w:cs="Arial" w:eastAsia="Arial" w:hAnsi="Arial"/>
                <w:sz w:val="14"/>
                <w:szCs w:val="14"/>
                <w:color w:val="auto"/>
                <w:w w:val="97"/>
              </w:rPr>
              <w:t>ORAN</w:t>
            </w:r>
          </w:p>
        </w:tc>
        <w:tc>
          <w:tcPr>
            <w:tcW w:w="45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480"/>
              <w:spacing w:after="0"/>
              <w:rPr>
                <w:sz w:val="20"/>
                <w:szCs w:val="20"/>
                <w:color w:val="auto"/>
              </w:rPr>
            </w:pPr>
            <w:r>
              <w:rPr>
                <w:rFonts w:ascii="Arial" w:cs="Arial" w:eastAsia="Arial" w:hAnsi="Arial"/>
                <w:sz w:val="18"/>
                <w:szCs w:val="18"/>
                <w:color w:val="auto"/>
                <w:w w:val="86"/>
              </w:rPr>
              <w:t>February 22, 2008</w:t>
            </w:r>
          </w:p>
        </w:tc>
      </w:tr>
      <w:tr>
        <w:trPr>
          <w:trHeight w:val="110"/>
        </w:trPr>
        <w:tc>
          <w:tcPr>
            <w:tcW w:w="458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63"/>
        </w:trPr>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45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A</w:t>
            </w:r>
            <w:r>
              <w:rPr>
                <w:rFonts w:ascii="Arial" w:cs="Arial" w:eastAsia="Arial" w:hAnsi="Arial"/>
                <w:sz w:val="14"/>
                <w:szCs w:val="14"/>
                <w:color w:val="auto"/>
                <w:w w:val="98"/>
              </w:rPr>
              <w:t>LVIN</w:t>
            </w:r>
            <w:r>
              <w:rPr>
                <w:rFonts w:ascii="Arial" w:cs="Arial" w:eastAsia="Arial" w:hAnsi="Arial"/>
                <w:sz w:val="18"/>
                <w:szCs w:val="18"/>
                <w:color w:val="auto"/>
                <w:w w:val="98"/>
              </w:rPr>
              <w:t xml:space="preserve"> V. S</w:t>
            </w:r>
            <w:r>
              <w:rPr>
                <w:rFonts w:ascii="Arial" w:cs="Arial" w:eastAsia="Arial" w:hAnsi="Arial"/>
                <w:sz w:val="14"/>
                <w:szCs w:val="14"/>
                <w:color w:val="auto"/>
                <w:w w:val="98"/>
              </w:rPr>
              <w:t>HOEMAKER</w:t>
            </w:r>
          </w:p>
        </w:tc>
        <w:tc>
          <w:tcPr>
            <w:tcW w:w="45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480"/>
              <w:spacing w:after="0"/>
              <w:rPr>
                <w:sz w:val="20"/>
                <w:szCs w:val="20"/>
                <w:color w:val="auto"/>
              </w:rPr>
            </w:pPr>
            <w:r>
              <w:rPr>
                <w:rFonts w:ascii="Arial" w:cs="Arial" w:eastAsia="Arial" w:hAnsi="Arial"/>
                <w:sz w:val="18"/>
                <w:szCs w:val="18"/>
                <w:color w:val="auto"/>
                <w:w w:val="86"/>
              </w:rPr>
              <w:t>February 22, 2008</w:t>
            </w:r>
          </w:p>
        </w:tc>
      </w:tr>
      <w:tr>
        <w:trPr>
          <w:trHeight w:val="110"/>
        </w:trPr>
        <w:tc>
          <w:tcPr>
            <w:tcW w:w="458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63"/>
        </w:trPr>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45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D. B</w:t>
            </w:r>
            <w:r>
              <w:rPr>
                <w:rFonts w:ascii="Arial" w:cs="Arial" w:eastAsia="Arial" w:hAnsi="Arial"/>
                <w:sz w:val="14"/>
                <w:szCs w:val="14"/>
                <w:color w:val="auto"/>
                <w:w w:val="96"/>
              </w:rPr>
              <w:t>OONE</w:t>
            </w:r>
            <w:r>
              <w:rPr>
                <w:rFonts w:ascii="Arial" w:cs="Arial" w:eastAsia="Arial" w:hAnsi="Arial"/>
                <w:sz w:val="18"/>
                <w:szCs w:val="18"/>
                <w:color w:val="auto"/>
                <w:w w:val="96"/>
              </w:rPr>
              <w:t xml:space="preserve"> W</w:t>
            </w:r>
            <w:r>
              <w:rPr>
                <w:rFonts w:ascii="Arial" w:cs="Arial" w:eastAsia="Arial" w:hAnsi="Arial"/>
                <w:sz w:val="14"/>
                <w:szCs w:val="14"/>
                <w:color w:val="auto"/>
                <w:w w:val="96"/>
              </w:rPr>
              <w:t>AYSON</w:t>
            </w:r>
          </w:p>
        </w:tc>
        <w:tc>
          <w:tcPr>
            <w:tcW w:w="45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480"/>
              <w:spacing w:after="0"/>
              <w:rPr>
                <w:sz w:val="20"/>
                <w:szCs w:val="20"/>
                <w:color w:val="auto"/>
              </w:rPr>
            </w:pPr>
            <w:r>
              <w:rPr>
                <w:rFonts w:ascii="Arial" w:cs="Arial" w:eastAsia="Arial" w:hAnsi="Arial"/>
                <w:sz w:val="18"/>
                <w:szCs w:val="18"/>
                <w:color w:val="auto"/>
                <w:w w:val="86"/>
              </w:rPr>
              <w:t>February 22, 2008</w:t>
            </w:r>
          </w:p>
        </w:tc>
      </w:tr>
      <w:tr>
        <w:trPr>
          <w:trHeight w:val="110"/>
        </w:trPr>
        <w:tc>
          <w:tcPr>
            <w:tcW w:w="458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63"/>
        </w:trPr>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85"/>
              </w:rPr>
              <w:t>D. Boone Wayson</w:t>
            </w:r>
          </w:p>
        </w:tc>
        <w:tc>
          <w:tcPr>
            <w:tcW w:w="45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E</w:t>
            </w:r>
            <w:r>
              <w:rPr>
                <w:rFonts w:ascii="Arial" w:cs="Arial" w:eastAsia="Arial" w:hAnsi="Arial"/>
                <w:sz w:val="14"/>
                <w:szCs w:val="14"/>
                <w:color w:val="auto"/>
                <w:w w:val="97"/>
              </w:rPr>
              <w:t>LAINE</w:t>
            </w:r>
            <w:r>
              <w:rPr>
                <w:rFonts w:ascii="Arial" w:cs="Arial" w:eastAsia="Arial" w:hAnsi="Arial"/>
                <w:sz w:val="18"/>
                <w:szCs w:val="18"/>
                <w:color w:val="auto"/>
                <w:w w:val="97"/>
              </w:rPr>
              <w:t xml:space="preserve"> P. W</w:t>
            </w:r>
            <w:r>
              <w:rPr>
                <w:rFonts w:ascii="Arial" w:cs="Arial" w:eastAsia="Arial" w:hAnsi="Arial"/>
                <w:sz w:val="14"/>
                <w:szCs w:val="14"/>
                <w:color w:val="auto"/>
                <w:w w:val="97"/>
              </w:rPr>
              <w:t>YNN</w:t>
            </w:r>
          </w:p>
        </w:tc>
        <w:tc>
          <w:tcPr>
            <w:tcW w:w="45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480"/>
              <w:spacing w:after="0"/>
              <w:rPr>
                <w:sz w:val="20"/>
                <w:szCs w:val="20"/>
                <w:color w:val="auto"/>
              </w:rPr>
            </w:pPr>
            <w:r>
              <w:rPr>
                <w:rFonts w:ascii="Arial" w:cs="Arial" w:eastAsia="Arial" w:hAnsi="Arial"/>
                <w:sz w:val="18"/>
                <w:szCs w:val="18"/>
                <w:color w:val="auto"/>
                <w:w w:val="86"/>
              </w:rPr>
              <w:t>February 22, 2008</w:t>
            </w:r>
          </w:p>
        </w:tc>
      </w:tr>
      <w:tr>
        <w:trPr>
          <w:trHeight w:val="110"/>
        </w:trPr>
        <w:tc>
          <w:tcPr>
            <w:tcW w:w="458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63"/>
        </w:trPr>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87"/>
              </w:rPr>
              <w:t>Elaine P. Wynn</w:t>
            </w:r>
          </w:p>
        </w:tc>
        <w:tc>
          <w:tcPr>
            <w:tcW w:w="45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363"/>
        </w:trPr>
        <w:tc>
          <w:tcPr>
            <w:tcW w:w="4580" w:type="dxa"/>
            <w:vAlign w:val="bottom"/>
          </w:tcPr>
          <w:p>
            <w:pPr>
              <w:spacing w:after="0"/>
              <w:rPr>
                <w:sz w:val="24"/>
                <w:szCs w:val="24"/>
                <w:color w:val="auto"/>
              </w:rPr>
            </w:pPr>
          </w:p>
        </w:tc>
        <w:tc>
          <w:tcPr>
            <w:tcW w:w="4520" w:type="dxa"/>
            <w:vAlign w:val="bottom"/>
          </w:tcPr>
          <w:p>
            <w:pPr>
              <w:ind w:left="1040"/>
              <w:spacing w:after="0"/>
              <w:rPr>
                <w:sz w:val="20"/>
                <w:szCs w:val="20"/>
                <w:color w:val="auto"/>
              </w:rPr>
            </w:pPr>
            <w:r>
              <w:rPr>
                <w:rFonts w:ascii="Arial" w:cs="Arial" w:eastAsia="Arial" w:hAnsi="Arial"/>
                <w:sz w:val="18"/>
                <w:szCs w:val="18"/>
                <w:color w:val="auto"/>
              </w:rPr>
              <w:t>85</w:t>
            </w:r>
          </w:p>
        </w:tc>
        <w:tc>
          <w:tcPr>
            <w:tcW w:w="17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5" w:name="page86"/>
    <w:bookmarkEnd w:id="85"/>
    <w:p>
      <w:pPr>
        <w:ind w:left="2020"/>
        <w:spacing w:after="0"/>
        <w:tabs>
          <w:tab w:leader="none" w:pos="6660" w:val="left"/>
          <w:tab w:leader="none" w:pos="100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68580</wp:posOffset>
            </wp:positionV>
            <wp:extent cx="2489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3177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43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640"/>
              <w:spacing w:after="0"/>
              <w:rPr>
                <w:sz w:val="20"/>
                <w:szCs w:val="20"/>
                <w:color w:val="auto"/>
              </w:rPr>
            </w:pPr>
            <w:r>
              <w:rPr>
                <w:rFonts w:ascii="Arial" w:cs="Arial" w:eastAsia="Arial" w:hAnsi="Arial"/>
                <w:sz w:val="18"/>
                <w:szCs w:val="18"/>
                <w:color w:val="auto"/>
                <w:w w:val="86"/>
              </w:rPr>
              <w:t>February 22, 2008</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1"/>
              </w:rPr>
              <w:t>Allan Zeman</w:t>
            </w:r>
          </w:p>
        </w:tc>
        <w:tc>
          <w:tcPr>
            <w:tcW w:w="43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4580" w:type="dxa"/>
            <w:vAlign w:val="bottom"/>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A</w:t>
            </w:r>
            <w:r>
              <w:rPr>
                <w:rFonts w:ascii="Arial" w:cs="Arial" w:eastAsia="Arial" w:hAnsi="Arial"/>
                <w:sz w:val="14"/>
                <w:szCs w:val="14"/>
                <w:color w:val="auto"/>
                <w:w w:val="99"/>
              </w:rPr>
              <w:t>NDREW</w:t>
            </w:r>
            <w:r>
              <w:rPr>
                <w:rFonts w:ascii="Arial" w:cs="Arial" w:eastAsia="Arial" w:hAnsi="Arial"/>
                <w:sz w:val="18"/>
                <w:szCs w:val="18"/>
                <w:color w:val="auto"/>
                <w:w w:val="99"/>
              </w:rPr>
              <w:t xml:space="preserve"> P</w:t>
            </w:r>
            <w:r>
              <w:rPr>
                <w:rFonts w:ascii="Arial" w:cs="Arial" w:eastAsia="Arial" w:hAnsi="Arial"/>
                <w:sz w:val="14"/>
                <w:szCs w:val="14"/>
                <w:color w:val="auto"/>
                <w:w w:val="99"/>
              </w:rPr>
              <w:t>ASCAL</w:t>
            </w:r>
          </w:p>
        </w:tc>
        <w:tc>
          <w:tcPr>
            <w:tcW w:w="4360" w:type="dxa"/>
            <w:vAlign w:val="bottom"/>
          </w:tcPr>
          <w:p>
            <w:pPr>
              <w:ind w:left="240"/>
              <w:spacing w:after="0"/>
              <w:rPr>
                <w:sz w:val="20"/>
                <w:szCs w:val="20"/>
                <w:color w:val="auto"/>
              </w:rPr>
            </w:pPr>
            <w:r>
              <w:rPr>
                <w:rFonts w:ascii="Arial" w:cs="Arial" w:eastAsia="Arial" w:hAnsi="Arial"/>
                <w:sz w:val="18"/>
                <w:szCs w:val="18"/>
                <w:color w:val="auto"/>
              </w:rPr>
              <w:t>Chief Operating Officer and President (Principal</w:t>
            </w:r>
          </w:p>
        </w:tc>
        <w:tc>
          <w:tcPr>
            <w:tcW w:w="1940" w:type="dxa"/>
            <w:vAlign w:val="bottom"/>
          </w:tcPr>
          <w:p>
            <w:pPr>
              <w:ind w:left="640"/>
              <w:spacing w:after="0"/>
              <w:rPr>
                <w:sz w:val="20"/>
                <w:szCs w:val="20"/>
                <w:color w:val="auto"/>
              </w:rPr>
            </w:pPr>
            <w:r>
              <w:rPr>
                <w:rFonts w:ascii="Arial" w:cs="Arial" w:eastAsia="Arial" w:hAnsi="Arial"/>
                <w:sz w:val="18"/>
                <w:szCs w:val="18"/>
                <w:color w:val="auto"/>
                <w:w w:val="86"/>
              </w:rPr>
              <w:t>February 22, 2008</w:t>
            </w:r>
          </w:p>
        </w:tc>
        <w:tc>
          <w:tcPr>
            <w:tcW w:w="0" w:type="dxa"/>
            <w:vAlign w:val="bottom"/>
          </w:tcPr>
          <w:p>
            <w:pPr>
              <w:spacing w:after="0"/>
              <w:rPr>
                <w:sz w:val="1"/>
                <w:szCs w:val="1"/>
                <w:color w:val="auto"/>
              </w:rPr>
            </w:pPr>
          </w:p>
        </w:tc>
      </w:tr>
      <w:tr>
        <w:trPr>
          <w:trHeight w:val="116"/>
        </w:trPr>
        <w:tc>
          <w:tcPr>
            <w:tcW w:w="4580" w:type="dxa"/>
            <w:vAlign w:val="bottom"/>
            <w:tcBorders>
              <w:bottom w:val="single" w:sz="8" w:color="auto"/>
            </w:tcBorders>
          </w:tcPr>
          <w:p>
            <w:pPr>
              <w:spacing w:after="0"/>
              <w:rPr>
                <w:sz w:val="10"/>
                <w:szCs w:val="10"/>
                <w:color w:val="auto"/>
              </w:rPr>
            </w:pPr>
          </w:p>
        </w:tc>
        <w:tc>
          <w:tcPr>
            <w:tcW w:w="4360" w:type="dxa"/>
            <w:vAlign w:val="bottom"/>
            <w:vMerge w:val="restart"/>
          </w:tcPr>
          <w:p>
            <w:pPr>
              <w:ind w:left="460"/>
              <w:spacing w:after="0"/>
              <w:rPr>
                <w:sz w:val="20"/>
                <w:szCs w:val="20"/>
                <w:color w:val="auto"/>
              </w:rPr>
            </w:pPr>
            <w:r>
              <w:rPr>
                <w:rFonts w:ascii="Arial" w:cs="Arial" w:eastAsia="Arial" w:hAnsi="Arial"/>
                <w:sz w:val="18"/>
                <w:szCs w:val="18"/>
                <w:color w:val="auto"/>
              </w:rPr>
              <w:t>Executive Officer)</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Andrew Pascal</w:t>
            </w:r>
          </w:p>
        </w:tc>
        <w:tc>
          <w:tcPr>
            <w:tcW w:w="436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580" w:type="dxa"/>
            <w:vAlign w:val="bottom"/>
            <w:vMerge w:val="continue"/>
          </w:tcPr>
          <w:p>
            <w:pPr>
              <w:spacing w:after="0"/>
              <w:rPr>
                <w:sz w:val="15"/>
                <w:szCs w:val="15"/>
                <w:color w:val="auto"/>
              </w:rPr>
            </w:pPr>
          </w:p>
        </w:tc>
        <w:tc>
          <w:tcPr>
            <w:tcW w:w="43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580" w:type="dxa"/>
            <w:vAlign w:val="bottom"/>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D</w:t>
            </w:r>
            <w:r>
              <w:rPr>
                <w:rFonts w:ascii="Arial" w:cs="Arial" w:eastAsia="Arial" w:hAnsi="Arial"/>
                <w:sz w:val="14"/>
                <w:szCs w:val="14"/>
                <w:color w:val="auto"/>
                <w:w w:val="96"/>
              </w:rPr>
              <w:t>AVID</w:t>
            </w:r>
            <w:r>
              <w:rPr>
                <w:rFonts w:ascii="Arial" w:cs="Arial" w:eastAsia="Arial" w:hAnsi="Arial"/>
                <w:sz w:val="18"/>
                <w:szCs w:val="18"/>
                <w:color w:val="auto"/>
                <w:w w:val="96"/>
              </w:rPr>
              <w:t xml:space="preserve"> R. S</w:t>
            </w:r>
            <w:r>
              <w:rPr>
                <w:rFonts w:ascii="Arial" w:cs="Arial" w:eastAsia="Arial" w:hAnsi="Arial"/>
                <w:sz w:val="14"/>
                <w:szCs w:val="14"/>
                <w:color w:val="auto"/>
                <w:w w:val="96"/>
              </w:rPr>
              <w:t>ISK</w:t>
            </w:r>
          </w:p>
        </w:tc>
        <w:tc>
          <w:tcPr>
            <w:tcW w:w="4360" w:type="dxa"/>
            <w:vAlign w:val="bottom"/>
          </w:tcPr>
          <w:p>
            <w:pPr>
              <w:ind w:left="240"/>
              <w:spacing w:after="0"/>
              <w:rPr>
                <w:sz w:val="20"/>
                <w:szCs w:val="20"/>
                <w:color w:val="auto"/>
              </w:rPr>
            </w:pPr>
            <w:r>
              <w:rPr>
                <w:rFonts w:ascii="Arial" w:cs="Arial" w:eastAsia="Arial" w:hAnsi="Arial"/>
                <w:sz w:val="18"/>
                <w:szCs w:val="18"/>
                <w:color w:val="auto"/>
              </w:rPr>
              <w:t>Senior Vice President and Chief Financial Officer</w:t>
            </w:r>
          </w:p>
        </w:tc>
        <w:tc>
          <w:tcPr>
            <w:tcW w:w="1940" w:type="dxa"/>
            <w:vAlign w:val="bottom"/>
          </w:tcPr>
          <w:p>
            <w:pPr>
              <w:ind w:left="640"/>
              <w:spacing w:after="0"/>
              <w:rPr>
                <w:sz w:val="20"/>
                <w:szCs w:val="20"/>
                <w:color w:val="auto"/>
              </w:rPr>
            </w:pPr>
            <w:r>
              <w:rPr>
                <w:rFonts w:ascii="Arial" w:cs="Arial" w:eastAsia="Arial" w:hAnsi="Arial"/>
                <w:sz w:val="18"/>
                <w:szCs w:val="18"/>
                <w:color w:val="auto"/>
                <w:w w:val="86"/>
              </w:rPr>
              <w:t>February 22, 2008</w:t>
            </w:r>
          </w:p>
        </w:tc>
        <w:tc>
          <w:tcPr>
            <w:tcW w:w="0" w:type="dxa"/>
            <w:vAlign w:val="bottom"/>
          </w:tcPr>
          <w:p>
            <w:pPr>
              <w:spacing w:after="0"/>
              <w:rPr>
                <w:sz w:val="1"/>
                <w:szCs w:val="1"/>
                <w:color w:val="auto"/>
              </w:rPr>
            </w:pPr>
          </w:p>
        </w:tc>
      </w:tr>
      <w:tr>
        <w:trPr>
          <w:trHeight w:val="116"/>
        </w:trPr>
        <w:tc>
          <w:tcPr>
            <w:tcW w:w="4580" w:type="dxa"/>
            <w:vAlign w:val="bottom"/>
            <w:tcBorders>
              <w:bottom w:val="single" w:sz="8" w:color="auto"/>
            </w:tcBorders>
          </w:tcPr>
          <w:p>
            <w:pPr>
              <w:spacing w:after="0"/>
              <w:rPr>
                <w:sz w:val="10"/>
                <w:szCs w:val="10"/>
                <w:color w:val="auto"/>
              </w:rPr>
            </w:pPr>
          </w:p>
        </w:tc>
        <w:tc>
          <w:tcPr>
            <w:tcW w:w="4360" w:type="dxa"/>
            <w:vAlign w:val="bottom"/>
            <w:vMerge w:val="restart"/>
          </w:tcPr>
          <w:p>
            <w:pPr>
              <w:ind w:left="460"/>
              <w:spacing w:after="0"/>
              <w:rPr>
                <w:sz w:val="20"/>
                <w:szCs w:val="20"/>
                <w:color w:val="auto"/>
              </w:rPr>
            </w:pPr>
            <w:r>
              <w:rPr>
                <w:rFonts w:ascii="Arial" w:cs="Arial" w:eastAsia="Arial" w:hAnsi="Arial"/>
                <w:sz w:val="18"/>
                <w:szCs w:val="18"/>
                <w:color w:val="auto"/>
              </w:rPr>
              <w:t>(Principal Financial and Accounting Officer)</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David R. Sisk</w:t>
            </w:r>
          </w:p>
        </w:tc>
        <w:tc>
          <w:tcPr>
            <w:tcW w:w="436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580" w:type="dxa"/>
            <w:vAlign w:val="bottom"/>
            <w:vMerge w:val="continue"/>
          </w:tcPr>
          <w:p>
            <w:pPr>
              <w:spacing w:after="0"/>
              <w:rPr>
                <w:sz w:val="15"/>
                <w:szCs w:val="15"/>
                <w:color w:val="auto"/>
              </w:rPr>
            </w:pPr>
          </w:p>
        </w:tc>
        <w:tc>
          <w:tcPr>
            <w:tcW w:w="43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580" w:type="dxa"/>
            <w:vAlign w:val="bottom"/>
          </w:tcPr>
          <w:p>
            <w:pPr>
              <w:spacing w:after="0"/>
              <w:rPr>
                <w:sz w:val="24"/>
                <w:szCs w:val="24"/>
                <w:color w:val="auto"/>
              </w:rPr>
            </w:pPr>
          </w:p>
        </w:tc>
        <w:tc>
          <w:tcPr>
            <w:tcW w:w="4360" w:type="dxa"/>
            <w:vAlign w:val="bottom"/>
          </w:tcPr>
          <w:p>
            <w:pPr>
              <w:ind w:left="1040"/>
              <w:spacing w:after="0"/>
              <w:rPr>
                <w:sz w:val="20"/>
                <w:szCs w:val="20"/>
                <w:color w:val="auto"/>
              </w:rPr>
            </w:pPr>
            <w:r>
              <w:rPr>
                <w:rFonts w:ascii="Arial" w:cs="Arial" w:eastAsia="Arial" w:hAnsi="Arial"/>
                <w:sz w:val="18"/>
                <w:szCs w:val="18"/>
                <w:color w:val="auto"/>
              </w:rPr>
              <w:t>86</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275" w:right="77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AMENDED AND RESTATED ARTICLES OF ORGANIZATION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KEVYN, LLC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Nevada Revised Statutes Sections 86.221 and 86.226, the undersigned does hereby declare and certify that:</w:t>
      </w:r>
    </w:p>
    <w:p>
      <w:pPr>
        <w:spacing w:after="0" w:line="90"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of this limited liability company is Kevyn, LLC, a Nevada limited liability company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is managed by its member.</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 date of these First Amended and Restated Articles of Organization shall be July 29, 2005.</w:t>
      </w:r>
    </w:p>
    <w:p>
      <w:pPr>
        <w:spacing w:after="0" w:line="171" w:lineRule="exact"/>
        <w:rPr>
          <w:rFonts w:ascii="Arial" w:cs="Arial" w:eastAsia="Arial" w:hAnsi="Arial"/>
          <w:sz w:val="18"/>
          <w:szCs w:val="18"/>
          <w:color w:val="auto"/>
        </w:rPr>
      </w:pPr>
    </w:p>
    <w:p>
      <w:pPr>
        <w:ind w:right="860" w:firstLine="464"/>
        <w:spacing w:after="0" w:line="268"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Articles of Organization of the Company shall be amended and restated in their entirety by these First Amended and Restated Articles of Organization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Company is Kevyn, LLC.</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OFFICE AND RESIDENT AGENT</w:t>
      </w:r>
    </w:p>
    <w:p>
      <w:pPr>
        <w:spacing w:after="0" w:line="165"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The Company’s resident agent and the address of the registered office where process may be served in the State of Nevada is currently Marc H. Rubinstein, 3131 Las Vegas Boulevard South, Las Vegas, Nevada 89109, or such other resident agent and registered office as the member shall, from time to time, determine.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INDEMNIFICATION AND PAYMENT OF EXPENSES</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any other rights of indemnification permitted by the laws of the State of Nevada as may be provided for by the Company in these articles of organization, the Company’s operating agreement or any other agreement, the expenses of the member incurred in defending a civil or criminal action, suit or proceeding, involving alleged acts or omissions of such member in its capacity as a member of the Company, must be paid by the Company, or through insurance purchased and maintained by the Company or through other financial arrangements made by the Company as permitted by the laws of the State of Nevada, as they are incurred and in advance of the final disposition of the action, suit or proceeding, upon receipt of an unsecured undertaking by or on behalf of the member to repay the amount if it is ultimately determined by a court of competent jurisdiction that it is not entitled to be indemnified by the Company. Any repeal or modification of this Article III approved by the member of the Company shall be prospective only. In the event of any conflict between this Article III and any other article of the Company’s articles of organization, the terms and provisions of Article III shall control.</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IV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MANAGEMENT</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management of the Company shall be vested in its sole member. The name and address of the sole member of the Company is Wynn Las Vegas, LLC. 3131 Las Vegas Boulevard South, Las Vegas, Nevada 89109. The member may designate or authorize, by provision either in the Company’s operating agreement or in another writing, one or more persons, officers or employees of the Company who may, in the name and on behalf of the Company, and in lieu of or in addition to the member, contract debts or incur liabilities, and sign contracts or agreements (including, without limitation, instruments and documents providing for the acquisition, mortgage or disposition of property of the Company), and may authorize the use of facsimile signatures of any such persons, officers or employees.</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ARTICLE V</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ORGANIZER</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name and post office box or street address of the organizer of the Company was Mary J. Drury, Esq., 300 S. Fourth Street, Suite 1200, Las Vegas, Nevada 89101.</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88" w:name="page89"/>
    <w:bookmarkEnd w:id="8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sole member of the Company has hereunto executed these First Amended and Restated Articles of Organization as of the 29th day of July, 2005.</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10795</wp:posOffset>
            </wp:positionV>
            <wp:extent cx="228981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240" w:top="280" w:right="11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3.9</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OPERATING AGREEMENT OF KEVYN,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Nevada limited liability company</w:t>
      </w:r>
    </w:p>
    <w:p>
      <w:pPr>
        <w:spacing w:after="0" w:line="159"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This Third Amended and Restated Operating Agreement of Kevyn, LLC, a Nevada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is adopted at Las Vegas, Nevada, effective as of July 29, 2005 (the “</w:t>
      </w:r>
      <w:r>
        <w:rPr>
          <w:rFonts w:ascii="Arial" w:cs="Arial" w:eastAsia="Arial" w:hAnsi="Arial"/>
          <w:sz w:val="18"/>
          <w:szCs w:val="18"/>
          <w:b w:val="1"/>
          <w:bCs w:val="1"/>
          <w:color w:val="auto"/>
        </w:rPr>
        <w:t>Effective Date</w:t>
      </w:r>
      <w:r>
        <w:rPr>
          <w:rFonts w:ascii="Arial" w:cs="Arial" w:eastAsia="Arial" w:hAnsi="Arial"/>
          <w:sz w:val="18"/>
          <w:szCs w:val="18"/>
          <w:color w:val="auto"/>
        </w:rPr>
        <w:t>”), by Wynn Las Vegas, LLC, a Nevada limited liability company (“</w:t>
      </w:r>
      <w:r>
        <w:rPr>
          <w:rFonts w:ascii="Arial" w:cs="Arial" w:eastAsia="Arial" w:hAnsi="Arial"/>
          <w:sz w:val="18"/>
          <w:szCs w:val="18"/>
          <w:b w:val="1"/>
          <w:bCs w:val="1"/>
          <w:color w:val="auto"/>
        </w:rPr>
        <w:t>WLV</w:t>
      </w:r>
      <w:r>
        <w:rPr>
          <w:rFonts w:ascii="Arial" w:cs="Arial" w:eastAsia="Arial" w:hAnsi="Arial"/>
          <w:sz w:val="18"/>
          <w:szCs w:val="18"/>
          <w:color w:val="auto"/>
        </w:rPr>
        <w:t>”), which constitutes the sole member of the Company, with reference to the recitals set forth below.</w:t>
      </w:r>
    </w:p>
    <w:p>
      <w:pPr>
        <w:spacing w:after="0" w:line="30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 E C I T A L 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On October 6, 2000, the Company’s initial member, Stephen A. Wynn (“</w:t>
      </w:r>
      <w:r>
        <w:rPr>
          <w:rFonts w:ascii="Arial" w:cs="Arial" w:eastAsia="Arial" w:hAnsi="Arial"/>
          <w:sz w:val="18"/>
          <w:szCs w:val="18"/>
          <w:b w:val="1"/>
          <w:bCs w:val="1"/>
          <w:color w:val="auto"/>
        </w:rPr>
        <w:t>Wynn</w:t>
      </w:r>
      <w:r>
        <w:rPr>
          <w:rFonts w:ascii="Arial" w:cs="Arial" w:eastAsia="Arial" w:hAnsi="Arial"/>
          <w:sz w:val="18"/>
          <w:szCs w:val="18"/>
          <w:color w:val="auto"/>
        </w:rPr>
        <w:t>”), adopted an operating agreement for the Company;</w:t>
      </w:r>
    </w:p>
    <w:p>
      <w:pPr>
        <w:spacing w:after="0" w:line="171"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B. On April 1, 2001, Wynn assigned his 100% interest in the Company to Valvino Lamore, LLC, a Nevada limited liability company (“</w:t>
      </w:r>
      <w:r>
        <w:rPr>
          <w:rFonts w:ascii="Arial" w:cs="Arial" w:eastAsia="Arial" w:hAnsi="Arial"/>
          <w:sz w:val="18"/>
          <w:szCs w:val="18"/>
          <w:b w:val="1"/>
          <w:bCs w:val="1"/>
          <w:color w:val="auto"/>
        </w:rPr>
        <w:t>Valvino</w:t>
      </w:r>
      <w:r>
        <w:rPr>
          <w:rFonts w:ascii="Arial" w:cs="Arial" w:eastAsia="Arial" w:hAnsi="Arial"/>
          <w:sz w:val="18"/>
          <w:szCs w:val="18"/>
          <w:color w:val="auto"/>
        </w:rPr>
        <w:t>”), and Valvino adopted an amended and restated operating agreement of the Company;</w:t>
      </w:r>
    </w:p>
    <w:p>
      <w:pPr>
        <w:spacing w:after="0" w:line="12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C. On October 17, 2002, Valvino distributed and assigned its 100% interest in the Company to Wynn Resorts, Limited, a Nevada corporation (“</w:t>
      </w:r>
      <w:r>
        <w:rPr>
          <w:rFonts w:ascii="Arial" w:cs="Arial" w:eastAsia="Arial" w:hAnsi="Arial"/>
          <w:sz w:val="18"/>
          <w:szCs w:val="18"/>
          <w:b w:val="1"/>
          <w:bCs w:val="1"/>
          <w:color w:val="auto"/>
        </w:rPr>
        <w:t>WRL</w:t>
      </w:r>
      <w:r>
        <w:rPr>
          <w:rFonts w:ascii="Arial" w:cs="Arial" w:eastAsia="Arial" w:hAnsi="Arial"/>
          <w:sz w:val="18"/>
          <w:szCs w:val="18"/>
          <w:color w:val="auto"/>
        </w:rPr>
        <w:t>”), and WRL adopted a second amended and restated operating agreement of the Company;</w:t>
      </w:r>
    </w:p>
    <w:p>
      <w:pPr>
        <w:spacing w:after="0" w:line="12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D. On the Effective Date, WRL contributed and assigned its 100% interest in the Company to Wynn Resorts Holdings, LLC, a Nevada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and immediately thereafter, Holdings contributed and assigned its 100% interest in the Company to WLV; and</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 As of the Effective Date, and pursuant to NRS 86.286(l), WLV desires to amend and restate, in its entirety, the operating agreement of the Company to provide for the conduct of the Company’s business and affairs on and after the Effective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WLV hereby adopts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“Act” means Chapter 86 of the NRS.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“Affiliate” means with respect to a specified Person, any other Person who or which is (a) directly or indirectly controlling, controlled by or under common control with the specified Person, or (b) any member, stockholder, director, officer, manager, or comparable principal of, or relative or spouse of, the specified Person. For purposes of this definition, “control”, “controlling”, and “controlled” mean the right to exercise, directly or indirectly, more than fifty percent of the voting power of the stockholders, members or owners and, with respect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90" w:name="page91"/>
    <w:bookmarkEnd w:id="90"/>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any individual, partnership, trust or other entity or association, the possession, directly or indirectly, of the power to direct or cause the direction of the management or policies of the controlled entity.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“Agreement” means this Third Amended and Restated Operating Agreement, as amended from time to time.</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u w:val="single" w:color="auto"/>
          <w:color w:val="auto"/>
        </w:rPr>
        <w:t>Articles</w:t>
      </w:r>
      <w:r>
        <w:rPr>
          <w:rFonts w:ascii="Arial" w:cs="Arial" w:eastAsia="Arial" w:hAnsi="Arial"/>
          <w:sz w:val="18"/>
          <w:szCs w:val="18"/>
          <w:color w:val="auto"/>
        </w:rPr>
        <w:t>. “Articles” means the First Amended and Restated Articles of Organization of the Company as filed with the Secretary of State of Nevada, as amended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Capital Contribution</w:t>
      </w:r>
      <w:r>
        <w:rPr>
          <w:rFonts w:ascii="Arial" w:cs="Arial" w:eastAsia="Arial" w:hAnsi="Arial"/>
          <w:sz w:val="18"/>
          <w:szCs w:val="18"/>
          <w:color w:val="auto"/>
        </w:rPr>
        <w:t>. “Capital Contribution” means a contribution to the capital of the Company in cash, property, or otherwise.</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means the Internal Revenue Code of 1986, as amended from time to time, or any corresponding United States federal tax statute enacted after the date of this Agreement. A reference to a specific section of the Code refers not only to such specific section but also to any corresponding provision of any United States federal tax statute enacted after the date of this Agreement, as such specific section or corresponding provision is in effect on the date of application of the provisions of this Agreement containing such reference.</w:t>
      </w:r>
    </w:p>
    <w:p>
      <w:pPr>
        <w:spacing w:after="0" w:line="14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u w:val="single" w:color="auto"/>
          <w:color w:val="auto"/>
        </w:rPr>
        <w:t>Covered Person</w:t>
      </w:r>
      <w:r>
        <w:rPr>
          <w:rFonts w:ascii="Arial" w:cs="Arial" w:eastAsia="Arial" w:hAnsi="Arial"/>
          <w:sz w:val="18"/>
          <w:szCs w:val="18"/>
          <w:color w:val="auto"/>
        </w:rPr>
        <w:t>. “Covered Person” means (a) the Member, (b) any officer of the Company, (c) any manager or officer of the Member or the respective Affiliates of the Company or the Member, or (d) any Person who was, at the time of the act or omission in question, a Person described in any of clauses (a), (b) or (c) hereof.</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“Interest” means the entire ownership interest of the Member in the Company at any time, including the right of the Member to any and all benefits to which the Member may be entitled as provided under the Act and this Agreement.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Member</w:t>
      </w:r>
      <w:r>
        <w:rPr>
          <w:rFonts w:ascii="Arial" w:cs="Arial" w:eastAsia="Arial" w:hAnsi="Arial"/>
          <w:sz w:val="18"/>
          <w:szCs w:val="18"/>
          <w:color w:val="auto"/>
        </w:rPr>
        <w:t>. “Member” means the sole member of the Company. As of the Effective Date, the Member’s name, address and percentage Interest are as set forth on Schedule I attached 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NRS</w:t>
      </w:r>
      <w:r>
        <w:rPr>
          <w:rFonts w:ascii="Arial" w:cs="Arial" w:eastAsia="Arial" w:hAnsi="Arial"/>
          <w:sz w:val="18"/>
          <w:szCs w:val="18"/>
          <w:color w:val="auto"/>
        </w:rPr>
        <w:t>. “NRS” means the Nevada Revised Statutes, as amended from time to time.</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“Person” means a natural person, any form of business or social organization and any other non-governmental legal entity including, but not limited to, a corporation, partnership, association, trust, unincorporated organization, estate or limited liability company.</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u w:val="single" w:color="auto"/>
          <w:color w:val="auto"/>
        </w:rPr>
        <w:t>Records Office</w:t>
      </w:r>
      <w:r>
        <w:rPr>
          <w:rFonts w:ascii="Arial" w:cs="Arial" w:eastAsia="Arial" w:hAnsi="Arial"/>
          <w:sz w:val="18"/>
          <w:szCs w:val="18"/>
          <w:color w:val="auto"/>
        </w:rPr>
        <w:t>. “Records Office” means an office of the Company in Nevada, which may but need not be a place of its business, at which it shall keep all records identified in NRS 86.241, except that none of the lists required to be maintained pursuant to NRS 86.241 need be maintained in alphabetical order, nor shall the Company be required to maintain at its Records Office copies of powers of attorney except those relating to the execution of the Articles and this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91" w:name="page92"/>
    <w:bookmarkEnd w:id="91"/>
    <w:p>
      <w:pPr>
        <w:ind w:right="8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Treasury Regulations</w:t>
      </w:r>
      <w:r>
        <w:rPr>
          <w:rFonts w:ascii="Arial" w:cs="Arial" w:eastAsia="Arial" w:hAnsi="Arial"/>
          <w:sz w:val="18"/>
          <w:szCs w:val="18"/>
          <w:color w:val="auto"/>
        </w:rPr>
        <w:t>. “Treasury Regulations” means the federal income tax regulations promulgated by the U.S. Treasury Department under the Code and codified at Title 26 of the Code of Federal Regulations, as amended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UCC</w:t>
      </w:r>
      <w:r>
        <w:rPr>
          <w:rFonts w:ascii="Arial" w:cs="Arial" w:eastAsia="Arial" w:hAnsi="Arial"/>
          <w:sz w:val="18"/>
          <w:szCs w:val="18"/>
          <w:color w:val="auto"/>
        </w:rPr>
        <w:t>. “UCC” means the Uniform Commercial Code as enacted and in effect in the State of Nevada or any other applicable jurisdiction.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INTRODUCTORY MATTERS</w:t>
      </w:r>
    </w:p>
    <w:p>
      <w:pPr>
        <w:spacing w:after="0" w:line="16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Formation</w:t>
      </w:r>
      <w:r>
        <w:rPr>
          <w:rFonts w:ascii="Arial" w:cs="Arial" w:eastAsia="Arial" w:hAnsi="Arial"/>
          <w:sz w:val="18"/>
          <w:szCs w:val="18"/>
          <w:color w:val="auto"/>
        </w:rPr>
        <w:t>. Pursuant to the Act, the Company was formed as a Nevada limited liability company under the laws of the State of Nevada. To the extent that the rights or obligations of the Member are different by reason of any provision of this Agreement than they would be in the absence of such provision, this Agreement shall, to the extent permitted by the Act, control.</w:t>
      </w:r>
    </w:p>
    <w:p>
      <w:pPr>
        <w:spacing w:after="0" w:line="14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Company is “Kevyn, LLC”. Subject to compliance with applicable law, the business and affairs of the Company may be conducted under that name or any other name that the Member deems appropriate or advisable.</w:t>
      </w:r>
    </w:p>
    <w:p>
      <w:pPr>
        <w:spacing w:after="0" w:line="132"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Records Office</w:t>
      </w:r>
      <w:r>
        <w:rPr>
          <w:rFonts w:ascii="Arial" w:cs="Arial" w:eastAsia="Arial" w:hAnsi="Arial"/>
          <w:sz w:val="18"/>
          <w:szCs w:val="18"/>
          <w:color w:val="auto"/>
        </w:rPr>
        <w:t>. The Company shall continuously maintain in the State of Nevada a Records Office. As of the date hereof, the Records Office is 3131 Las Vegas Boulevard South, Las Vegas, Nevada 89109. The Records Office may be changed to another location within the State of Nevada as the Member may from time to time determine.</w:t>
      </w:r>
    </w:p>
    <w:p>
      <w:pPr>
        <w:spacing w:after="0" w:line="14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Company may establish and maintain other offices at any time and at any place or places as the Member may designate or as the business of the Company may require.</w:t>
      </w:r>
    </w:p>
    <w:p>
      <w:pPr>
        <w:spacing w:after="0" w:line="132"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Resident Agent and Registered Office</w:t>
      </w:r>
      <w:r>
        <w:rPr>
          <w:rFonts w:ascii="Arial" w:cs="Arial" w:eastAsia="Arial" w:hAnsi="Arial"/>
          <w:sz w:val="16"/>
          <w:szCs w:val="16"/>
          <w:color w:val="auto"/>
        </w:rPr>
        <w:t>. The resident agent of the Company for service of process shall be as set forth in the Articles or as changed by the Member from time to time. The Company shall have as its registered office in the State of Nevada the street address of its resident agent.</w:t>
      </w:r>
    </w:p>
    <w:p>
      <w:pPr>
        <w:spacing w:after="0" w:line="85"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Purpose</w:t>
      </w:r>
      <w:r>
        <w:rPr>
          <w:rFonts w:ascii="Arial" w:cs="Arial" w:eastAsia="Arial" w:hAnsi="Arial"/>
          <w:sz w:val="16"/>
          <w:szCs w:val="16"/>
          <w:color w:val="auto"/>
        </w:rPr>
        <w:t>. Except as provided elsewhere in this Agreement, the Company is formed for the object and purpose of engaging in any lawful act or activity for which limited liability companies may be formed under the Act and engaging in any and all activities necessary or incidental to the foregoing.</w:t>
      </w:r>
    </w:p>
    <w:p>
      <w:pPr>
        <w:spacing w:after="0" w:line="8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Powers of the Company</w:t>
      </w:r>
      <w:r>
        <w:rPr>
          <w:rFonts w:ascii="Arial" w:cs="Arial" w:eastAsia="Arial" w:hAnsi="Arial"/>
          <w:sz w:val="18"/>
          <w:szCs w:val="18"/>
          <w:color w:val="auto"/>
        </w:rPr>
        <w:t>. Except as provided elsewhere in this Agreement, the Company shall have the power and authority to take any and all actions necessary, appropriate, advisable, convenient or incidental to or for the furtherance of the purpose set forth in Section 2.6, including, but not limited to, the power and authority to:</w:t>
      </w:r>
    </w:p>
    <w:p>
      <w:pPr>
        <w:spacing w:after="0" w:line="59"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(a) borrow money and issue evidences of indebtedness, and to secure the same by a mortgage, pledge or other lien on any or all of the assets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 the Company;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92" w:name="page93"/>
    <w:bookmarkEnd w:id="92"/>
    <w:p>
      <w:pPr>
        <w:ind w:right="20" w:firstLine="1492"/>
        <w:spacing w:after="0" w:line="268" w:lineRule="auto"/>
        <w:tabs>
          <w:tab w:leader="none" w:pos="1732"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conduct its business and operations in any state, territory, district or possession of the United States or in any foreign country that may be necessary or convenient to the accomplishment of the purpose of the Company;</w:t>
      </w:r>
    </w:p>
    <w:p>
      <w:pPr>
        <w:spacing w:after="0" w:line="131" w:lineRule="exact"/>
        <w:rPr>
          <w:rFonts w:ascii="Arial" w:cs="Arial" w:eastAsia="Arial" w:hAnsi="Arial"/>
          <w:sz w:val="18"/>
          <w:szCs w:val="18"/>
          <w:color w:val="auto"/>
        </w:rPr>
      </w:pPr>
    </w:p>
    <w:p>
      <w:pPr>
        <w:ind w:right="100" w:firstLine="1492"/>
        <w:spacing w:after="0" w:line="259" w:lineRule="auto"/>
        <w:tabs>
          <w:tab w:leader="none" w:pos="172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acquire, by purchase, lease, contribution of property or otherwise, and own, hold, maintain, finance, improve, lease, sell, convey, mortgage, transfer, demolish or dispose of any real or personal property that may be necessary, convenient or incidental to the accomplishment of the purpose of the Company;</w:t>
      </w:r>
    </w:p>
    <w:p>
      <w:pPr>
        <w:spacing w:after="0" w:line="140" w:lineRule="exact"/>
        <w:rPr>
          <w:rFonts w:ascii="Arial" w:cs="Arial" w:eastAsia="Arial" w:hAnsi="Arial"/>
          <w:sz w:val="18"/>
          <w:szCs w:val="18"/>
          <w:color w:val="auto"/>
        </w:rPr>
      </w:pPr>
    </w:p>
    <w:p>
      <w:pPr>
        <w:ind w:right="220" w:firstLine="1492"/>
        <w:spacing w:after="0" w:line="332" w:lineRule="auto"/>
        <w:tabs>
          <w:tab w:leader="none" w:pos="17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enter into, perform and carry out contracts of any kind, including without limitation, contracts with the Member or any Affiliate of the Member that are necessary to, in connection with, convenient to, or incidental to the accomplishment of the purpose of the Company;</w:t>
      </w:r>
    </w:p>
    <w:p>
      <w:pPr>
        <w:spacing w:after="0" w:line="85" w:lineRule="exact"/>
        <w:rPr>
          <w:rFonts w:ascii="Arial" w:cs="Arial" w:eastAsia="Arial" w:hAnsi="Arial"/>
          <w:sz w:val="16"/>
          <w:szCs w:val="16"/>
          <w:color w:val="auto"/>
        </w:rPr>
      </w:pPr>
    </w:p>
    <w:p>
      <w:pPr>
        <w:ind w:right="520" w:firstLine="1492"/>
        <w:spacing w:after="0" w:line="332" w:lineRule="auto"/>
        <w:tabs>
          <w:tab w:leader="none" w:pos="1722" w:val="left"/>
        </w:tabs>
        <w:numPr>
          <w:ilvl w:val="0"/>
          <w:numId w:val="40"/>
        </w:numPr>
        <w:rPr>
          <w:rFonts w:ascii="Arial" w:cs="Arial" w:eastAsia="Arial" w:hAnsi="Arial"/>
          <w:sz w:val="16"/>
          <w:szCs w:val="16"/>
          <w:color w:val="auto"/>
        </w:rPr>
      </w:pPr>
      <w:r>
        <w:rPr>
          <w:rFonts w:ascii="Arial" w:cs="Arial" w:eastAsia="Arial" w:hAnsi="Arial"/>
          <w:sz w:val="16"/>
          <w:szCs w:val="16"/>
          <w:color w:val="auto"/>
        </w:rPr>
        <w:t>purchase, take, receive, subscribe for or otherwise acquire, own, hold, vote, use, employ, sell, mortgage, lend, pledge or otherwise dispose of, and otherwise use and deal in and with, shares or other interests in or obligations of domestic or foreign entities;</w:t>
      </w:r>
    </w:p>
    <w:p>
      <w:pPr>
        <w:spacing w:after="0" w:line="85" w:lineRule="exact"/>
        <w:rPr>
          <w:rFonts w:ascii="Arial" w:cs="Arial" w:eastAsia="Arial" w:hAnsi="Arial"/>
          <w:sz w:val="16"/>
          <w:szCs w:val="16"/>
          <w:color w:val="auto"/>
        </w:rPr>
      </w:pPr>
    </w:p>
    <w:p>
      <w:pPr>
        <w:ind w:left="1720" w:hanging="228"/>
        <w:spacing w:after="0"/>
        <w:tabs>
          <w:tab w:leader="none" w:pos="17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lend money for any proper purpose, invest and reinvest its funds and take and hold real and personal property for the payment of funds so</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loaned or invested;</w:t>
      </w:r>
    </w:p>
    <w:p>
      <w:pPr>
        <w:spacing w:after="0" w:line="164" w:lineRule="exact"/>
        <w:rPr>
          <w:rFonts w:ascii="Arial" w:cs="Arial" w:eastAsia="Arial" w:hAnsi="Arial"/>
          <w:sz w:val="15"/>
          <w:szCs w:val="15"/>
          <w:color w:val="auto"/>
        </w:rPr>
      </w:pPr>
    </w:p>
    <w:p>
      <w:pPr>
        <w:ind w:left="1740" w:hanging="248"/>
        <w:spacing w:after="0"/>
        <w:tabs>
          <w:tab w:leader="none" w:pos="1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sue and be sued, complain and defend and participate in administrative or other proceedings, in its name;</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appoint employees, agents and officers of the Company, and define their duties and fix their compensation;</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indemnify any Person and obtain any and all types of insurance;</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cease its activities and cancel its insurance;</w:t>
      </w:r>
    </w:p>
    <w:p>
      <w:pPr>
        <w:spacing w:after="0" w:line="171" w:lineRule="exact"/>
        <w:rPr>
          <w:rFonts w:ascii="Arial" w:cs="Arial" w:eastAsia="Arial" w:hAnsi="Arial"/>
          <w:sz w:val="18"/>
          <w:szCs w:val="18"/>
          <w:color w:val="auto"/>
        </w:rPr>
      </w:pPr>
    </w:p>
    <w:p>
      <w:pPr>
        <w:ind w:right="220" w:firstLine="1492"/>
        <w:spacing w:after="0" w:line="268" w:lineRule="auto"/>
        <w:tabs>
          <w:tab w:leader="none" w:pos="17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negotiate, enter into, renegotiate, extend, renew, terminate, modify, amend, waive, execute, acknowledge or take any other action with respect to any lease, contract or security agreement in respect of any assets of the Company;</w:t>
      </w:r>
    </w:p>
    <w:p>
      <w:pPr>
        <w:spacing w:after="0" w:line="131" w:lineRule="exact"/>
        <w:rPr>
          <w:rFonts w:ascii="Arial" w:cs="Arial" w:eastAsia="Arial" w:hAnsi="Arial"/>
          <w:sz w:val="18"/>
          <w:szCs w:val="18"/>
          <w:color w:val="auto"/>
        </w:rPr>
      </w:pPr>
    </w:p>
    <w:p>
      <w:pPr>
        <w:ind w:right="20" w:firstLine="1492"/>
        <w:spacing w:after="0" w:line="268" w:lineRule="auto"/>
        <w:tabs>
          <w:tab w:leader="none" w:pos="1693"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collect, compromise, litigate, arbitrate or otherwise adjust or settle any and all other claims or demands of or against the Company or hold such proceeds against the payment of contingent liabilities; and</w:t>
      </w:r>
    </w:p>
    <w:p>
      <w:pPr>
        <w:spacing w:after="0" w:line="131" w:lineRule="exact"/>
        <w:rPr>
          <w:rFonts w:ascii="Arial" w:cs="Arial" w:eastAsia="Arial" w:hAnsi="Arial"/>
          <w:sz w:val="18"/>
          <w:szCs w:val="18"/>
          <w:color w:val="auto"/>
        </w:rPr>
      </w:pPr>
    </w:p>
    <w:p>
      <w:pPr>
        <w:ind w:firstLine="1492"/>
        <w:spacing w:after="0" w:line="268" w:lineRule="auto"/>
        <w:tabs>
          <w:tab w:leader="none" w:pos="17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execute, acknowledge and file any and all documents or instruments necessary, convenient or incidental to the accomplishment of the purpose of the Company.</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CAPITAL CONTRIBUTIONS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Member shall not be required to make any additional Capital Contribution to the Company.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PROFITS AND LOSSES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Profits and Losses</w:t>
      </w:r>
      <w:r>
        <w:rPr>
          <w:rFonts w:ascii="Arial" w:cs="Arial" w:eastAsia="Arial" w:hAnsi="Arial"/>
          <w:sz w:val="18"/>
          <w:szCs w:val="18"/>
          <w:color w:val="auto"/>
        </w:rPr>
        <w:t>. The Company’s profits and losses for any period shall be allocated to the Member.</w:t>
      </w:r>
    </w:p>
    <w:p>
      <w:pPr>
        <w:spacing w:after="0" w:line="171" w:lineRule="exact"/>
        <w:rPr>
          <w:sz w:val="20"/>
          <w:szCs w:val="20"/>
          <w:color w:val="auto"/>
        </w:rPr>
      </w:pPr>
    </w:p>
    <w:p>
      <w:pPr>
        <w:ind w:right="180" w:firstLine="913"/>
        <w:spacing w:after="0" w:line="29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Tax Classification</w:t>
      </w:r>
      <w:r>
        <w:rPr>
          <w:rFonts w:ascii="Arial" w:cs="Arial" w:eastAsia="Arial" w:hAnsi="Arial"/>
          <w:sz w:val="16"/>
          <w:szCs w:val="16"/>
          <w:color w:val="auto"/>
        </w:rPr>
        <w:t>. So long as the Company has only one Member, it is intended that the Company be disregarded for federal and all relevant state income tax purposes and that the activities of the Company be deemed to be activities of the Member for such purposes, as provided for by Treasury Regulations Sections 301.7701-1, et seq., and comparable provisions of applicable state tax law. In the event that the Company becomes an entity that has more than one Member, it is intended that the Company be treated as a “partnership” for federal and all relevant state income tax purposes, and all available elections shall be made, and take all available actions shall be taken, to cause the Company to be so treated.</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DISTRIBUTIONS</w:t>
      </w:r>
    </w:p>
    <w:p>
      <w:pPr>
        <w:spacing w:after="0" w:line="165"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Operating Distributions</w:t>
      </w:r>
      <w:r>
        <w:rPr>
          <w:rFonts w:ascii="Arial" w:cs="Arial" w:eastAsia="Arial" w:hAnsi="Arial"/>
          <w:sz w:val="18"/>
          <w:szCs w:val="18"/>
          <w:color w:val="auto"/>
        </w:rPr>
        <w:t>. Subject to Section 5.2, the Company shall from time to time distribute to the Member such amounts in cash and other assets as shall be determined by the Member.</w:t>
      </w:r>
    </w:p>
    <w:p>
      <w:pPr>
        <w:spacing w:after="0" w:line="132"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Limitations on Distribution</w:t>
      </w:r>
      <w:r>
        <w:rPr>
          <w:rFonts w:ascii="Arial" w:cs="Arial" w:eastAsia="Arial" w:hAnsi="Arial"/>
          <w:sz w:val="18"/>
          <w:szCs w:val="18"/>
          <w:color w:val="auto"/>
        </w:rPr>
        <w:t>. Notwithstanding any provision to the contrary contained in this Agreement, the Company shall not make any distribution if such distribution would violate the NRS or other applicable law or would cause a breach or default under any agreement or instrument to which the Company is a party or by which it or its assets are bound, but instead shall make such distribution as soon as practicable such that the making of such distribution would not cause such violation, breach or default.</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MEMBERSHIP</w:t>
      </w:r>
    </w:p>
    <w:p>
      <w:pPr>
        <w:spacing w:after="0" w:line="165"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The Member shall not be liable under a judgment, decree or order of a court, or in any other manner, for a debt, obligation or liability of the Company, except to the extent required by law or in an agreement signed by the Member. The Member shall not be required to loan any funds to the Company, nor shall the Member be required to make any contribution to the Company, nor shall the Member be subject to any liability to the Company or any third party, as a result of any deficit of the Company. However, nothing in this Agreement shall prevent the Member from making secured or unsecured loans to the Company by agreement with the Company.</w:t>
      </w:r>
    </w:p>
    <w:p>
      <w:pPr>
        <w:spacing w:after="0" w:line="14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Powers of the Member</w:t>
      </w:r>
      <w:r>
        <w:rPr>
          <w:rFonts w:ascii="Arial" w:cs="Arial" w:eastAsia="Arial" w:hAnsi="Arial"/>
          <w:sz w:val="18"/>
          <w:szCs w:val="18"/>
          <w:color w:val="auto"/>
        </w:rPr>
        <w:t>. The Member shall have full, exclusive and complete discretion to manage and control the business and affairs of the Company, to make all decisions affecting the business and affairs of the Company and to take all such actions as it deems necessary, appropriate or convenient to or for the furtherance of the purpose of the Company, including, without limitation, the power and authority to execute all documents and instruments, perform all duties and powers, and do all things on behalf of the Company in all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4" w:name="page95"/>
    <w:bookmarkEnd w:id="94"/>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matters necessary, desirable, convenient or incidental to the purpose of the Company. The Member is an agent of the Company’s business and the actions of the Member taken in such capacity and in accordance with this Agreement shall bind the Company. The Member shall be the sole Person with the power to bind the Company except and to the extent that such power is expressly delegated to any other Person by the Member in this Agreement or in writing or by oral communication, and such delegation shall not cause the Member to cease to be the Member.</w:t>
      </w:r>
    </w:p>
    <w:p>
      <w:pPr>
        <w:spacing w:after="0" w:line="11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Election of Officers</w:t>
      </w:r>
      <w:r>
        <w:rPr>
          <w:rFonts w:ascii="Arial" w:cs="Arial" w:eastAsia="Arial" w:hAnsi="Arial"/>
          <w:sz w:val="18"/>
          <w:szCs w:val="18"/>
          <w:color w:val="auto"/>
        </w:rPr>
        <w:t>. The Member in its sole discretion may, from time to, time, appoint any individuals as officers with such duties, authorities, responsibilities and titles as the Member may deem appropriate. Such officers shall serve until their successors are duly appointed by the Member or until their earlier removal or resignation. Any officer appointed by the Member may be removed at any time by the Member and any vacancy in any office shall be filled by the Member.</w:t>
      </w:r>
    </w:p>
    <w:p>
      <w:pPr>
        <w:spacing w:after="0" w:line="14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Designation of Authority</w:t>
      </w:r>
      <w:r>
        <w:rPr>
          <w:rFonts w:ascii="Arial" w:cs="Arial" w:eastAsia="Arial" w:hAnsi="Arial"/>
          <w:sz w:val="16"/>
          <w:szCs w:val="16"/>
          <w:color w:val="auto"/>
        </w:rPr>
        <w:t>. The Member may authorize, in a resolution or other writing, one or more Persons or one or more officers or employees of the Company who may, in the name and on behalf of the Company, and in lieu of or in addition to the Member, contract debts or incur liabilities, and sign contracts or agreements (including, without limitation, instruments and documents providing for the acquisition, mortgage or disposition of property of the Company), and may authorize the use of facsimile signatures of any such Persons, officers or employees.</w:t>
      </w:r>
    </w:p>
    <w:p>
      <w:pPr>
        <w:spacing w:after="0" w:line="113"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Transfer of Interest</w:t>
      </w:r>
      <w:r>
        <w:rPr>
          <w:rFonts w:ascii="Arial" w:cs="Arial" w:eastAsia="Arial" w:hAnsi="Arial"/>
          <w:sz w:val="18"/>
          <w:szCs w:val="18"/>
          <w:color w:val="auto"/>
        </w:rPr>
        <w:t>. The Interest of the Member is personal property, and such interest may be transferred or assigned, in whole or in part, in the sole discretion of the Member.</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CONDUCT AND SEPARATENESS COVENANTS</w:t>
      </w:r>
    </w:p>
    <w:p>
      <w:pPr>
        <w:spacing w:after="0" w:line="16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shall conduct business in its own name and hold itself out as a separate entity, and correct any known misunderstanding regarding its separate identity.</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DISSOLUTION OF THE COMPANY AND TERMINATION OF THE INTEREST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Dissolution</w:t>
      </w:r>
      <w:r>
        <w:rPr>
          <w:rFonts w:ascii="Arial" w:cs="Arial" w:eastAsia="Arial" w:hAnsi="Arial"/>
          <w:sz w:val="18"/>
          <w:szCs w:val="18"/>
          <w:color w:val="auto"/>
        </w:rPr>
        <w:t>. The Company shall be dissolved and its affairs wound up as determined by the Member.</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w:t>
      </w:r>
      <w:r>
        <w:rPr>
          <w:rFonts w:ascii="Arial" w:cs="Arial" w:eastAsia="Arial" w:hAnsi="Arial"/>
          <w:sz w:val="18"/>
          <w:szCs w:val="18"/>
          <w:color w:val="auto"/>
        </w:rPr>
        <w:t>. Subject to Section 6.6 and applicable law, the Member may not resign from the Company before the dissolution and winding up of the Company.</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Distribution on Dissolution and Liquidation</w:t>
      </w:r>
      <w:r>
        <w:rPr>
          <w:rFonts w:ascii="Arial" w:cs="Arial" w:eastAsia="Arial" w:hAnsi="Arial"/>
          <w:sz w:val="18"/>
          <w:szCs w:val="18"/>
          <w:color w:val="auto"/>
        </w:rPr>
        <w:t>. In the event of the dissolution of the Company for any reason, the business of the Company shall be continued to the extent necessary to allow an orderly winding up of its affairs, including the liquidation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the Company pursuant to the provisions of this Section 8.3, as promptly as practicable thereafter, and each of the following shall be accomplished:</w:t>
      </w:r>
    </w:p>
    <w:p>
      <w:pPr>
        <w:spacing w:after="0" w:line="113" w:lineRule="exact"/>
        <w:rPr>
          <w:sz w:val="20"/>
          <w:szCs w:val="20"/>
          <w:color w:val="auto"/>
        </w:rPr>
      </w:pPr>
    </w:p>
    <w:p>
      <w:pPr>
        <w:ind w:left="1740" w:hanging="248"/>
        <w:spacing w:after="0"/>
        <w:tabs>
          <w:tab w:leader="none" w:pos="1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Member shall oversee the winding up of the Company’s affairs;</w:t>
      </w:r>
    </w:p>
    <w:p>
      <w:pPr>
        <w:spacing w:after="0" w:line="171" w:lineRule="exact"/>
        <w:rPr>
          <w:rFonts w:ascii="Arial" w:cs="Arial" w:eastAsia="Arial" w:hAnsi="Arial"/>
          <w:sz w:val="18"/>
          <w:szCs w:val="18"/>
          <w:color w:val="auto"/>
        </w:rPr>
      </w:pPr>
    </w:p>
    <w:p>
      <w:pPr>
        <w:ind w:right="160" w:firstLine="1492"/>
        <w:spacing w:after="0" w:line="268" w:lineRule="auto"/>
        <w:tabs>
          <w:tab w:leader="none" w:pos="17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assets of the Company shall be liquidated as determined by the Member, or the Member may determine not to sell all or any portion of the assets, in which event such assets shall be distributed in kind; and</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proceeds of sale and all other assets of the Company shall be applied and distributed as follows and in the following order of priority:</w:t>
      </w:r>
    </w:p>
    <w:p>
      <w:pPr>
        <w:spacing w:after="0" w:line="113" w:lineRule="exact"/>
        <w:rPr>
          <w:rFonts w:ascii="Arial" w:cs="Arial" w:eastAsia="Arial" w:hAnsi="Arial"/>
          <w:sz w:val="16"/>
          <w:szCs w:val="16"/>
          <w:color w:val="auto"/>
        </w:rPr>
      </w:pPr>
    </w:p>
    <w:p>
      <w:pPr>
        <w:ind w:left="2160" w:hanging="212"/>
        <w:spacing w:after="0"/>
        <w:tabs>
          <w:tab w:leader="none" w:pos="21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to the expenses of liquidation;</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the payment of the debts and liabilities of the Company, including any debts and liabilities owed to the Member; and</w:t>
      </w:r>
    </w:p>
    <w:p>
      <w:pPr>
        <w:spacing w:after="0" w:line="113" w:lineRule="exact"/>
        <w:rPr>
          <w:rFonts w:ascii="Arial" w:cs="Arial" w:eastAsia="Arial" w:hAnsi="Arial"/>
          <w:sz w:val="16"/>
          <w:szCs w:val="16"/>
          <w:color w:val="auto"/>
        </w:rPr>
      </w:pPr>
    </w:p>
    <w:p>
      <w:pPr>
        <w:ind w:left="2260" w:hanging="312"/>
        <w:spacing w:after="0"/>
        <w:tabs>
          <w:tab w:leader="none" w:pos="226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balance, if any, to the Member.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LIABILITY, EXCULPATION AND INDEMNIFICATION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Exculpation</w:t>
      </w:r>
      <w:r>
        <w:rPr>
          <w:rFonts w:ascii="Arial" w:cs="Arial" w:eastAsia="Arial" w:hAnsi="Arial"/>
          <w:sz w:val="18"/>
          <w:szCs w:val="18"/>
          <w:color w:val="auto"/>
        </w:rPr>
        <w:t>.</w:t>
      </w:r>
    </w:p>
    <w:p>
      <w:pPr>
        <w:spacing w:after="0" w:line="90" w:lineRule="exact"/>
        <w:rPr>
          <w:sz w:val="20"/>
          <w:szCs w:val="20"/>
          <w:color w:val="auto"/>
        </w:rPr>
      </w:pPr>
    </w:p>
    <w:p>
      <w:pPr>
        <w:ind w:right="20" w:firstLine="1492"/>
        <w:spacing w:after="0" w:line="256" w:lineRule="auto"/>
        <w:tabs>
          <w:tab w:leader="none" w:pos="17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Covered Person shall be liable to the Company for any loss, damage or claim incurred by reason of any act or omission performed or omitted by the Covered Person in good faith on behalf of the Company, except that the Covered Person shall be liable for any such loss, damage or claim if a final adjudication by a court of competent jurisdiction establishes that the Covered Person’s acts or omissions involved intentional misconduct, fraud or a knowing violation of the law and was material to the cause of action.</w:t>
      </w:r>
    </w:p>
    <w:p>
      <w:pPr>
        <w:spacing w:after="0" w:line="143" w:lineRule="exact"/>
        <w:rPr>
          <w:rFonts w:ascii="Arial" w:cs="Arial" w:eastAsia="Arial" w:hAnsi="Arial"/>
          <w:sz w:val="18"/>
          <w:szCs w:val="18"/>
          <w:color w:val="auto"/>
        </w:rPr>
      </w:pPr>
    </w:p>
    <w:p>
      <w:pPr>
        <w:jc w:val="both"/>
        <w:ind w:firstLine="1492"/>
        <w:spacing w:after="0" w:line="298" w:lineRule="auto"/>
        <w:tabs>
          <w:tab w:leader="none" w:pos="1732"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including information, opinions, reports or statements as to the value and amount of the assets, liabilities, profits or losses or any other facts pertinent to the existence and amount of assets from which distributions to the Member might properly be paid.</w:t>
      </w:r>
    </w:p>
    <w:p>
      <w:pPr>
        <w:spacing w:after="0" w:line="113"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Fiduciary Duty</w:t>
      </w:r>
      <w:r>
        <w:rPr>
          <w:rFonts w:ascii="Arial" w:cs="Arial" w:eastAsia="Arial" w:hAnsi="Arial"/>
          <w:sz w:val="16"/>
          <w:szCs w:val="16"/>
          <w:color w:val="auto"/>
        </w:rPr>
        <w:t>. To the extent that, at law or in equity, a Covered Person has duties (including fiduciary duties) and liabilities relating thereto to the Company, then, to the fullest extent permitted by applicable law, the Covered Person acting under this Agreement shall not be liable to the Company or the Member for its good faith acts or omissions in reliance on the provisions of this Agreement. The provisions of this Agreement, to the extent that they restrict the duties and liabilities of a Covered Person otherwise existing at law or in equity, replace such other duties and liabilities of the Covered Person.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6" w:name="page97"/>
    <w:bookmarkEnd w:id="9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9.3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shall indemnify and hold harmless the Covered Person to the fullest extent permitted by NRS 86.411 to 86.451,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inclusive.</w:t>
      </w:r>
    </w:p>
    <w:p>
      <w:pPr>
        <w:spacing w:after="0" w:line="16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Determination of Right to Indemnification</w:t>
      </w:r>
      <w:r>
        <w:rPr>
          <w:rFonts w:ascii="Arial" w:cs="Arial" w:eastAsia="Arial" w:hAnsi="Arial"/>
          <w:sz w:val="18"/>
          <w:szCs w:val="18"/>
          <w:color w:val="auto"/>
        </w:rPr>
        <w:t>. Any indemnification under Section 9.3, unless ordered by a court or advanced pursuant to Section 9.5 below, shall be made by the Company only as authorized in the specific case upon a determination by the Member, in its sole discretion, that indemnification is proper in the circumstances.</w:t>
      </w:r>
    </w:p>
    <w:p>
      <w:pPr>
        <w:spacing w:after="0" w:line="14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Advance Payment of Expenses</w:t>
      </w:r>
      <w:r>
        <w:rPr>
          <w:rFonts w:ascii="Arial" w:cs="Arial" w:eastAsia="Arial" w:hAnsi="Arial"/>
          <w:sz w:val="18"/>
          <w:szCs w:val="18"/>
          <w:color w:val="auto"/>
        </w:rPr>
        <w:t>. The expenses of the Member incurred in defending a civil or criminal action, suit or proceeding shall be paid by the Company as they are incurred and in advance of the final disposition of the action, suit or proceeding, upon receipt of an undertaking by or on behalf of the Member to repay the amount if it is ultimately determined by a court of competent jurisdiction that the Member is not entitled to be indemnified by the Company. The provisions of this section do not affect any rights to advancement of expenses to which personnel of the Company other than the Member may be entitled under any contract or otherwise by law.</w:t>
      </w:r>
    </w:p>
    <w:p>
      <w:pPr>
        <w:spacing w:after="0" w:line="143"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Assets of the Company</w:t>
      </w:r>
      <w:r>
        <w:rPr>
          <w:rFonts w:ascii="Arial" w:cs="Arial" w:eastAsia="Arial" w:hAnsi="Arial"/>
          <w:sz w:val="18"/>
          <w:szCs w:val="18"/>
          <w:color w:val="auto"/>
        </w:rPr>
        <w:t>. Any indemnification under this Article IX shall be satisfied solely out of the assets of the Company. No debt shall be incurred by the Company or the Member in order to provide a source of funds for any indemnity, and the Member shall not have any liability (or any liability to make any additional Capital Contribution) on account thereof.</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165"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Membership Certificates</w:t>
      </w:r>
      <w:r>
        <w:rPr>
          <w:rFonts w:ascii="Arial" w:cs="Arial" w:eastAsia="Arial" w:hAnsi="Arial"/>
          <w:sz w:val="18"/>
          <w:szCs w:val="18"/>
          <w:color w:val="auto"/>
        </w:rPr>
        <w:t>. The Company shall issue a certificate to the Member to evidence the Interest in the Company. The Member or any officer of the Company may execute such certificate on behalf of the Company.</w:t>
      </w:r>
    </w:p>
    <w:p>
      <w:pPr>
        <w:spacing w:after="0" w:line="132" w:lineRule="exact"/>
        <w:rPr>
          <w:sz w:val="20"/>
          <w:szCs w:val="20"/>
          <w:color w:val="auto"/>
        </w:rPr>
      </w:pPr>
    </w:p>
    <w:p>
      <w:pPr>
        <w:ind w:right="80" w:firstLine="913"/>
        <w:spacing w:after="0" w:line="28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Securities Under the UCC</w:t>
      </w:r>
      <w:r>
        <w:rPr>
          <w:rFonts w:ascii="Arial" w:cs="Arial" w:eastAsia="Arial" w:hAnsi="Arial"/>
          <w:sz w:val="16"/>
          <w:szCs w:val="16"/>
          <w:color w:val="auto"/>
        </w:rPr>
        <w:t>. The Interest of a Member shall be considered a “security” as defined in Section 104.8102(1)(o) of the Nevada UCC and Section 8102(a)(15) or other corresponding provisions of the UCC in effect in other applicable jurisdictions, and this statement shall constitute an express provision that each such Interest is a security governed by Article 8 of the UCC, within the meaning of Section 104.8103(3) of the Nevada UCC and</w:t>
      </w:r>
    </w:p>
    <w:p>
      <w:pPr>
        <w:spacing w:after="0" w:line="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Section 8103(c) or other corresponding provisions of the UCC in effect in other applicable jurisdictions, solely for the purposes of establishing the applicability thereto of the provisions of Article 8 governing securities. No Interest of the Member shall be considered a “security” for any other purpose, nor shall this statement be construed to suggest that any such Interest should otherwise be considered a “security.” The Company shall imprint or otherwise place, on any certificate representing the Interest a legend in substantially the following form (in addition to any other legend required by applicable law or otherwise):</w:t>
      </w:r>
    </w:p>
    <w:p>
      <w:pPr>
        <w:spacing w:after="0" w:line="34"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“THE OWNERSHIP INTEREST REPRESENTED BY THIS CERTIFICATE SHALL BE CONSIDERED A ‘SECURITY’ AS DEFINED IN SECTION 104.8102(1)(o) OF THE NEVADA UCC AND SECTION 8102(a)(15)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97" w:name="page98"/>
    <w:bookmarkEnd w:id="97"/>
    <w:p>
      <w:pPr>
        <w:ind w:left="46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CORRESPONDING PROVISIONS OF THE UCC IN ANY OTHER APPLICABLE STATE OR JURISDICTION, AND THIS STATEMENT SHALL CONSTITUTE AN EXPRESS PROVISION THAT THE OWNERSHIP INTEREST REPRESENTED BY THIS CERTIFICATE IS A SECURITY GOVERNED BY ARTICLE 8 OF THE UCC, WITHIN THE MEANING OF SECTION 104.8103(3) OF THE NEVADA UCC AND SECTION 8103(c) OR OTHER CORRESPONDING PROVISIONS OF THE UCC IN ANY OTHER APPLICABLE STATE OR JURISDICTION, SOLELY FOR THE PURPOSES OF ESTABLISHING THE APPLICABILITY THERETO OF THE PROVISIONS OF ARTICLE 8 GOVERNING SECURITIES. THE OWNERSHIP INTEREST REPRESENTED BY THIS CERTIFICATE SHALL NOT BE CONSIDERED A ‘SECURITY’ FOR ANY OTHER PURPOSE, NOR SHALL THIS STATEMENT BE CONSTRUED TO SUGGEST THAT THE OWNERSHIP INTEREST REPRESENTED BY THIS CERTIFICATE SHOULD OTHERWISE BE CONSIDERED A ‘SECURITY.’ FOR PURPOSES HEREOF, ‘UCC’ SHALL MEAN THE UNIFORM COMMERCIAL CODE AS ENACTED AND IN EFFECT IN THE STATE OF NEVADA AND ANY OTHER APPLICABLE STATE OR JURISDICTION.”</w:t>
      </w:r>
    </w:p>
    <w:p>
      <w:pPr>
        <w:spacing w:after="0" w:line="15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may purchase and maintain insurance, to the extent and in such amounts as the Member shall, in its sole discretion, deem reasonable, on behalf of such Persons as the Member shall determine, against any liability that may be asserted against or expenses that may be incurred by any such Person in connection with the activities of the Company.</w:t>
      </w:r>
    </w:p>
    <w:p>
      <w:pPr>
        <w:spacing w:after="0" w:line="140"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Agreement, including any schedules or exhibits hereto, together with the Articles to the extent referenced herein, constitutes the complete and exclusive agreement and understanding of the Member with respect to the subject matter contained herein. This Agreement and the Articles replace and supersede all prior agreements, negotiations, statements, memoranda and understandings, whether written or oral, by the Member.</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only by a writing signed by the Member.</w:t>
      </w:r>
    </w:p>
    <w:p>
      <w:pPr>
        <w:spacing w:after="0" w:line="171"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This Agreement, and the rights and obligations of the Member, shall be interpreted and enforced in accordance with and governed by the laws of the State of Nevada without regard to the conflict laws of that State.</w:t>
      </w:r>
    </w:p>
    <w:p>
      <w:pPr>
        <w:spacing w:after="0" w:line="13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headings in this Agreement are inserted for convenience only and are in no way intended to describe, interpret, define, or limit the scope, extent or intent of this Agreement or any provisions contained herein. In the interpretation of this Agreement, the singular may be read as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the neuter gender as the masculine or feminine,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and the future tense as the past or present, and </w:t>
      </w:r>
      <w:r>
        <w:rPr>
          <w:rFonts w:ascii="Arial" w:cs="Arial" w:eastAsia="Arial" w:hAnsi="Arial"/>
          <w:sz w:val="18"/>
          <w:szCs w:val="18"/>
          <w:i w:val="1"/>
          <w:iCs w:val="1"/>
          <w:color w:val="auto"/>
        </w:rPr>
        <w:t>vice versa</w:t>
      </w:r>
      <w:r>
        <w:rPr>
          <w:rFonts w:ascii="Arial" w:cs="Arial" w:eastAsia="Arial" w:hAnsi="Arial"/>
          <w:sz w:val="18"/>
          <w:szCs w:val="18"/>
          <w:color w:val="auto"/>
        </w:rPr>
        <w:t>, all interchangeably as the context may require in order to fully effectuate the intent of the Member and the transactions contemplated herein. Syntax shall yield to the substance of the terms and provisions hereof.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8" w:name="page99"/>
    <w:bookmarkEnd w:id="98"/>
    <w:p>
      <w:pPr>
        <w:ind w:right="3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10.8 </w:t>
      </w:r>
      <w:r>
        <w:rPr>
          <w:rFonts w:ascii="Arial" w:cs="Arial" w:eastAsia="Arial" w:hAnsi="Arial"/>
          <w:sz w:val="18"/>
          <w:szCs w:val="18"/>
          <w:u w:val="single" w:color="auto"/>
          <w:color w:val="auto"/>
        </w:rPr>
        <w:t>Facsimile Copies</w:t>
      </w:r>
      <w:r>
        <w:rPr>
          <w:rFonts w:ascii="Arial" w:cs="Arial" w:eastAsia="Arial" w:hAnsi="Arial"/>
          <w:sz w:val="18"/>
          <w:szCs w:val="18"/>
          <w:color w:val="auto"/>
        </w:rPr>
        <w:t>. Facsimile copies of this Agreement or any approval or written consent of the Member, and facsimile signatures hereon or thereon, shall have the same force and effect as originals.</w:t>
      </w:r>
    </w:p>
    <w:p>
      <w:pPr>
        <w:spacing w:after="0" w:line="132"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any application thereof, is held by a court of competent jurisdiction to be invalid, void, illegal or unenforceable to any extent, that provision, or application thereof, shall be deemed severable and the remainder of this Agreement, and all other applications of such provision, shall not be affected, impaired or invalidated thereby, and shall continue in full force and effect to the fullest extent permitted by law.</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Waivers</w:t>
      </w:r>
      <w:r>
        <w:rPr>
          <w:rFonts w:ascii="Arial" w:cs="Arial" w:eastAsia="Arial" w:hAnsi="Arial"/>
          <w:sz w:val="18"/>
          <w:szCs w:val="18"/>
          <w:color w:val="auto"/>
        </w:rPr>
        <w:t>. No waiver of any of the provisions of this Agreement shall be deemed, or shall constitute, a waiver of any other provision, whether or not similar, nor shall any waiver constitute a continuing waiver, and no waiver shall be binding unless evidenced by an instrument in writing and executed by the Member.</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adopted solely by and for the benefit of the Member and its successors and assigns, and, except as set forth in Article IX hereof, no other Person shall have any rights, interest or claims hereunder or be entitled to any benefits under or on account of this Agreement as a third party beneficiary or otherwise.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appears on the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Member has executed and adopted this Agreement as of the Effective Date.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WYNN RESORTS HOLDINGS, LLC</w:t>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10795</wp:posOffset>
            </wp:positionV>
            <wp:extent cx="228981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Marc H. Rubinstein</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759"/>
          </w:cols>
          <w:pgMar w:left="700" w:top="280" w:right="1440" w:bottom="1440" w:gutter="0" w:footer="0" w:header="0"/>
        </w:sectPr>
      </w:pPr>
    </w:p>
    <w:bookmarkStart w:id="100" w:name="page101"/>
    <w:bookmarkEnd w:id="100"/>
    <w:p>
      <w:pPr>
        <w:ind w:left="52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ectPr>
          <w:pgSz w:w="11900" w:h="16838" w:orient="portrait"/>
          <w:cols w:equalWidth="0" w:num="1">
            <w:col w:w="10219"/>
          </w:cols>
          <w:pgMar w:left="240" w:top="280" w:right="1440"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Member’s Name: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Member’s Address: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Member’s Interest: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 Las Vegas, Nevada 89109</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151" w:lineRule="exact"/>
        <w:rPr>
          <w:sz w:val="20"/>
          <w:szCs w:val="20"/>
          <w:color w:val="auto"/>
        </w:rPr>
      </w:pPr>
    </w:p>
    <w:p>
      <w:pPr>
        <w:sectPr>
          <w:pgSz w:w="11900" w:h="16838" w:orient="portrait"/>
          <w:cols w:equalWidth="0" w:num="2">
            <w:col w:w="5240" w:space="720"/>
            <w:col w:w="4259"/>
          </w:cols>
          <w:pgMar w:left="240" w:top="280" w:right="1440"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19"/>
          </w:cols>
          <w:pgMar w:left="240" w:top="280" w:right="1440" w:bottom="1440" w:gutter="0" w:footer="0" w:header="0"/>
          <w:type w:val="continuous"/>
        </w:sectPr>
      </w:pPr>
    </w:p>
    <w:bookmarkStart w:id="101" w:name="page102"/>
    <w:bookmarkEnd w:id="101"/>
    <w:p>
      <w:pPr>
        <w:ind w:left="10600"/>
        <w:spacing w:after="0"/>
        <w:rPr>
          <w:sz w:val="20"/>
          <w:szCs w:val="20"/>
          <w:color w:val="auto"/>
        </w:rPr>
      </w:pPr>
      <w:r>
        <w:rPr>
          <w:rFonts w:ascii="Arial" w:cs="Arial" w:eastAsia="Arial" w:hAnsi="Arial"/>
          <w:sz w:val="16"/>
          <w:szCs w:val="16"/>
          <w:b w:val="1"/>
          <w:bCs w:val="1"/>
          <w:color w:val="auto"/>
        </w:rPr>
        <w:t>Exhibit 4.4</w:t>
      </w:r>
    </w:p>
    <w:p>
      <w:pPr>
        <w:spacing w:after="0" w:line="11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ECOND</w:t>
      </w:r>
      <w:r>
        <w:rPr>
          <w:rFonts w:ascii="Arial" w:cs="Arial" w:eastAsia="Arial" w:hAnsi="Arial"/>
          <w:sz w:val="18"/>
          <w:szCs w:val="18"/>
          <w:color w:val="auto"/>
        </w:rPr>
        <w:t xml:space="preserve"> 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xml:space="preserve"> (this “</w:t>
      </w:r>
      <w:r>
        <w:rPr>
          <w:rFonts w:ascii="Arial" w:cs="Arial" w:eastAsia="Arial" w:hAnsi="Arial"/>
          <w:sz w:val="18"/>
          <w:szCs w:val="18"/>
          <w:i w:val="1"/>
          <w:iCs w:val="1"/>
          <w:u w:val="single" w:color="auto"/>
          <w:color w:val="auto"/>
        </w:rPr>
        <w:t>Supplemental Indenture</w:t>
      </w:r>
      <w:r>
        <w:rPr>
          <w:rFonts w:ascii="Arial" w:cs="Arial" w:eastAsia="Arial" w:hAnsi="Arial"/>
          <w:sz w:val="18"/>
          <w:szCs w:val="18"/>
          <w:color w:val="auto"/>
        </w:rPr>
        <w:t>”), dated as of July 29, 2005, among Kevyn, LLC (the “</w:t>
      </w:r>
      <w:r>
        <w:rPr>
          <w:rFonts w:ascii="Arial" w:cs="Arial" w:eastAsia="Arial" w:hAnsi="Arial"/>
          <w:sz w:val="18"/>
          <w:szCs w:val="18"/>
          <w:i w:val="1"/>
          <w:iCs w:val="1"/>
          <w:u w:val="single" w:color="auto"/>
          <w:color w:val="auto"/>
        </w:rPr>
        <w:t>Guaranteeing Subsidiary</w:t>
      </w:r>
      <w:r>
        <w:rPr>
          <w:rFonts w:ascii="Arial" w:cs="Arial" w:eastAsia="Arial" w:hAnsi="Arial"/>
          <w:sz w:val="18"/>
          <w:szCs w:val="18"/>
          <w:color w:val="auto"/>
        </w:rPr>
        <w:t>”), a subsidiary of Wynn Las Vegas, LLC, a Nevada limited liability company (“</w:t>
      </w:r>
      <w:r>
        <w:rPr>
          <w:rFonts w:ascii="Arial" w:cs="Arial" w:eastAsia="Arial" w:hAnsi="Arial"/>
          <w:sz w:val="18"/>
          <w:szCs w:val="18"/>
          <w:i w:val="1"/>
          <w:iCs w:val="1"/>
          <w:u w:val="single" w:color="auto"/>
          <w:color w:val="auto"/>
        </w:rPr>
        <w:t>Wynn Las Vegas</w:t>
      </w:r>
      <w:r>
        <w:rPr>
          <w:rFonts w:ascii="Arial" w:cs="Arial" w:eastAsia="Arial" w:hAnsi="Arial"/>
          <w:sz w:val="18"/>
          <w:szCs w:val="18"/>
          <w:color w:val="auto"/>
        </w:rPr>
        <w:t>”), Wynn Las Vegas, Wynn Las Vegas Capital Corp., a Nevada corporation (“</w:t>
      </w:r>
      <w:r>
        <w:rPr>
          <w:rFonts w:ascii="Arial" w:cs="Arial" w:eastAsia="Arial" w:hAnsi="Arial"/>
          <w:sz w:val="18"/>
          <w:szCs w:val="18"/>
          <w:i w:val="1"/>
          <w:iCs w:val="1"/>
          <w:u w:val="single" w:color="auto"/>
          <w:color w:val="auto"/>
        </w:rPr>
        <w:t>Wynn Capital</w:t>
      </w:r>
      <w:r>
        <w:rPr>
          <w:rFonts w:ascii="Arial" w:cs="Arial" w:eastAsia="Arial" w:hAnsi="Arial"/>
          <w:sz w:val="18"/>
          <w:szCs w:val="18"/>
          <w:color w:val="auto"/>
        </w:rPr>
        <w:t>,” and together with Wynn Las Vegas, the “</w:t>
      </w:r>
      <w:r>
        <w:rPr>
          <w:rFonts w:ascii="Arial" w:cs="Arial" w:eastAsia="Arial" w:hAnsi="Arial"/>
          <w:sz w:val="18"/>
          <w:szCs w:val="18"/>
          <w:i w:val="1"/>
          <w:iCs w:val="1"/>
          <w:u w:val="single" w:color="auto"/>
          <w:color w:val="auto"/>
        </w:rPr>
        <w:t>Issuers</w:t>
      </w:r>
      <w:r>
        <w:rPr>
          <w:rFonts w:ascii="Arial" w:cs="Arial" w:eastAsia="Arial" w:hAnsi="Arial"/>
          <w:sz w:val="18"/>
          <w:szCs w:val="18"/>
          <w:color w:val="auto"/>
        </w:rPr>
        <w:t>”) and the Guarantors (as defined in the Indenture referred to herein) and U.S. Bank National Association, as trustee under the Indenture referred to below (the “</w:t>
      </w:r>
      <w:r>
        <w:rPr>
          <w:rFonts w:ascii="Arial" w:cs="Arial" w:eastAsia="Arial" w:hAnsi="Arial"/>
          <w:sz w:val="18"/>
          <w:szCs w:val="18"/>
          <w:i w:val="1"/>
          <w:iCs w:val="1"/>
          <w:u w:val="single" w:color="auto"/>
          <w:color w:val="auto"/>
        </w:rPr>
        <w:t>Trustee</w:t>
      </w:r>
      <w:r>
        <w:rPr>
          <w:rFonts w:ascii="Arial" w:cs="Arial" w:eastAsia="Arial" w:hAnsi="Arial"/>
          <w:sz w:val="18"/>
          <w:szCs w:val="18"/>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right="60" w:firstLine="456"/>
        <w:spacing w:after="0" w:line="304" w:lineRule="auto"/>
        <w:rPr>
          <w:sz w:val="20"/>
          <w:szCs w:val="20"/>
          <w:color w:val="auto"/>
        </w:rPr>
      </w:pPr>
      <w:r>
        <w:rPr>
          <w:rFonts w:ascii="Arial" w:cs="Arial" w:eastAsia="Arial" w:hAnsi="Arial"/>
          <w:sz w:val="18"/>
          <w:szCs w:val="18"/>
          <w:color w:val="auto"/>
        </w:rPr>
        <w:t>WHEREAS, the Issuers have heretofore executed and delivered to the Trustee an indenture (the “</w:t>
      </w:r>
      <w:r>
        <w:rPr>
          <w:rFonts w:ascii="Arial" w:cs="Arial" w:eastAsia="Arial" w:hAnsi="Arial"/>
          <w:sz w:val="18"/>
          <w:szCs w:val="18"/>
          <w:i w:val="1"/>
          <w:iCs w:val="1"/>
          <w:u w:val="single" w:color="auto"/>
          <w:color w:val="auto"/>
        </w:rPr>
        <w:t>Indenture</w:t>
      </w:r>
      <w:r>
        <w:rPr>
          <w:rFonts w:ascii="Arial" w:cs="Arial" w:eastAsia="Arial" w:hAnsi="Arial"/>
          <w:sz w:val="18"/>
          <w:szCs w:val="18"/>
          <w:color w:val="auto"/>
        </w:rPr>
        <w:t xml:space="preserve">”), dated as of December 14, 2004 providing for the issuance of an aggregate principal amount of (a) $1.3 billion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(the “</w:t>
      </w:r>
      <w:r>
        <w:rPr>
          <w:rFonts w:ascii="Arial" w:cs="Arial" w:eastAsia="Arial" w:hAnsi="Arial"/>
          <w:sz w:val="18"/>
          <w:szCs w:val="18"/>
          <w:i w:val="1"/>
          <w:iCs w:val="1"/>
          <w:u w:val="single" w:color="auto"/>
          <w:color w:val="auto"/>
        </w:rPr>
        <w:t>Notes</w:t>
      </w:r>
      <w:r>
        <w:rPr>
          <w:rFonts w:ascii="Arial" w:cs="Arial" w:eastAsia="Arial" w:hAnsi="Arial"/>
          <w:sz w:val="18"/>
          <w:szCs w:val="18"/>
          <w:color w:val="auto"/>
        </w:rPr>
        <w:t>”);</w:t>
      </w:r>
    </w:p>
    <w:p>
      <w:pPr>
        <w:spacing w:after="0" w:line="6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8"/>
          <w:szCs w:val="18"/>
          <w:i w:val="1"/>
          <w:iCs w:val="1"/>
          <w:u w:val="single" w:color="auto"/>
          <w:color w:val="auto"/>
        </w:rPr>
        <w:t>Note Guarantee</w:t>
      </w:r>
      <w:r>
        <w:rPr>
          <w:rFonts w:ascii="Arial" w:cs="Arial" w:eastAsia="Arial" w:hAnsi="Arial"/>
          <w:sz w:val="18"/>
          <w:szCs w:val="18"/>
          <w:color w:val="auto"/>
        </w:rPr>
        <w:t>”);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Guaranteeing Subsidiary and the Trustee mutually covenant and agree for the equal and ratable benefit of the Holders of the Notes as follows:</w:t>
      </w:r>
    </w:p>
    <w:p>
      <w:pPr>
        <w:spacing w:after="0" w:line="84"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APITALIZED</w:t>
      </w:r>
      <w:r>
        <w:rPr>
          <w:rFonts w:ascii="Arial" w:cs="Arial" w:eastAsia="Arial" w:hAnsi="Arial"/>
          <w:sz w:val="18"/>
          <w:szCs w:val="18"/>
          <w:color w:val="auto"/>
        </w:rPr>
        <w:t xml:space="preserve"> T</w:t>
      </w:r>
      <w:r>
        <w:rPr>
          <w:rFonts w:ascii="Arial" w:cs="Arial" w:eastAsia="Arial" w:hAnsi="Arial"/>
          <w:sz w:val="14"/>
          <w:szCs w:val="14"/>
          <w:color w:val="auto"/>
        </w:rPr>
        <w:t>ERMS</w:t>
      </w:r>
      <w:r>
        <w:rPr>
          <w:rFonts w:ascii="Arial" w:cs="Arial" w:eastAsia="Arial" w:hAnsi="Arial"/>
          <w:sz w:val="18"/>
          <w:szCs w:val="18"/>
          <w:color w:val="auto"/>
        </w:rPr>
        <w:t>. Capitalized terms used herein without definition shall have the meanings assigned to them in the Indenture.</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GREEMENT TO</w:t>
      </w:r>
      <w:r>
        <w:rPr>
          <w:rFonts w:ascii="Arial" w:cs="Arial" w:eastAsia="Arial" w:hAnsi="Arial"/>
          <w:sz w:val="18"/>
          <w:szCs w:val="18"/>
          <w:color w:val="auto"/>
        </w:rPr>
        <w:t xml:space="preserve"> G</w:t>
      </w:r>
      <w:r>
        <w:rPr>
          <w:rFonts w:ascii="Arial" w:cs="Arial" w:eastAsia="Arial" w:hAnsi="Arial"/>
          <w:sz w:val="14"/>
          <w:szCs w:val="14"/>
          <w:color w:val="auto"/>
        </w:rPr>
        <w:t>UARANTEE</w:t>
      </w:r>
      <w:r>
        <w:rPr>
          <w:rFonts w:ascii="Arial" w:cs="Arial" w:eastAsia="Arial" w:hAnsi="Arial"/>
          <w:sz w:val="18"/>
          <w:szCs w:val="18"/>
          <w:color w:val="auto"/>
        </w:rPr>
        <w:t>. The Guaranteeing Subsidiary hereby agrees as follows:</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37"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Along with all Guarantors named in the Indenture, to jointly, severally and unconditionally Guarantee to each Holder of a Note authenticated and delivered by the Trustee and to the Trustee and its successors and assigns, the Notes, the Collateral Documents or the obligations of the Issuers hereunder or thereunder, that:</w:t>
      </w:r>
    </w:p>
    <w:p>
      <w:pPr>
        <w:spacing w:after="0" w:line="59" w:lineRule="exact"/>
        <w:rPr>
          <w:rFonts w:ascii="Arial" w:cs="Arial" w:eastAsia="Arial" w:hAnsi="Arial"/>
          <w:sz w:val="18"/>
          <w:szCs w:val="18"/>
          <w:color w:val="auto"/>
        </w:rPr>
      </w:pPr>
    </w:p>
    <w:p>
      <w:pPr>
        <w:jc w:val="both"/>
        <w:ind w:left="920" w:firstLine="421"/>
        <w:spacing w:after="0" w:line="256" w:lineRule="auto"/>
        <w:tabs>
          <w:tab w:leader="none" w:pos="1549"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principal of, and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2"/>
          <w:numId w:val="44"/>
        </w:numPr>
        <w:rPr>
          <w:rFonts w:ascii="Arial" w:cs="Arial" w:eastAsia="Arial" w:hAnsi="Arial"/>
          <w:sz w:val="16"/>
          <w:szCs w:val="16"/>
          <w:color w:val="auto"/>
        </w:rPr>
      </w:pPr>
      <w:r>
        <w:rPr>
          <w:rFonts w:ascii="Arial" w:cs="Arial" w:eastAsia="Arial" w:hAnsi="Arial"/>
          <w:sz w:val="16"/>
          <w:szCs w:val="16"/>
          <w:color w:val="auto"/>
        </w:rPr>
        <w:t>in case of any extension of time of payment or renewal of any Notes or any of such other obligations, that same shall be promptly paid in</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full</w:t>
      </w:r>
    </w:p>
    <w:p>
      <w:pPr>
        <w:sectPr>
          <w:pgSz w:w="11900" w:h="16838" w:orient="portrait"/>
          <w:cols w:equalWidth="0" w:num="1">
            <w:col w:w="11420"/>
          </w:cols>
          <w:pgMar w:left="240" w:top="125" w:right="239" w:bottom="1440" w:gutter="0" w:footer="0" w:header="0"/>
        </w:sectPr>
      </w:pPr>
    </w:p>
    <w:bookmarkStart w:id="102" w:name="page103"/>
    <w:bookmarkEnd w:id="10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due or performed in accordance with the terms of the extension or renewal, whether at stated maturity, by acceleration or otherwise.</w:t>
      </w:r>
    </w:p>
    <w:p>
      <w:pPr>
        <w:spacing w:after="0" w:line="113"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Failing payment when due of any amount so guaranteed or any performance so guaranteed for whatever reason, the Guarantors shall be jointly and severally obligated to pay the same immediately.</w:t>
      </w:r>
    </w:p>
    <w:p>
      <w:pPr>
        <w:spacing w:after="0" w:line="51" w:lineRule="exact"/>
        <w:rPr>
          <w:sz w:val="20"/>
          <w:szCs w:val="20"/>
          <w:color w:val="auto"/>
        </w:rPr>
      </w:pPr>
    </w:p>
    <w:p>
      <w:pPr>
        <w:ind w:right="360" w:firstLine="443"/>
        <w:spacing w:after="0" w:line="256" w:lineRule="auto"/>
        <w:tabs>
          <w:tab w:leader="none" w:pos="68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obligations hereunder shall be unconditional, irrespective of the validity, regularity or enforceability of the Notes, the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62" w:lineRule="exact"/>
        <w:rPr>
          <w:rFonts w:ascii="Arial" w:cs="Arial" w:eastAsia="Arial" w:hAnsi="Arial"/>
          <w:sz w:val="18"/>
          <w:szCs w:val="18"/>
          <w:color w:val="auto"/>
        </w:rPr>
      </w:pPr>
    </w:p>
    <w:p>
      <w:pPr>
        <w:ind w:right="300" w:firstLine="443"/>
        <w:spacing w:after="0" w:line="294" w:lineRule="auto"/>
        <w:tabs>
          <w:tab w:leader="none" w:pos="67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34" w:lineRule="exact"/>
        <w:rPr>
          <w:rFonts w:ascii="Arial" w:cs="Arial" w:eastAsia="Arial" w:hAnsi="Arial"/>
          <w:sz w:val="16"/>
          <w:szCs w:val="16"/>
          <w:color w:val="auto"/>
        </w:rPr>
      </w:pPr>
    </w:p>
    <w:p>
      <w:pPr>
        <w:ind w:firstLine="443"/>
        <w:spacing w:after="0" w:line="268" w:lineRule="auto"/>
        <w:tabs>
          <w:tab w:leader="none" w:pos="68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Note Guarantee shall not be discharged except by complete performance of the obligations contained in the Notes and the Indenture, and the Guaranteeing Subsidiary accepts all obligations of a Guarantor under the Indenture.</w:t>
      </w:r>
    </w:p>
    <w:p>
      <w:pPr>
        <w:spacing w:after="0" w:line="50" w:lineRule="exact"/>
        <w:rPr>
          <w:rFonts w:ascii="Arial" w:cs="Arial" w:eastAsia="Arial" w:hAnsi="Arial"/>
          <w:sz w:val="18"/>
          <w:szCs w:val="18"/>
          <w:color w:val="auto"/>
        </w:rPr>
      </w:pPr>
    </w:p>
    <w:p>
      <w:pPr>
        <w:ind w:right="200" w:firstLine="443"/>
        <w:spacing w:after="0" w:line="259" w:lineRule="auto"/>
        <w:tabs>
          <w:tab w:leader="none" w:pos="6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59" w:lineRule="exact"/>
        <w:rPr>
          <w:rFonts w:ascii="Arial" w:cs="Arial" w:eastAsia="Arial" w:hAnsi="Arial"/>
          <w:sz w:val="18"/>
          <w:szCs w:val="18"/>
          <w:color w:val="auto"/>
        </w:rPr>
      </w:pPr>
    </w:p>
    <w:p>
      <w:pPr>
        <w:ind w:right="220" w:firstLine="443"/>
        <w:spacing w:after="0" w:line="268" w:lineRule="auto"/>
        <w:tabs>
          <w:tab w:leader="none" w:pos="65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Guaranteeing Subsidiary shall not be entitled to any right of subrogation in relation to the Holders in respect of any obligations guaranteed hereby until payment in full of all obligations guaranteed hereby.</w:t>
      </w:r>
    </w:p>
    <w:p>
      <w:pPr>
        <w:spacing w:after="0" w:line="50" w:lineRule="exact"/>
        <w:rPr>
          <w:rFonts w:ascii="Arial" w:cs="Arial" w:eastAsia="Arial" w:hAnsi="Arial"/>
          <w:sz w:val="18"/>
          <w:szCs w:val="18"/>
          <w:color w:val="auto"/>
        </w:rPr>
      </w:pPr>
    </w:p>
    <w:p>
      <w:pPr>
        <w:ind w:right="140" w:firstLine="443"/>
        <w:spacing w:after="0" w:line="255" w:lineRule="auto"/>
        <w:tabs>
          <w:tab w:leader="none" w:pos="68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103" w:name="page104"/>
    <w:bookmarkEnd w:id="103"/>
    <w:p>
      <w:pPr>
        <w:ind w:left="460" w:right="100" w:firstLine="443"/>
        <w:spacing w:after="0" w:line="268" w:lineRule="auto"/>
        <w:tabs>
          <w:tab w:leader="none" w:pos="1147" w:val="left"/>
        </w:tabs>
        <w:numPr>
          <w:ilvl w:val="1"/>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Guarantors shall have the right to seek contribution from any non-paying Guarantor so long as the exercise of such right does not impair the rights of the Holders under the Note Guarantee.</w:t>
      </w:r>
    </w:p>
    <w:p>
      <w:pPr>
        <w:spacing w:after="0" w:line="50" w:lineRule="exact"/>
        <w:rPr>
          <w:rFonts w:ascii="Arial" w:cs="Arial" w:eastAsia="Arial" w:hAnsi="Arial"/>
          <w:sz w:val="18"/>
          <w:szCs w:val="18"/>
          <w:color w:val="auto"/>
        </w:rPr>
      </w:pPr>
    </w:p>
    <w:p>
      <w:pPr>
        <w:ind w:left="460" w:firstLine="443"/>
        <w:spacing w:after="0" w:line="255" w:lineRule="auto"/>
        <w:tabs>
          <w:tab w:leader="none" w:pos="11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 such that the obligations of such Guarantor under this Note Guarantee shall not constitute a fraudulent transfer or conveyance.</w:t>
      </w:r>
    </w:p>
    <w:p>
      <w:pPr>
        <w:spacing w:after="0" w:line="142" w:lineRule="exact"/>
        <w:rPr>
          <w:rFonts w:ascii="Arial" w:cs="Arial" w:eastAsia="Arial" w:hAnsi="Arial"/>
          <w:sz w:val="18"/>
          <w:szCs w:val="18"/>
          <w:color w:val="auto"/>
        </w:rPr>
      </w:pPr>
    </w:p>
    <w:p>
      <w:pPr>
        <w:ind w:right="260" w:firstLine="464"/>
        <w:spacing w:after="0" w:line="268"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XECUTION AND</w:t>
      </w:r>
      <w:r>
        <w:rPr>
          <w:rFonts w:ascii="Arial" w:cs="Arial" w:eastAsia="Arial" w:hAnsi="Arial"/>
          <w:sz w:val="18"/>
          <w:szCs w:val="18"/>
          <w:color w:val="auto"/>
        </w:rPr>
        <w:t xml:space="preserve"> D</w:t>
      </w:r>
      <w:r>
        <w:rPr>
          <w:rFonts w:ascii="Arial" w:cs="Arial" w:eastAsia="Arial" w:hAnsi="Arial"/>
          <w:sz w:val="14"/>
          <w:szCs w:val="14"/>
          <w:color w:val="auto"/>
        </w:rPr>
        <w:t>ELIVERY</w:t>
      </w:r>
      <w:r>
        <w:rPr>
          <w:rFonts w:ascii="Arial" w:cs="Arial" w:eastAsia="Arial" w:hAnsi="Arial"/>
          <w:sz w:val="18"/>
          <w:szCs w:val="18"/>
          <w:color w:val="auto"/>
        </w:rPr>
        <w:t>. Each Guaranteeing Subsidiary agrees that the Note Guarantees shall remain in full force and effect notwithstanding any failure to endorse on each Note a notation of such Note Guarantee.</w:t>
      </w:r>
    </w:p>
    <w:p>
      <w:pPr>
        <w:spacing w:after="0" w:line="212" w:lineRule="exact"/>
        <w:rPr>
          <w:rFonts w:ascii="Arial" w:cs="Arial" w:eastAsia="Arial" w:hAnsi="Arial"/>
          <w:sz w:val="18"/>
          <w:szCs w:val="18"/>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4"/>
          <w:szCs w:val="14"/>
          <w:color w:val="auto"/>
        </w:rPr>
        <w:t>UARANTEEING</w:t>
      </w:r>
      <w:r>
        <w:rPr>
          <w:rFonts w:ascii="Arial" w:cs="Arial" w:eastAsia="Arial" w:hAnsi="Arial"/>
          <w:sz w:val="18"/>
          <w:szCs w:val="18"/>
          <w:color w:val="auto"/>
        </w:rPr>
        <w:t xml:space="preserve"> S</w:t>
      </w:r>
      <w:r>
        <w:rPr>
          <w:rFonts w:ascii="Arial" w:cs="Arial" w:eastAsia="Arial" w:hAnsi="Arial"/>
          <w:sz w:val="14"/>
          <w:szCs w:val="14"/>
          <w:color w:val="auto"/>
        </w:rPr>
        <w:t>UBSIDIARY</w:t>
      </w:r>
      <w:r>
        <w:rPr>
          <w:rFonts w:ascii="Arial" w:cs="Arial" w:eastAsia="Arial" w:hAnsi="Arial"/>
          <w:sz w:val="18"/>
          <w:szCs w:val="18"/>
          <w:color w:val="auto"/>
        </w:rPr>
        <w:t xml:space="preserve"> M</w:t>
      </w:r>
      <w:r>
        <w:rPr>
          <w:rFonts w:ascii="Arial" w:cs="Arial" w:eastAsia="Arial" w:hAnsi="Arial"/>
          <w:sz w:val="14"/>
          <w:szCs w:val="14"/>
          <w:color w:val="auto"/>
        </w:rPr>
        <w:t>AY</w:t>
      </w:r>
      <w:r>
        <w:rPr>
          <w:rFonts w:ascii="Arial" w:cs="Arial" w:eastAsia="Arial" w:hAnsi="Arial"/>
          <w:sz w:val="18"/>
          <w:szCs w:val="18"/>
          <w:color w:val="auto"/>
        </w:rPr>
        <w:t xml:space="preserve"> C</w:t>
      </w:r>
      <w:r>
        <w:rPr>
          <w:rFonts w:ascii="Arial" w:cs="Arial" w:eastAsia="Arial" w:hAnsi="Arial"/>
          <w:sz w:val="14"/>
          <w:szCs w:val="14"/>
          <w:color w:val="auto"/>
        </w:rPr>
        <w:t>ONSOLIDATE</w:t>
      </w:r>
      <w:r>
        <w:rPr>
          <w:rFonts w:ascii="Arial" w:cs="Arial" w:eastAsia="Arial" w:hAnsi="Arial"/>
          <w:sz w:val="18"/>
          <w:szCs w:val="18"/>
          <w:color w:val="auto"/>
        </w:rPr>
        <w:t>, E</w:t>
      </w:r>
      <w:r>
        <w:rPr>
          <w:rFonts w:ascii="Arial" w:cs="Arial" w:eastAsia="Arial" w:hAnsi="Arial"/>
          <w:sz w:val="14"/>
          <w:szCs w:val="14"/>
          <w:color w:val="auto"/>
        </w:rPr>
        <w:t>TC</w:t>
      </w:r>
      <w:r>
        <w:rPr>
          <w:rFonts w:ascii="Arial" w:cs="Arial" w:eastAsia="Arial" w:hAnsi="Arial"/>
          <w:sz w:val="18"/>
          <w:szCs w:val="18"/>
          <w:color w:val="auto"/>
        </w:rPr>
        <w:t xml:space="preserve">. </w:t>
      </w:r>
      <w:r>
        <w:rPr>
          <w:rFonts w:ascii="Arial" w:cs="Arial" w:eastAsia="Arial" w:hAnsi="Arial"/>
          <w:sz w:val="14"/>
          <w:szCs w:val="14"/>
          <w:color w:val="auto"/>
        </w:rPr>
        <w:t>ON</w:t>
      </w:r>
      <w:r>
        <w:rPr>
          <w:rFonts w:ascii="Arial" w:cs="Arial" w:eastAsia="Arial" w:hAnsi="Arial"/>
          <w:sz w:val="18"/>
          <w:szCs w:val="18"/>
          <w:color w:val="auto"/>
        </w:rPr>
        <w:t xml:space="preserve"> C</w:t>
      </w:r>
      <w:r>
        <w:rPr>
          <w:rFonts w:ascii="Arial" w:cs="Arial" w:eastAsia="Arial" w:hAnsi="Arial"/>
          <w:sz w:val="14"/>
          <w:szCs w:val="14"/>
          <w:color w:val="auto"/>
        </w:rPr>
        <w:t>ERTAIN</w:t>
      </w:r>
      <w:r>
        <w:rPr>
          <w:rFonts w:ascii="Arial" w:cs="Arial" w:eastAsia="Arial" w:hAnsi="Arial"/>
          <w:sz w:val="18"/>
          <w:szCs w:val="18"/>
          <w:color w:val="auto"/>
        </w:rPr>
        <w:t xml:space="preserve"> T</w:t>
      </w:r>
      <w:r>
        <w:rPr>
          <w:rFonts w:ascii="Arial" w:cs="Arial" w:eastAsia="Arial" w:hAnsi="Arial"/>
          <w:sz w:val="14"/>
          <w:szCs w:val="14"/>
          <w:color w:val="auto"/>
        </w:rPr>
        <w:t>ERMS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200" w:firstLine="443"/>
        <w:spacing w:after="0" w:line="259" w:lineRule="auto"/>
        <w:tabs>
          <w:tab w:leader="none" w:pos="11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Guaranteeing Subsidiary may not sell or otherwise dispose of all or substantially all of its assets to, or consolidate with or merge with or into (whether or not such Guaranteeing Subsidiary is the surviving Person) another Person, other than either of the Issuers or another Guarantor, except as set forth in the Indenture.</w:t>
      </w:r>
    </w:p>
    <w:p>
      <w:pPr>
        <w:spacing w:after="0" w:line="59"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4 or the provisions of Section 11.04 of the Indenture, each Guarantor is permitted to reorganize as a corporation pursuant to a Permitted C-Corp. Conversion.</w:t>
      </w:r>
    </w:p>
    <w:p>
      <w:pPr>
        <w:spacing w:after="0" w:line="212" w:lineRule="exact"/>
        <w:rPr>
          <w:rFonts w:ascii="Arial" w:cs="Arial" w:eastAsia="Arial" w:hAnsi="Arial"/>
          <w:sz w:val="18"/>
          <w:szCs w:val="18"/>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w:t>
      </w:r>
      <w:r>
        <w:rPr>
          <w:rFonts w:ascii="Arial" w:cs="Arial" w:eastAsia="Arial" w:hAnsi="Arial"/>
          <w:sz w:val="14"/>
          <w:szCs w:val="14"/>
          <w:color w:val="auto"/>
        </w:rPr>
        <w:t>ELEASES</w:t>
      </w:r>
      <w:r>
        <w:rPr>
          <w:rFonts w:ascii="Arial" w:cs="Arial" w:eastAsia="Arial" w:hAnsi="Arial"/>
          <w:sz w:val="18"/>
          <w:szCs w:val="18"/>
          <w:color w:val="auto"/>
        </w:rPr>
        <w:t>.</w:t>
      </w:r>
    </w:p>
    <w:p>
      <w:pPr>
        <w:spacing w:after="0" w:line="9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Subject to compliance with the provisions described in Section 4 above and under Article 11 of the Indenture, the Note Guarantee of a Guaranteeing</w:t>
      </w:r>
    </w:p>
    <w:p>
      <w:pPr>
        <w:spacing w:after="0" w:line="38"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Subsidiary and the security interests granted by that Guaranteeing Subsidiary to secure its Note Guarantee will be released on the terms set forth in the Indenture.</w:t>
      </w:r>
    </w:p>
    <w:p>
      <w:pPr>
        <w:spacing w:after="0" w:line="199" w:lineRule="exact"/>
        <w:rPr>
          <w:sz w:val="20"/>
          <w:szCs w:val="20"/>
          <w:color w:val="auto"/>
        </w:rPr>
      </w:pPr>
    </w:p>
    <w:p>
      <w:pPr>
        <w:ind w:right="40" w:firstLine="464"/>
        <w:spacing w:after="0" w:line="255" w:lineRule="auto"/>
        <w:tabs>
          <w:tab w:leader="none" w:pos="6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4"/>
          <w:szCs w:val="14"/>
          <w:color w:val="auto"/>
        </w:rPr>
        <w:t>O</w:t>
      </w:r>
      <w:r>
        <w:rPr>
          <w:rFonts w:ascii="Arial" w:cs="Arial" w:eastAsia="Arial" w:hAnsi="Arial"/>
          <w:sz w:val="18"/>
          <w:szCs w:val="18"/>
          <w:color w:val="auto"/>
        </w:rPr>
        <w:t xml:space="preserve"> R</w:t>
      </w:r>
      <w:r>
        <w:rPr>
          <w:rFonts w:ascii="Arial" w:cs="Arial" w:eastAsia="Arial" w:hAnsi="Arial"/>
          <w:sz w:val="14"/>
          <w:szCs w:val="14"/>
          <w:color w:val="auto"/>
        </w:rPr>
        <w:t>ECOURSE</w:t>
      </w:r>
      <w:r>
        <w:rPr>
          <w:rFonts w:ascii="Arial" w:cs="Arial" w:eastAsia="Arial" w:hAnsi="Arial"/>
          <w:sz w:val="18"/>
          <w:szCs w:val="18"/>
          <w:color w:val="auto"/>
        </w:rPr>
        <w:t xml:space="preserve"> A</w:t>
      </w:r>
      <w:r>
        <w:rPr>
          <w:rFonts w:ascii="Arial" w:cs="Arial" w:eastAsia="Arial" w:hAnsi="Arial"/>
          <w:sz w:val="14"/>
          <w:szCs w:val="14"/>
          <w:color w:val="auto"/>
        </w:rPr>
        <w:t>GAINST</w:t>
      </w:r>
      <w:r>
        <w:rPr>
          <w:rFonts w:ascii="Arial" w:cs="Arial" w:eastAsia="Arial" w:hAnsi="Arial"/>
          <w:sz w:val="18"/>
          <w:szCs w:val="18"/>
          <w:color w:val="auto"/>
        </w:rPr>
        <w:t xml:space="preserve"> O</w:t>
      </w:r>
      <w:r>
        <w:rPr>
          <w:rFonts w:ascii="Arial" w:cs="Arial" w:eastAsia="Arial" w:hAnsi="Arial"/>
          <w:sz w:val="14"/>
          <w:szCs w:val="14"/>
          <w:color w:val="auto"/>
        </w:rPr>
        <w:t>THERS</w:t>
      </w:r>
      <w:r>
        <w:rPr>
          <w:rFonts w:ascii="Arial" w:cs="Arial" w:eastAsia="Arial" w:hAnsi="Arial"/>
          <w:sz w:val="18"/>
          <w:szCs w:val="18"/>
          <w:color w:val="auto"/>
        </w:rPr>
        <w:t>. No director, officer, employee, incorporator, organizer, equity holder or member of any Guarantor shall have any liability for any obligations of either Issuer, any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2" w:lineRule="exact"/>
        <w:rPr>
          <w:rFonts w:ascii="Arial" w:cs="Arial" w:eastAsia="Arial" w:hAnsi="Arial"/>
          <w:sz w:val="18"/>
          <w:szCs w:val="18"/>
          <w:color w:val="auto"/>
        </w:rPr>
      </w:pPr>
    </w:p>
    <w:p>
      <w:pPr>
        <w:ind w:right="240" w:firstLine="464"/>
        <w:spacing w:after="0" w:line="259" w:lineRule="auto"/>
        <w:tabs>
          <w:tab w:leader="none" w:pos="6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YORK LAW TO GOVERN. THIS SUPPLEMENTAL INDENTURE SHALL BE GOVERNED BY AND CONSTRUED IN ACCORDANCE WITH THE LAWS OF THE STATE OF NEW YORK, INCLUDING, WITHOUT LIMITATION, SECTION 4-1401 OF THE NEW YORK OBLIGATIONS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04" w:name="page105"/>
    <w:bookmarkEnd w:id="104"/>
    <w:p>
      <w:pPr>
        <w:ind w:left="-320" w:firstLine="464"/>
        <w:spacing w:after="0" w:line="268" w:lineRule="auto"/>
        <w:tabs>
          <w:tab w:leader="none" w:pos="312"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w:t>
      </w:r>
      <w:r>
        <w:rPr>
          <w:rFonts w:ascii="Arial" w:cs="Arial" w:eastAsia="Arial" w:hAnsi="Arial"/>
          <w:sz w:val="14"/>
          <w:szCs w:val="14"/>
          <w:color w:val="auto"/>
        </w:rPr>
        <w:t>ONFLICTS WITH</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31" w:lineRule="exact"/>
        <w:rPr>
          <w:rFonts w:ascii="Arial" w:cs="Arial" w:eastAsia="Arial" w:hAnsi="Arial"/>
          <w:sz w:val="18"/>
          <w:szCs w:val="18"/>
          <w:color w:val="auto"/>
        </w:rPr>
      </w:pPr>
    </w:p>
    <w:p>
      <w:pPr>
        <w:ind w:left="-320" w:right="160" w:firstLine="464"/>
        <w:spacing w:after="0" w:line="268" w:lineRule="auto"/>
        <w:tabs>
          <w:tab w:leader="none" w:pos="3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31" w:lineRule="exact"/>
        <w:rPr>
          <w:rFonts w:ascii="Arial" w:cs="Arial" w:eastAsia="Arial" w:hAnsi="Arial"/>
          <w:sz w:val="18"/>
          <w:szCs w:val="18"/>
          <w:color w:val="auto"/>
        </w:rPr>
      </w:pPr>
    </w:p>
    <w:p>
      <w:pPr>
        <w:ind w:left="400" w:hanging="256"/>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FFECT OF</w:t>
      </w:r>
      <w:r>
        <w:rPr>
          <w:rFonts w:ascii="Arial" w:cs="Arial" w:eastAsia="Arial" w:hAnsi="Arial"/>
          <w:sz w:val="18"/>
          <w:szCs w:val="18"/>
          <w:color w:val="auto"/>
        </w:rPr>
        <w:t xml:space="preserve"> H</w:t>
      </w:r>
      <w:r>
        <w:rPr>
          <w:rFonts w:ascii="Arial" w:cs="Arial" w:eastAsia="Arial" w:hAnsi="Arial"/>
          <w:sz w:val="14"/>
          <w:szCs w:val="14"/>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171" w:lineRule="exact"/>
        <w:rPr>
          <w:rFonts w:ascii="Arial" w:cs="Arial" w:eastAsia="Arial" w:hAnsi="Arial"/>
          <w:sz w:val="18"/>
          <w:szCs w:val="18"/>
          <w:color w:val="auto"/>
        </w:rPr>
      </w:pPr>
    </w:p>
    <w:p>
      <w:pPr>
        <w:ind w:left="-320" w:right="160" w:firstLine="464"/>
        <w:spacing w:after="0" w:line="332" w:lineRule="auto"/>
        <w:tabs>
          <w:tab w:leader="none" w:pos="39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w:t>
      </w:r>
      <w:r>
        <w:rPr>
          <w:rFonts w:ascii="Arial" w:cs="Arial" w:eastAsia="Arial" w:hAnsi="Arial"/>
          <w:sz w:val="13"/>
          <w:szCs w:val="13"/>
          <w:color w:val="auto"/>
        </w:rPr>
        <w:t>HE</w:t>
      </w:r>
      <w:r>
        <w:rPr>
          <w:rFonts w:ascii="Arial" w:cs="Arial" w:eastAsia="Arial" w:hAnsi="Arial"/>
          <w:sz w:val="16"/>
          <w:szCs w:val="16"/>
          <w:color w:val="auto"/>
        </w:rPr>
        <w:t xml:space="preserve"> T</w:t>
      </w:r>
      <w:r>
        <w:rPr>
          <w:rFonts w:ascii="Arial" w:cs="Arial" w:eastAsia="Arial" w:hAnsi="Arial"/>
          <w:sz w:val="13"/>
          <w:szCs w:val="13"/>
          <w:color w:val="auto"/>
        </w:rPr>
        <w: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560" w:top="280" w:right="559" w:bottom="1440" w:gutter="0" w:footer="0" w:header="0"/>
        </w:sectPr>
      </w:pPr>
    </w:p>
    <w:bookmarkStart w:id="105" w:name="page106"/>
    <w:bookmarkEnd w:id="10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July 29, 2005</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4"/>
          <w:szCs w:val="14"/>
          <w:b w:val="1"/>
          <w:bCs w:val="1"/>
          <w:color w:val="auto"/>
        </w:rPr>
        <w:t>EVYN</w:t>
      </w:r>
      <w:r>
        <w:rPr>
          <w:rFonts w:ascii="Arial" w:cs="Arial" w:eastAsia="Arial" w:hAnsi="Arial"/>
          <w:sz w:val="18"/>
          <w:szCs w:val="18"/>
          <w:b w:val="1"/>
          <w:bCs w:val="1"/>
          <w:color w:val="auto"/>
        </w:rPr>
        <w:t>,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Las Vegas,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By: Wynn Resorts, Limited, a</w:t>
      </w:r>
    </w:p>
    <w:p>
      <w:pPr>
        <w:spacing w:after="0" w:line="15"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Nevada corporation, its sole member</w:t>
      </w:r>
    </w:p>
    <w:p>
      <w:pPr>
        <w:spacing w:after="0" w:line="24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10795</wp:posOffset>
            </wp:positionV>
            <wp:extent cx="218694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Name: Marc D. Schorr</w:t>
      </w:r>
    </w:p>
    <w:p>
      <w:pPr>
        <w:spacing w:after="0" w:line="15"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Title: Chief Operating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SSUERS</w:t>
      </w:r>
      <w:r>
        <w:rPr>
          <w:rFonts w:ascii="Arial" w:cs="Arial" w:eastAsia="Arial" w:hAnsi="Arial"/>
          <w:sz w:val="18"/>
          <w:szCs w:val="18"/>
          <w:b w:val="1"/>
          <w:bCs w:val="1"/>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r>
        <w:rPr>
          <w:rFonts w:ascii="Arial" w:cs="Arial" w:eastAsia="Arial" w:hAnsi="Arial"/>
          <w:sz w:val="18"/>
          <w:szCs w:val="18"/>
          <w:color w:val="auto"/>
        </w:rPr>
        <w: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Wynn Resorts, Limited, a Nevada</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corporation, its sole member</w:t>
      </w:r>
    </w:p>
    <w:p>
      <w:pPr>
        <w:spacing w:after="0" w:line="23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Name: Marc D. Schorr</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Title: Chief Operating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CAPITAL CORP.</w:t>
      </w:r>
      <w:r>
        <w:rPr>
          <w:rFonts w:ascii="Arial" w:cs="Arial" w:eastAsia="Arial" w:hAnsi="Arial"/>
          <w:sz w:val="18"/>
          <w:szCs w:val="18"/>
          <w:color w:val="auto"/>
        </w:rPr>
        <w: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Marc D. Schorr</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ectPr>
          <w:pgSz w:w="11900" w:h="16838" w:orient="portrait"/>
          <w:cols w:equalWidth="0" w:num="1">
            <w:col w:w="10880"/>
          </w:cols>
          <w:pgMar w:left="240" w:top="280" w:right="779" w:bottom="1440" w:gutter="0" w:footer="0" w:header="0"/>
        </w:sectPr>
      </w:pPr>
    </w:p>
    <w:bookmarkStart w:id="106" w:name="page107"/>
    <w:bookmarkEnd w:id="10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LAS VEGAS JET,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Nevada limited liability company, its sole member</w:t>
      </w:r>
    </w:p>
    <w:p>
      <w:pPr>
        <w:spacing w:after="0" w:line="2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Wynn Resorts, Limited, a</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Nevada corporation, its sole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member</w:t>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10795</wp:posOffset>
            </wp:positionV>
            <wp:extent cx="228981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 D. Schorr</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Operating Officer</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WORLD TRAVEL,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Wynn Resorts, Limited, a</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Nevada corporation, its sole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member</w:t>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10795</wp:posOffset>
            </wp:positionV>
            <wp:extent cx="228981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 D. Schorr</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Operating Officer</w:t>
      </w:r>
    </w:p>
    <w:p>
      <w:pPr>
        <w:sectPr>
          <w:pgSz w:w="11900" w:h="16838" w:orient="portrait"/>
          <w:cols w:equalWidth="0" w:num="1">
            <w:col w:w="9960"/>
          </w:cols>
          <w:pgMar w:left="1440" w:top="274" w:right="499" w:bottom="1440" w:gutter="0" w:footer="0" w:header="0"/>
        </w:sectPr>
      </w:pPr>
    </w:p>
    <w:bookmarkStart w:id="107" w:name="page108"/>
    <w:bookmarkEnd w:id="10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GOLF,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Wynn Resorts, Limited, a</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Nevada corporation, its sole</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member</w:t>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10795</wp:posOffset>
            </wp:positionV>
            <wp:extent cx="228981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 D. Schorr</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Title: Chief Operating Officer</w:t>
      </w:r>
    </w:p>
    <w:p>
      <w:pPr>
        <w:spacing w:after="0" w:line="23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SHOW PERFORMERS,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Wynn Resorts, Limited, a</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Nevada corporation, its sole</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member</w:t>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10795</wp:posOffset>
            </wp:positionV>
            <wp:extent cx="228981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 D. Schorr</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Title: Chief Operating Officer</w:t>
      </w:r>
    </w:p>
    <w:p>
      <w:pPr>
        <w:sectPr>
          <w:pgSz w:w="11900" w:h="16838" w:orient="portrait"/>
          <w:cols w:equalWidth="0" w:num="1">
            <w:col w:w="9019"/>
          </w:cols>
          <w:pgMar w:left="1440" w:top="274" w:right="1440" w:bottom="1440" w:gutter="0" w:footer="0" w:header="0"/>
        </w:sectPr>
      </w:pPr>
    </w:p>
    <w:bookmarkStart w:id="108" w:name="page109"/>
    <w:bookmarkEnd w:id="10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SUNRISE,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 Wynn Resorts, Limited, a</w:t>
      </w:r>
    </w:p>
    <w:p>
      <w:pPr>
        <w:spacing w:after="0" w:line="1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Nevada corporation, its sole</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member</w:t>
      </w:r>
    </w:p>
    <w:p>
      <w:pPr>
        <w:spacing w:after="0" w:line="23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10795</wp:posOffset>
            </wp:positionV>
            <wp:extent cx="22555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Marc D. Schorr</w:t>
      </w:r>
    </w:p>
    <w:p>
      <w:pPr>
        <w:spacing w:after="0" w:line="1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Chief Operating Officer</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U.S. BANK NATIONAL ASSOCIATION</w:t>
      </w:r>
      <w:r>
        <w:rPr>
          <w:rFonts w:ascii="Arial" w:cs="Arial" w:eastAsia="Arial" w:hAnsi="Arial"/>
          <w:sz w:val="16"/>
          <w:szCs w:val="16"/>
          <w:color w:val="auto"/>
        </w:rPr>
        <w:t>, as Trustee</w:t>
      </w:r>
    </w:p>
    <w:p>
      <w:pPr>
        <w:spacing w:after="0" w:line="254" w:lineRule="exact"/>
        <w:rPr>
          <w:sz w:val="20"/>
          <w:szCs w:val="20"/>
          <w:color w:val="auto"/>
        </w:rPr>
      </w:pPr>
    </w:p>
    <w:p>
      <w:pPr>
        <w:jc w:val="right"/>
        <w:ind w:right="2060"/>
        <w:spacing w:after="0"/>
        <w:rPr>
          <w:sz w:val="20"/>
          <w:szCs w:val="20"/>
          <w:color w:val="auto"/>
        </w:rPr>
      </w:pPr>
      <w:r>
        <w:rPr>
          <w:rFonts w:ascii="Arial" w:cs="Arial" w:eastAsia="Arial" w:hAnsi="Arial"/>
          <w:sz w:val="16"/>
          <w:szCs w:val="16"/>
          <w:color w:val="auto"/>
        </w:rPr>
        <w:t>By:  /s/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25400</wp:posOffset>
            </wp:positionV>
            <wp:extent cx="265874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9" w:lineRule="exact"/>
        <w:rPr>
          <w:sz w:val="20"/>
          <w:szCs w:val="20"/>
          <w:color w:val="auto"/>
        </w:rPr>
      </w:pPr>
    </w:p>
    <w:p>
      <w:pPr>
        <w:jc w:val="right"/>
        <w:ind w:right="202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9560"/>
          </w:cols>
          <w:pgMar w:left="1440" w:top="274" w:right="8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Pascal, certify that:</w:t>
      </w:r>
    </w:p>
    <w:p>
      <w:pPr>
        <w:spacing w:after="0" w:line="77"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22, 2008</w:t>
      </w:r>
    </w:p>
    <w:p>
      <w:pPr>
        <w:spacing w:after="0" w:line="293"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and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Sisk, certify that:</w:t>
      </w:r>
    </w:p>
    <w:p>
      <w:pPr>
        <w:spacing w:after="0" w:line="7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22, 2008</w:t>
      </w:r>
    </w:p>
    <w:p>
      <w:pPr>
        <w:spacing w:after="0" w:line="293" w:lineRule="exact"/>
        <w:rPr>
          <w:sz w:val="20"/>
          <w:szCs w:val="20"/>
          <w:color w:val="auto"/>
        </w:rPr>
      </w:pPr>
    </w:p>
    <w:p>
      <w:pPr>
        <w:ind w:left="8580"/>
        <w:spacing w:after="0"/>
        <w:tabs>
          <w:tab w:leader="none" w:pos="89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S</w:t>
      </w:r>
      <w:r>
        <w:rPr>
          <w:rFonts w:ascii="Arial" w:cs="Arial" w:eastAsia="Arial" w:hAnsi="Arial"/>
          <w:sz w:val="13"/>
          <w:szCs w:val="13"/>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Sisk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In connection with the Annual Report on Form 10-K of Wynn Las Vegas, LLC (the “Company”) for the year ended December 31, 2007 as filed with the Securities and Exchange Commission on the date hereof (the “Report”), Andrew Pascal, as Chief Operating Officer of the Company, and David Sisk,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ind w:left="200"/>
              <w:spacing w:after="0"/>
              <w:rPr>
                <w:sz w:val="20"/>
                <w:szCs w:val="20"/>
                <w:color w:val="auto"/>
              </w:rPr>
            </w:pPr>
            <w:r>
              <w:rPr>
                <w:rFonts w:ascii="Arial" w:cs="Arial" w:eastAsia="Arial" w:hAnsi="Arial"/>
                <w:sz w:val="18"/>
                <w:szCs w:val="18"/>
                <w:color w:val="auto"/>
              </w:rPr>
              <w:t>Andrew Pascal</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0"/>
              <w:spacing w:after="0"/>
              <w:rPr>
                <w:sz w:val="20"/>
                <w:szCs w:val="20"/>
                <w:color w:val="auto"/>
              </w:rPr>
            </w:pPr>
            <w:r>
              <w:rPr>
                <w:rFonts w:ascii="Arial" w:cs="Arial" w:eastAsia="Arial" w:hAnsi="Arial"/>
                <w:sz w:val="18"/>
                <w:szCs w:val="18"/>
                <w:color w:val="auto"/>
              </w:rPr>
              <w:t>Chief Operating Officer and President</w:t>
            </w:r>
          </w:p>
        </w:tc>
      </w:tr>
      <w:tr>
        <w:trPr>
          <w:trHeight w:val="216"/>
        </w:trPr>
        <w:tc>
          <w:tcPr>
            <w:tcW w:w="68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3900" w:type="dxa"/>
            <w:vAlign w:val="bottom"/>
          </w:tcPr>
          <w:p>
            <w:pPr>
              <w:ind w:left="200"/>
              <w:spacing w:after="0"/>
              <w:rPr>
                <w:sz w:val="20"/>
                <w:szCs w:val="20"/>
                <w:color w:val="auto"/>
              </w:rPr>
            </w:pPr>
            <w:r>
              <w:rPr>
                <w:rFonts w:ascii="Arial" w:cs="Arial" w:eastAsia="Arial" w:hAnsi="Arial"/>
                <w:sz w:val="18"/>
                <w:szCs w:val="18"/>
                <w:color w:val="auto"/>
              </w:rPr>
              <w:t>February 22, 2008</w:t>
            </w:r>
          </w:p>
        </w:tc>
      </w:tr>
      <w:tr>
        <w:trPr>
          <w:trHeight w:val="365"/>
        </w:trPr>
        <w:tc>
          <w:tcPr>
            <w:tcW w:w="680" w:type="dxa"/>
            <w:vAlign w:val="bottom"/>
          </w:tcPr>
          <w:p>
            <w:pPr>
              <w:spacing w:after="0"/>
              <w:rPr>
                <w:sz w:val="24"/>
                <w:szCs w:val="24"/>
                <w:color w:val="auto"/>
              </w:rPr>
            </w:pPr>
          </w:p>
        </w:tc>
        <w:tc>
          <w:tcPr>
            <w:tcW w:w="3900" w:type="dxa"/>
            <w:vAlign w:val="bottom"/>
          </w:tcPr>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S</w:t>
            </w:r>
            <w:r>
              <w:rPr>
                <w:rFonts w:ascii="Arial" w:cs="Arial" w:eastAsia="Arial" w:hAnsi="Arial"/>
                <w:sz w:val="14"/>
                <w:szCs w:val="14"/>
                <w:color w:val="auto"/>
              </w:rPr>
              <w:t>ISK</w:t>
            </w:r>
          </w:p>
        </w:tc>
      </w:tr>
      <w:tr>
        <w:trPr>
          <w:trHeight w:val="110"/>
        </w:trPr>
        <w:tc>
          <w:tcPr>
            <w:tcW w:w="68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3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ind w:left="200"/>
              <w:spacing w:after="0"/>
              <w:rPr>
                <w:sz w:val="20"/>
                <w:szCs w:val="20"/>
                <w:color w:val="auto"/>
              </w:rPr>
            </w:pPr>
            <w:r>
              <w:rPr>
                <w:rFonts w:ascii="Arial" w:cs="Arial" w:eastAsia="Arial" w:hAnsi="Arial"/>
                <w:sz w:val="18"/>
                <w:szCs w:val="18"/>
                <w:color w:val="auto"/>
              </w:rPr>
              <w:t>David Sisk</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0"/>
              <w:spacing w:after="0"/>
              <w:rPr>
                <w:sz w:val="20"/>
                <w:szCs w:val="20"/>
                <w:color w:val="auto"/>
              </w:rPr>
            </w:pPr>
            <w:r>
              <w:rPr>
                <w:rFonts w:ascii="Arial" w:cs="Arial" w:eastAsia="Arial" w:hAnsi="Arial"/>
                <w:sz w:val="18"/>
                <w:szCs w:val="18"/>
                <w:color w:val="auto"/>
                <w:w w:val="94"/>
              </w:rPr>
              <w:t>Chief Financial Officer and Senior Vice President</w:t>
            </w:r>
          </w:p>
        </w:tc>
      </w:tr>
      <w:tr>
        <w:trPr>
          <w:trHeight w:val="216"/>
        </w:trPr>
        <w:tc>
          <w:tcPr>
            <w:tcW w:w="68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3900" w:type="dxa"/>
            <w:vAlign w:val="bottom"/>
          </w:tcPr>
          <w:p>
            <w:pPr>
              <w:ind w:left="200"/>
              <w:spacing w:after="0"/>
              <w:rPr>
                <w:sz w:val="20"/>
                <w:szCs w:val="20"/>
                <w:color w:val="auto"/>
              </w:rPr>
            </w:pPr>
            <w:r>
              <w:rPr>
                <w:rFonts w:ascii="Arial" w:cs="Arial" w:eastAsia="Arial" w:hAnsi="Arial"/>
                <w:sz w:val="18"/>
                <w:szCs w:val="18"/>
                <w:color w:val="auto"/>
              </w:rPr>
              <w:t>February 22, 2008</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lvl w:ilvl="1">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lowerRoman"/>
      <w:start w:val="2"/>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2"/>
    </w:lvl>
  </w:abstractNum>
  <w:abstractNum w:abstractNumId="28">
    <w:nsid w:val="580BD78F"/>
    <w:multiLevelType w:val="hybridMultilevel"/>
    <w:lvl w:ilvl="0">
      <w:lvlJc w:val="left"/>
      <w:lvlText w:val="(%1)"/>
      <w:numFmt w:val="decimal"/>
      <w:start w:val="3"/>
    </w:lvl>
  </w:abstractNum>
  <w:abstractNum w:abstractNumId="29">
    <w:nsid w:val="153EA438"/>
    <w:multiLevelType w:val="hybridMultilevel"/>
    <w:lvl w:ilvl="0">
      <w:lvlJc w:val="left"/>
      <w:lvlText w:val="%1."/>
      <w:numFmt w:val="decimal"/>
      <w:start w:val="11"/>
    </w:lvl>
  </w:abstractNum>
  <w:abstractNum w:abstractNumId="30">
    <w:nsid w:val="3855585C"/>
    <w:multiLevelType w:val="hybridMultilevel"/>
    <w:lvl w:ilvl="0">
      <w:lvlJc w:val="left"/>
      <w:lvlText w:val="%1."/>
      <w:numFmt w:val="decimal"/>
      <w:start w:val="12"/>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3"/>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lvl w:ilvl="1">
      <w:lvlJc w:val="left"/>
      <w:lvlText w:val="%2"/>
      <w:numFmt w:val="decimal"/>
      <w:start w:val="32"/>
    </w:lvl>
  </w:abstractNum>
  <w:abstractNum w:abstractNumId="36">
    <w:nsid w:val="2CD89A32"/>
    <w:multiLevelType w:val="hybridMultilevel"/>
    <w:lvl w:ilvl="0">
      <w:lvlJc w:val="left"/>
      <w:lvlText w:val="(%1)"/>
      <w:numFmt w:val="decimal"/>
      <w:start w:val="1"/>
    </w:lvl>
    <w:lvl w:ilvl="1">
      <w:lvlJc w:val="left"/>
      <w:lvlText w:val="%2"/>
      <w:numFmt w:val="decimal"/>
      <w:start w:val="1"/>
    </w:lvl>
  </w:abstractNum>
  <w:abstractNum w:abstractNumId="37">
    <w:nsid w:val="57E4CCAF"/>
    <w:multiLevelType w:val="hybridMultilevel"/>
    <w:lvl w:ilvl="0">
      <w:lvlJc w:val="left"/>
      <w:lvlText w:val="(%1)"/>
      <w:numFmt w:val="decimal"/>
      <w:start w:val="2"/>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lowerLetter"/>
      <w:start w:val="2"/>
    </w:lvl>
  </w:abstractNum>
  <w:abstractNum w:abstractNumId="40">
    <w:nsid w:val="542289E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41">
    <w:nsid w:val="6DE91B1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
    <w:nsid w:val="32FFF902"/>
    <w:multiLevelType w:val="hybridMultilevel"/>
    <w:lvl w:ilvl="0">
      <w:lvlJc w:val="left"/>
      <w:lvlText w:val="(%1)"/>
      <w:numFmt w:val="lowerLetter"/>
      <w:start w:val="2"/>
    </w:lvl>
  </w:abstractNum>
  <w:abstractNum w:abstractNumId="45">
    <w:nsid w:val="684A481A"/>
    <w:multiLevelType w:val="hybridMultilevel"/>
    <w:lvl w:ilvl="0">
      <w:lvlJc w:val="left"/>
      <w:lvlText w:val="%1"/>
      <w:numFmt w:val="decimal"/>
      <w:start w:val="1"/>
    </w:lvl>
    <w:lvl w:ilvl="1">
      <w:lvlJc w:val="left"/>
      <w:lvlText w:val="(%2)"/>
      <w:numFmt w:val="lowerLetter"/>
      <w:start w:val="8"/>
    </w:lvl>
  </w:abstractNum>
  <w:abstractNum w:abstractNumId="46">
    <w:nsid w:val="579478FE"/>
    <w:multiLevelType w:val="hybridMultilevel"/>
    <w:lvl w:ilvl="0">
      <w:lvlJc w:val="left"/>
      <w:lvlText w:val="%1."/>
      <w:numFmt w:val="decimal"/>
      <w:start w:val="3"/>
    </w:lvl>
    <w:lvl w:ilvl="1">
      <w:lvlJc w:val="left"/>
      <w:lvlText w:val="(%2)"/>
      <w:numFmt w:val="lowerLetter"/>
      <w:start w:val="1"/>
    </w:lvl>
  </w:abstractNum>
  <w:abstractNum w:abstractNumId="47">
    <w:nsid w:val="749ABB43"/>
    <w:multiLevelType w:val="hybridMultilevel"/>
    <w:lvl w:ilvl="0">
      <w:lvlJc w:val="left"/>
      <w:lvlText w:val="%1."/>
      <w:numFmt w:val="decimal"/>
      <w:start w:val="6"/>
    </w:lvl>
  </w:abstractNum>
  <w:abstractNum w:abstractNumId="48">
    <w:nsid w:val="3DC240FB"/>
    <w:multiLevelType w:val="hybridMultilevel"/>
    <w:lvl w:ilvl="0">
      <w:lvlJc w:val="left"/>
      <w:lvlText w:val="%1."/>
      <w:numFmt w:val="decimal"/>
      <w:start w:val="8"/>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2019-12-15T08:08:02Z</dcterms:created>
  <dcterms:modified xsi:type="dcterms:W3CDTF">2019-12-15T08:08:02Z</dcterms:modified>
</cp:coreProperties>
</file>