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1"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7"/>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66"/>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71"/>
        </w:trPr>
        <w:tc>
          <w:tcPr>
            <w:tcW w:w="260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40" w:val="left"/>
          <w:tab w:leader="none" w:pos="4040" w:val="left"/>
          <w:tab w:leader="none" w:pos="59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3720" w:type="dxa"/>
            <w:vAlign w:val="bottom"/>
          </w:tcPr>
          <w:p>
            <w:pPr>
              <w:spacing w:after="0"/>
              <w:rPr>
                <w:sz w:val="15"/>
                <w:szCs w:val="15"/>
                <w:color w:val="auto"/>
              </w:rPr>
            </w:pPr>
          </w:p>
        </w:tc>
        <w:tc>
          <w:tcPr>
            <w:tcW w:w="4680" w:type="dxa"/>
            <w:vAlign w:val="bottom"/>
            <w:gridSpan w:val="2"/>
          </w:tcPr>
          <w:p>
            <w:pPr>
              <w:jc w:val="center"/>
              <w:ind w:left="2692"/>
              <w:spacing w:after="0"/>
              <w:rPr>
                <w:sz w:val="20"/>
                <w:szCs w:val="20"/>
                <w:color w:val="auto"/>
              </w:rPr>
            </w:pPr>
            <w:r>
              <w:rPr>
                <w:rFonts w:ascii="Arial" w:cs="Arial" w:eastAsia="Arial" w:hAnsi="Arial"/>
                <w:sz w:val="14"/>
                <w:szCs w:val="14"/>
                <w:b w:val="1"/>
                <w:bCs w:val="1"/>
                <w:color w:val="auto"/>
                <w:w w:val="86"/>
              </w:rPr>
              <w:t>Outstanding at November 1, 2011</w:t>
            </w:r>
          </w:p>
        </w:tc>
        <w:tc>
          <w:tcPr>
            <w:tcW w:w="860" w:type="dxa"/>
            <w:vAlign w:val="bottom"/>
          </w:tcPr>
          <w:p>
            <w:pPr>
              <w:spacing w:after="0"/>
              <w:rPr>
                <w:sz w:val="15"/>
                <w:szCs w:val="15"/>
                <w:color w:val="auto"/>
              </w:rPr>
            </w:pPr>
          </w:p>
        </w:tc>
      </w:tr>
      <w:tr>
        <w:trPr>
          <w:trHeight w:val="209"/>
        </w:trPr>
        <w:tc>
          <w:tcPr>
            <w:tcW w:w="2160" w:type="dxa"/>
            <w:vAlign w:val="bottom"/>
            <w:gridSpan w:val="2"/>
          </w:tcPr>
          <w:p>
            <w:pPr>
              <w:ind w:left="880"/>
              <w:spacing w:after="0" w:line="202" w:lineRule="exact"/>
              <w:rPr>
                <w:sz w:val="20"/>
                <w:szCs w:val="20"/>
                <w:color w:val="auto"/>
              </w:rPr>
            </w:pPr>
            <w:r>
              <w:rPr>
                <w:rFonts w:ascii="Arial" w:cs="Arial" w:eastAsia="Arial" w:hAnsi="Arial"/>
                <w:sz w:val="18"/>
                <w:szCs w:val="18"/>
                <w:color w:val="auto"/>
                <w:w w:val="89"/>
              </w:rPr>
              <w:t>Common stock, $</w:t>
            </w:r>
          </w:p>
        </w:tc>
        <w:tc>
          <w:tcPr>
            <w:tcW w:w="3720" w:type="dxa"/>
            <w:vAlign w:val="bottom"/>
          </w:tcPr>
          <w:p>
            <w:pPr>
              <w:spacing w:after="0" w:line="202" w:lineRule="exact"/>
              <w:rPr>
                <w:sz w:val="20"/>
                <w:szCs w:val="20"/>
                <w:color w:val="auto"/>
              </w:rPr>
            </w:pPr>
            <w:r>
              <w:rPr>
                <w:rFonts w:ascii="Arial" w:cs="Arial" w:eastAsia="Arial" w:hAnsi="Arial"/>
                <w:sz w:val="18"/>
                <w:szCs w:val="18"/>
                <w:color w:val="auto"/>
              </w:rPr>
              <w:t>0.01 par value</w:t>
            </w:r>
          </w:p>
        </w:tc>
        <w:tc>
          <w:tcPr>
            <w:tcW w:w="2760" w:type="dxa"/>
            <w:vAlign w:val="bottom"/>
          </w:tcPr>
          <w:p>
            <w:pPr>
              <w:spacing w:after="0"/>
              <w:rPr>
                <w:sz w:val="18"/>
                <w:szCs w:val="18"/>
                <w:color w:val="auto"/>
              </w:rPr>
            </w:pPr>
          </w:p>
        </w:tc>
        <w:tc>
          <w:tcPr>
            <w:tcW w:w="192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color w:val="auto"/>
              </w:rPr>
              <w:t>124,957,158</w:t>
            </w:r>
          </w:p>
        </w:tc>
        <w:tc>
          <w:tcPr>
            <w:tcW w:w="860" w:type="dxa"/>
            <w:vAlign w:val="bottom"/>
          </w:tcPr>
          <w:p>
            <w:pPr>
              <w:spacing w:after="0"/>
              <w:rPr>
                <w:sz w:val="18"/>
                <w:szCs w:val="18"/>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440" w:type="dxa"/>
            <w:vAlign w:val="bottom"/>
            <w:gridSpan w:val="13"/>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1180" w:type="dxa"/>
            <w:vAlign w:val="bottom"/>
          </w:tcPr>
          <w:p>
            <w:pPr>
              <w:spacing w:after="0"/>
              <w:rPr>
                <w:sz w:val="19"/>
                <w:szCs w:val="19"/>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8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September 30, 2011 and December 31, 2010</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(unaudited) – Three and nine months ended September 30, 2011 and 2010</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0" w:type="dxa"/>
            <w:vAlign w:val="bottom"/>
            <w:gridSpan w:val="11"/>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(unaudited) – Nine months ended September 30, 2011 and 2010</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140" w:type="dxa"/>
            <w:vAlign w:val="bottom"/>
            <w:tcBorders>
              <w:top w:val="single" w:sz="8" w:color="0000EE"/>
            </w:tcBorders>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4"/>
                <w:szCs w:val="24"/>
                <w:color w:val="auto"/>
              </w:rPr>
            </w:pP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2940" w:type="dxa"/>
            <w:vAlign w:val="bottom"/>
            <w:gridSpan w:val="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24"/>
                <w:szCs w:val="24"/>
                <w:color w:val="auto"/>
              </w:rPr>
            </w:pPr>
          </w:p>
        </w:tc>
        <w:tc>
          <w:tcPr>
            <w:tcW w:w="4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498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24"/>
                <w:szCs w:val="24"/>
                <w:color w:val="auto"/>
              </w:rPr>
            </w:pPr>
          </w:p>
        </w:tc>
        <w:tc>
          <w:tcPr>
            <w:tcW w:w="924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43"/>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40" w:type="dxa"/>
            <w:vAlign w:val="bottom"/>
            <w:gridSpan w:val="13"/>
          </w:tcPr>
          <w:p>
            <w:pPr>
              <w:ind w:left="80"/>
              <w:spacing w:after="0"/>
              <w:rPr>
                <w:sz w:val="20"/>
                <w:szCs w:val="20"/>
                <w:color w:val="auto"/>
              </w:rPr>
            </w:pPr>
            <w:r>
              <w:rPr>
                <w:rFonts w:ascii="Arial" w:cs="Arial" w:eastAsia="Arial" w:hAnsi="Arial"/>
                <w:sz w:val="18"/>
                <w:szCs w:val="18"/>
                <w:b w:val="1"/>
                <w:bCs w:val="1"/>
                <w:color w:val="auto"/>
              </w:rPr>
              <w:t>Other Information</w:t>
            </w:r>
          </w:p>
        </w:tc>
        <w:tc>
          <w:tcPr>
            <w:tcW w:w="1180" w:type="dxa"/>
            <w:vAlign w:val="bottom"/>
          </w:tcPr>
          <w:p>
            <w:pPr>
              <w:spacing w:after="0"/>
              <w:rPr>
                <w:sz w:val="24"/>
                <w:szCs w:val="24"/>
                <w:color w:val="auto"/>
              </w:rPr>
            </w:pPr>
          </w:p>
        </w:tc>
      </w:tr>
      <w:tr>
        <w:trPr>
          <w:trHeight w:val="286"/>
        </w:trPr>
        <w:tc>
          <w:tcPr>
            <w:tcW w:w="7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924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7940" w:type="dxa"/>
            <w:vAlign w:val="bottom"/>
            <w:gridSpan w:val="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4"/>
                <w:szCs w:val="24"/>
                <w:color w:val="auto"/>
              </w:rPr>
            </w:pPr>
          </w:p>
        </w:tc>
        <w:tc>
          <w:tcPr>
            <w:tcW w:w="924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24"/>
                <w:szCs w:val="24"/>
                <w:color w:val="auto"/>
              </w:rPr>
            </w:pPr>
          </w:p>
        </w:tc>
        <w:tc>
          <w:tcPr>
            <w:tcW w:w="4240" w:type="dxa"/>
            <w:vAlign w:val="bottom"/>
            <w:tcBorders>
              <w:top w:val="single" w:sz="8" w:color="0000EE"/>
            </w:tcBorders>
            <w:gridSpan w:val="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000" w:type="dxa"/>
            <w:vAlign w:val="bottom"/>
            <w:gridSpan w:val="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700" w:type="dxa"/>
            <w:vAlign w:val="bottom"/>
            <w:gridSpan w:val="2"/>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Signature</w:t>
              </w:r>
            </w:hyperlink>
          </w:p>
        </w:tc>
        <w:tc>
          <w:tcPr>
            <w:tcW w:w="2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3"/>
        </w:trPr>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9"/>
          </w:tcPr>
          <w:p>
            <w:pPr>
              <w:jc w:val="right"/>
              <w:ind w:right="320"/>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60" w:type="dxa"/>
            <w:vAlign w:val="bottom"/>
            <w:shd w:val="clear" w:color="auto" w:fill="CCEEFF"/>
          </w:tcPr>
          <w:p>
            <w:pPr>
              <w:ind w:left="3980"/>
              <w:spacing w:after="0" w:line="12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1,776,024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1,258,499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134,419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190,346</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14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77,411</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26,930</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2,205,130</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1,561,136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4,687,027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4,921,259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106,081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Intangibles, net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36,864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53,253</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assets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336,472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85,802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Investment in unconsolidated affiliates</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4,147</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7,428,974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6,674,497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276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Accounts and construction payable</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140,254</w:t>
            </w:r>
          </w:p>
        </w:tc>
        <w:tc>
          <w:tcPr>
            <w:tcW w:w="6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170,565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land concession obligation</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75,668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Customer deposits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546,324</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368,621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Gaming taxes payable</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139,438</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96,869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41,197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Other accrued liabilities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106,506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Construction retention</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2,971</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1,325,757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887,929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2,933,366</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3,264,854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 concession obligation</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103,552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128,471</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76,510</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76,881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906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4,567,656</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4,293,912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16)</w:t>
            </w: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908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par value $0.01; 40,000,000 shares authorized; zero shares issued and outstanding</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60" w:type="dxa"/>
            <w:vAlign w:val="bottom"/>
          </w:tcPr>
          <w:p>
            <w:pPr>
              <w:ind w:left="420"/>
              <w:spacing w:after="0" w:line="138" w:lineRule="exact"/>
              <w:rPr>
                <w:sz w:val="20"/>
                <w:szCs w:val="20"/>
                <w:color w:val="auto"/>
              </w:rPr>
            </w:pPr>
            <w:r>
              <w:rPr>
                <w:rFonts w:ascii="Arial" w:cs="Arial" w:eastAsia="Arial" w:hAnsi="Arial"/>
                <w:sz w:val="14"/>
                <w:szCs w:val="14"/>
                <w:color w:val="auto"/>
                <w:w w:val="93"/>
              </w:rPr>
              <w:t>Common stock, par value $0.01; 400,000,000 shares authorized; 137,807,088 and 137,404,462 shares issued; 124,957,158 and 124,599,508 shares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60" w:type="dxa"/>
            <w:vAlign w:val="bottom"/>
          </w:tcPr>
          <w:p>
            <w:pPr>
              <w:ind w:left="640"/>
              <w:spacing w:after="0" w:line="159" w:lineRule="exact"/>
              <w:rPr>
                <w:sz w:val="20"/>
                <w:szCs w:val="20"/>
                <w:color w:val="auto"/>
              </w:rPr>
            </w:pPr>
            <w:r>
              <w:rPr>
                <w:rFonts w:ascii="Arial" w:cs="Arial" w:eastAsia="Arial" w:hAnsi="Arial"/>
                <w:sz w:val="14"/>
                <w:szCs w:val="14"/>
                <w:color w:val="auto"/>
              </w:rPr>
              <w:t>outstanding</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1,378</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Treasury stock, at cost; 12,849,930 and 12,804,954 shares</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7"/>
              </w:rPr>
              <w:t>(1,126,266)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(1,119,407)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 in capital</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3,395,472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3,346,050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(2,867)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307,061</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Wynn Resorts, Limited stockholders’ equity</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2,574,778</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2,237,948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286,540</w:t>
            </w:r>
          </w:p>
        </w:tc>
        <w:tc>
          <w:tcPr>
            <w:tcW w:w="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142,637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equity</w:t>
            </w: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2,861,318</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2,380,585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6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7,428,974</w:t>
            </w:r>
          </w:p>
        </w:tc>
        <w:tc>
          <w:tcPr>
            <w:tcW w:w="6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6,674,497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1,020,205</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765,391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3,108,553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2,246,184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120,113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101,550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355,492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142,891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129,432</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419,542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306,900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1,388,739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1,082,318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4,190,487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3,165,573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(90,435)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(76,369)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(264,558)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(218,063)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1,298,304</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1,005,949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3,925,929</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2,947,510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679,479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500,303</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1,988,339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1,467,499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30,572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93,594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72,221</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214,203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162,591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107,935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103,030</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287,508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99,341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303,921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9,662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124,070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1,058,459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3,192,495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2,552,567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gridSpan w:val="2"/>
            <w:vMerge w:val="continue"/>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239,845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131,949</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733,434</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4,639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(57,462)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(60,341)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(173,956)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11,483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(64,215)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1,242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(50,390)</w:t>
            </w:r>
          </w:p>
        </w:tc>
        <w:tc>
          <w:tcPr>
            <w:tcW w:w="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(124,984)</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(154,976)</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(234,212)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578,458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80"/>
              <w:spacing w:after="0"/>
              <w:rPr>
                <w:sz w:val="20"/>
                <w:szCs w:val="20"/>
                <w:color w:val="auto"/>
              </w:rPr>
            </w:pPr>
            <w:r>
              <w:rPr>
                <w:rFonts w:ascii="Arial" w:cs="Arial" w:eastAsia="Arial" w:hAnsi="Arial"/>
                <w:sz w:val="18"/>
                <w:szCs w:val="18"/>
                <w:color w:val="auto"/>
              </w:rPr>
              <w:t>Provision for income taxes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(4,270)</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(11,607)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566,851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(58,122)</w:t>
            </w: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(31,454)</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(143,953)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Wynn Resorts, Limited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422,898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45,885</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6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 attributable to Wynn Resorts, Limited: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8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122,771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123,969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280"/>
              <w:spacing w:after="0"/>
              <w:rPr>
                <w:sz w:val="20"/>
                <w:szCs w:val="20"/>
                <w:color w:val="auto"/>
              </w:rPr>
            </w:pPr>
            <w:r>
              <w:rPr>
                <w:rFonts w:ascii="Arial" w:cs="Arial" w:eastAsia="Arial" w:hAnsi="Arial"/>
                <w:sz w:val="18"/>
                <w:szCs w:val="18"/>
                <w:color w:val="auto"/>
              </w:rPr>
              <w:t>Diluted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125,860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122,771</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125,675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566,851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303,921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18,318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15,016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97,150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10,298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152,125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1,149,052</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(85,804)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corporate debt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(281,628)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sales or maturities of corporate debt securities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37,712</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(364,258)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(240,362)</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10,331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(127,668)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1,676,528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(163,910)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(2,070,931)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(267,135)</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(489,842)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517,525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1,258,499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1,991,830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1,776,024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1,922,338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its common stock.</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(together, “Wynn Las Vegas” or the “Las Vegas Operations”). In Macau, the Company owns Wynn Macau, which opened on September 6, 2006 and was expanded with the opening of Encore at Wynn Macau on April 21, 2010 (together, “Wynn Macau” or the “Macau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and nine months ended September 30, 2011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2010.</w:t>
      </w:r>
    </w:p>
    <w:p>
      <w:pPr>
        <w:spacing w:after="0" w:line="193" w:lineRule="exact"/>
        <w:rPr>
          <w:sz w:val="20"/>
          <w:szCs w:val="20"/>
          <w:color w:val="auto"/>
        </w:rPr>
      </w:pPr>
    </w:p>
    <w:p>
      <w:pPr>
        <w:ind w:left="240" w:right="790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Cash and Cash Equivalents</w:t>
      </w:r>
    </w:p>
    <w:p>
      <w:pPr>
        <w:spacing w:after="0" w:line="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and include both U.S. dollar-denominated and foreign currency-denominated securities. Cash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equivalents are carried at cost, which approximates fair value. Cash equivalents of $1.1 billion and $663.9 million at September 30, 2011 and December 31, 2010, respectively, were invested in time deposits, money market accounts, U.S. Treasuries and commercial paper. The Company utilized Level 1 inputs as described in Note 10 to determine fair value.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Securities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Investment securities consist of short-term and long-term investments in domestic and foreign corporate debt securities and commercial paper. Management determines the appropriate classification of debt securities at the time of purchase and reevaluates such designation as of each balance sheet date. Originally the Company’s investments had been classified as held-to-maturity because the Company had the positive intent and ability to hold them to maturity. However, during the third quarter of 2011, due to the economic uncertainty in the global financial markets, the Company elected to change the classification of its investments from held-to-maturity to available-for-sale. In August 2011, the Company sold investments with a net carrying value of $30.1 million and realized a loss of $0.1 million. As of September 30, 2011, all remaining investments are classified as available-for-sale. These investments are reported at fair value, with unrealized gains and losses, net of tax, reported in other comprehensive income (loss). The Company utilized Level 1 inputs as described in Note 10 to determine fair value.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September 30, 2011 and December 31, 2010, approximately 80% and 82%,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The Company’s casino revenues are reduced by discounts and commissions, and points earned in the player’s club loyalty program.</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360" w:type="dxa"/>
            <w:vAlign w:val="bottom"/>
          </w:tcPr>
          <w:p>
            <w:pPr>
              <w:spacing w:after="0"/>
              <w:rPr>
                <w:sz w:val="14"/>
                <w:szCs w:val="14"/>
                <w:color w:val="auto"/>
              </w:rPr>
            </w:pPr>
          </w:p>
        </w:tc>
        <w:tc>
          <w:tcPr>
            <w:tcW w:w="168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63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$13,080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37,987</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Food and beverage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26,356</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23,092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68,205</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16,019</w:t>
            </w:r>
          </w:p>
        </w:tc>
        <w:tc>
          <w:tcPr>
            <w:tcW w:w="100" w:type="dxa"/>
            <w:vAlign w:val="bottom"/>
            <w:shd w:val="clear" w:color="auto" w:fill="CCEEFF"/>
          </w:tcPr>
          <w:p>
            <w:pPr>
              <w:spacing w:after="0"/>
              <w:rPr>
                <w:sz w:val="18"/>
                <w:szCs w:val="18"/>
                <w:color w:val="auto"/>
              </w:rPr>
            </w:pPr>
          </w:p>
        </w:tc>
      </w:tr>
      <w:tr>
        <w:trPr>
          <w:trHeight w:val="222"/>
        </w:trPr>
        <w:tc>
          <w:tcPr>
            <w:tcW w:w="63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43,624</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41,197</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129,229</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122,211</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Condensed Consolidated Statements of Operations. For the three months ended September 30, 2011 and 2010, gaming taxes totaled approximately $472.9 million and $331.9 million, respectively. For the nine months ended September 30, 2011 and 2010, gaming taxes totaled approximately $1,383.7 million and $970.3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September 30, 2011 and 2010, advertising costs totaled approximately $5.5 million and $4.7 million, respectively. For the nine months ended September 30, 2011 and 2010, advertising costs totaled approximately $12.9 million and $13.7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2010 have been reclassified to be consistent with the current period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income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the Company’s financial statements.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September 2011, the FASB issued an accounting standards update that requires more information be disclosed about an employer’s financial obligations to a multiemployer pension plan. The Company participates in such a plan and will make the required disclosures in its annual report on Form 10-K for the year ending December 31, 2011. As the standard update requires disclosure only, the Company does not expect the implementation to have a material impact on its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Basic earnings per share (“EPS”) is computed by dividing net income (loss) attributable to Wynn Resorts by the weighted average number of shares outstanding during the period. Diluted EPS reflects the addition of potentially dilutive securities, which for the Company include stock options and nonvested stock.</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0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123,969</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122,569</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1,684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1,706</w:t>
            </w: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and common equivalent shares outstanding (used in calculation of diluted</w:t>
            </w: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122,771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125,675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123,564</w:t>
            </w:r>
          </w:p>
        </w:tc>
        <w:tc>
          <w:tcPr>
            <w:tcW w:w="12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A total of 25,200 and 610,200 stock options were excluded from the calculation of diluted EPS for the three and nine months ended September 30, 2011, respectively, because including them would have been anti-dilutive under the treasury stock method. For the three months ended September 30, 2010, the Company recorded a net loss. Accordingly, the potential dilution from the assumed exercise of stock options and nonvested stock is anti-dilutive. As a result, basic EPS is equal to diluted EPS for that period. A total of 1,260,000 and 1,269,000 stock options were excluded from the calculation of diluted EPS for the three and nine months ended September 30, 2010, respectively, because including them would have been anti-dilutive under the treasury stock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comprehensive income (loss)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9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20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2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$185,185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$ 566,851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4,149</w:t>
            </w:r>
          </w:p>
        </w:tc>
        <w:tc>
          <w:tcPr>
            <w:tcW w:w="24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investments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280" w:type="dxa"/>
            <w:vAlign w:val="bottom"/>
          </w:tcPr>
          <w:p>
            <w:pPr>
              <w:ind w:left="440"/>
              <w:spacing w:after="0"/>
              <w:rPr>
                <w:sz w:val="20"/>
                <w:szCs w:val="20"/>
                <w:color w:val="auto"/>
              </w:rPr>
            </w:pPr>
            <w:r>
              <w:rPr>
                <w:rFonts w:ascii="Arial" w:cs="Arial" w:eastAsia="Arial" w:hAnsi="Arial"/>
                <w:sz w:val="18"/>
                <w:szCs w:val="18"/>
                <w:color w:val="auto"/>
              </w:rPr>
              <w:t>Total comprehensive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180,133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561,843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145,350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(32,603)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(142,701)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(99,011)</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Comprehensive income (loss) attributable to Wynn Resorts</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123,275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(30,508)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$ 419,142</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46,339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accumulated other comprehensive income consisted solely of currency translation adjustments.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paid for the nine months ended September 30, 2011 and 2010 totaled $177.2 million and $130.9 million, respectively. Interest capitalized for the nine months ended September 30, 2011 and 2010 totaled $0 and $7.2 million, respectively.</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For the nine months ended September 30, 2011 and 2010, capital expenditures include an increase of $16.8 million and a decrease of $20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7"/>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258,176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257,951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15,946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17,851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310,719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301,555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(120,373)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(114,091)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190,346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3"/>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187,464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80" w:type="dxa"/>
            <w:vAlign w:val="bottom"/>
            <w:gridSpan w:val="3"/>
          </w:tcPr>
          <w:p>
            <w:pPr>
              <w:ind w:left="460"/>
              <w:spacing w:after="0"/>
              <w:rPr>
                <w:sz w:val="20"/>
                <w:szCs w:val="20"/>
                <w:color w:val="auto"/>
              </w:rPr>
            </w:pPr>
            <w:r>
              <w:rPr>
                <w:rFonts w:ascii="Arial" w:cs="Arial" w:eastAsia="Arial" w:hAnsi="Arial"/>
                <w:sz w:val="18"/>
                <w:szCs w:val="18"/>
                <w:color w:val="auto"/>
                <w:w w:val="90"/>
              </w:rPr>
              <w:t>Property and equipment, net consisted of the following (amounts in thousands):</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24"/>
                <w:szCs w:val="24"/>
                <w:color w:val="auto"/>
              </w:rPr>
            </w:pPr>
          </w:p>
        </w:tc>
        <w:tc>
          <w:tcPr>
            <w:tcW w:w="9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733,022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731,810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w w:val="92"/>
              </w:rPr>
              <w:t>3,762,832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3,735,633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77,436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w w:val="92"/>
              </w:rPr>
              <w:t>1,648,492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1,647,424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85,429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19,873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22,901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6,327,084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6,300,734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w w:val="86"/>
              </w:rPr>
              <w:t>(1,640,057)</w:t>
            </w:r>
          </w:p>
        </w:tc>
        <w:tc>
          <w:tcPr>
            <w:tcW w:w="260" w:type="dxa"/>
            <w:vAlign w:val="bottom"/>
          </w:tcPr>
          <w:p>
            <w:pPr>
              <w:spacing w:after="0"/>
              <w:rPr>
                <w:sz w:val="18"/>
                <w:szCs w:val="18"/>
                <w:color w:val="auto"/>
              </w:rPr>
            </w:pPr>
          </w:p>
        </w:tc>
        <w:tc>
          <w:tcPr>
            <w:tcW w:w="1160" w:type="dxa"/>
            <w:vAlign w:val="bottom"/>
            <w:gridSpan w:val="7"/>
          </w:tcPr>
          <w:p>
            <w:pPr>
              <w:jc w:val="right"/>
              <w:ind w:right="40"/>
              <w:spacing w:after="0"/>
              <w:rPr>
                <w:sz w:val="20"/>
                <w:szCs w:val="20"/>
                <w:color w:val="auto"/>
              </w:rPr>
            </w:pPr>
            <w:r>
              <w:rPr>
                <w:rFonts w:ascii="Arial" w:cs="Arial" w:eastAsia="Arial" w:hAnsi="Arial"/>
                <w:sz w:val="18"/>
                <w:szCs w:val="18"/>
                <w:color w:val="auto"/>
              </w:rPr>
              <w:t>(1,379,475)</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spacing w:after="0"/>
              <w:rPr>
                <w:sz w:val="18"/>
                <w:szCs w:val="18"/>
                <w:color w:val="auto"/>
              </w:rPr>
            </w:pPr>
          </w:p>
        </w:tc>
        <w:tc>
          <w:tcPr>
            <w:tcW w:w="10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88"/>
              </w:rPr>
              <w:t>$ 4,687,027</w:t>
            </w:r>
          </w:p>
        </w:tc>
        <w:tc>
          <w:tcPr>
            <w:tcW w:w="26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$ 4,921,259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Investment Securities</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0" w:type="dxa"/>
            <w:vAlign w:val="bottom"/>
            <w:gridSpan w:val="2"/>
          </w:tcPr>
          <w:p>
            <w:pPr>
              <w:ind w:left="460"/>
              <w:spacing w:after="0"/>
              <w:rPr>
                <w:sz w:val="20"/>
                <w:szCs w:val="20"/>
                <w:color w:val="auto"/>
              </w:rPr>
            </w:pPr>
            <w:r>
              <w:rPr>
                <w:rFonts w:ascii="Arial" w:cs="Arial" w:eastAsia="Arial" w:hAnsi="Arial"/>
                <w:sz w:val="18"/>
                <w:szCs w:val="18"/>
                <w:color w:val="auto"/>
                <w:w w:val="96"/>
              </w:rPr>
              <w:t>Investment securities consisted of the following (amounts in thousands):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78"/>
              </w:rPr>
              <w:t>Gross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(net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4"/>
                <w:szCs w:val="14"/>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73"/>
              </w:rPr>
              <w:t>losses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2011</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Domestic and foreign corporate bonds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174,612</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8"/>
                <w:szCs w:val="18"/>
                <w:color w:val="auto"/>
              </w:rPr>
              <w:t>$ (2,584)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$172,033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243,119</w:t>
            </w:r>
          </w:p>
        </w:tc>
        <w:tc>
          <w:tcPr>
            <w:tcW w:w="7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8"/>
                <w:szCs w:val="18"/>
                <w:color w:val="auto"/>
              </w:rPr>
              <w:t>$ (2,624)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240,500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described in Note 2, the Company transferred investments classified as held-to maturity to available-for-sale with a net carrying value of $249.5 million and a net unrealized loss of $1 million.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amortized cost and estimated fair value of these investment securities at September 30, 2011, by contractual maturity are shown below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440" w:type="dxa"/>
            <w:vAlign w:val="bottom"/>
          </w:tcPr>
          <w:p>
            <w:pPr>
              <w:spacing w:after="0"/>
              <w:rPr>
                <w:sz w:val="14"/>
                <w:szCs w:val="14"/>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8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$134,718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$134,419</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three years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108,401</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106,081</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$ 243,119</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240,500</w:t>
            </w:r>
          </w:p>
        </w:tc>
        <w:tc>
          <w:tcPr>
            <w:tcW w:w="10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9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188"/>
        </w:trPr>
        <w:tc>
          <w:tcPr>
            <w:tcW w:w="91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Wynn Las Vegas First Mortgage Notes, due November 1, 2017, net of original issue discount of $8,862 at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2011 and $9,679 at December 31,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491,138</w:t>
            </w: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490,321</w:t>
            </w:r>
          </w:p>
        </w:tc>
        <w:tc>
          <w:tcPr>
            <w:tcW w:w="120" w:type="dxa"/>
            <w:vAlign w:val="bottom"/>
            <w:shd w:val="clear" w:color="auto" w:fill="CCEEFF"/>
          </w:tcPr>
          <w:p>
            <w:pPr>
              <w:spacing w:after="0"/>
              <w:rPr>
                <w:sz w:val="19"/>
                <w:szCs w:val="19"/>
                <w:color w:val="auto"/>
              </w:rPr>
            </w:pPr>
          </w:p>
        </w:tc>
      </w:tr>
      <w:tr>
        <w:trPr>
          <w:trHeight w:val="208"/>
        </w:trPr>
        <w:tc>
          <w:tcPr>
            <w:tcW w:w="9120" w:type="dxa"/>
            <w:vAlign w:val="bottom"/>
          </w:tcPr>
          <w:p>
            <w:pPr>
              <w:spacing w:after="0"/>
              <w:rPr>
                <w:sz w:val="20"/>
                <w:szCs w:val="20"/>
                <w:color w:val="auto"/>
              </w:rPr>
            </w:pPr>
            <w:r>
              <w:rPr>
                <w:rFonts w:ascii="Arial" w:cs="Arial" w:eastAsia="Arial" w:hAnsi="Arial"/>
                <w:sz w:val="18"/>
                <w:szCs w:val="18"/>
                <w:color w:val="auto"/>
                <w:w w:val="94"/>
              </w:rPr>
              <w:t xml:space="preserve">7 </w:t>
            </w:r>
            <w:r>
              <w:rPr>
                <w:rFonts w:ascii="Arial" w:cs="Arial" w:eastAsia="Arial" w:hAnsi="Arial"/>
                <w:sz w:val="11"/>
                <w:szCs w:val="11"/>
                <w:color w:val="auto"/>
                <w:w w:val="94"/>
              </w:rPr>
              <w:t>7</w:t>
            </w:r>
            <w:r>
              <w:rPr>
                <w:rFonts w:ascii="Arial" w:cs="Arial" w:eastAsia="Arial" w:hAnsi="Arial"/>
                <w:sz w:val="18"/>
                <w:szCs w:val="18"/>
                <w:color w:val="auto"/>
                <w:w w:val="94"/>
              </w:rPr>
              <w:t>/</w:t>
            </w:r>
            <w:r>
              <w:rPr>
                <w:rFonts w:ascii="Arial" w:cs="Arial" w:eastAsia="Arial" w:hAnsi="Arial"/>
                <w:sz w:val="13"/>
                <w:szCs w:val="13"/>
                <w:color w:val="auto"/>
                <w:w w:val="94"/>
              </w:rPr>
              <w:t>8</w:t>
            </w:r>
            <w:r>
              <w:rPr>
                <w:rFonts w:ascii="Arial" w:cs="Arial" w:eastAsia="Arial" w:hAnsi="Arial"/>
                <w:sz w:val="18"/>
                <w:szCs w:val="18"/>
                <w:color w:val="auto"/>
                <w:w w:val="94"/>
              </w:rPr>
              <w:t>% Wynn Las Vegas First Mortgage Notes, due May 1, 2020, net of original issue discount of $1,827 at September 30,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120" w:type="dxa"/>
            <w:vAlign w:val="bottom"/>
          </w:tcPr>
          <w:p>
            <w:pPr>
              <w:ind w:left="220"/>
              <w:spacing w:after="0"/>
              <w:rPr>
                <w:sz w:val="20"/>
                <w:szCs w:val="20"/>
                <w:color w:val="auto"/>
              </w:rPr>
            </w:pPr>
            <w:r>
              <w:rPr>
                <w:rFonts w:ascii="Arial" w:cs="Arial" w:eastAsia="Arial" w:hAnsi="Arial"/>
                <w:sz w:val="18"/>
                <w:szCs w:val="18"/>
                <w:color w:val="auto"/>
              </w:rPr>
              <w:t>2011 and $1,933 at December 31, 2010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350,183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350,077</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Wynn Las Vegas First Mortgage Notes, due August 15, 2020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17, 2015; interest at LIBOR plus 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40,263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Wynn Macau Senior Term Loan Facilities, due June 27, 2014; interest at LIBOR or HIBOR plus 1.25%—1.75%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513,292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550,900</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Wynn Macau Senior Revolving Credit Facility, due June 27, 2012; interest at LIBOR or HIBOR plus 1.25%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100,165</w:t>
            </w:r>
          </w:p>
        </w:tc>
        <w:tc>
          <w:tcPr>
            <w:tcW w:w="1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35,700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20" w:type="dxa"/>
            <w:vAlign w:val="bottom"/>
            <w:shd w:val="clear" w:color="auto" w:fill="CCEEFF"/>
          </w:tcPr>
          <w:p>
            <w:pPr>
              <w:spacing w:after="0"/>
              <w:rPr>
                <w:sz w:val="18"/>
                <w:szCs w:val="18"/>
                <w:color w:val="auto"/>
              </w:rPr>
            </w:pPr>
          </w:p>
        </w:tc>
      </w:tr>
      <w:tr>
        <w:trPr>
          <w:trHeight w:val="221"/>
        </w:trPr>
        <w:tc>
          <w:tcPr>
            <w:tcW w:w="9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3,103,931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3,267,529</w:t>
            </w:r>
          </w:p>
        </w:tc>
        <w:tc>
          <w:tcPr>
            <w:tcW w:w="120" w:type="dxa"/>
            <w:vAlign w:val="bottom"/>
          </w:tcPr>
          <w:p>
            <w:pPr>
              <w:spacing w:after="0"/>
              <w:rPr>
                <w:sz w:val="19"/>
                <w:szCs w:val="19"/>
                <w:color w:val="auto"/>
              </w:rPr>
            </w:pPr>
          </w:p>
        </w:tc>
      </w:tr>
      <w:tr>
        <w:trPr>
          <w:trHeight w:val="218"/>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(170,565)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(2,675)</w:t>
            </w:r>
          </w:p>
        </w:tc>
      </w:tr>
      <w:tr>
        <w:trPr>
          <w:trHeight w:val="222"/>
        </w:trPr>
        <w:tc>
          <w:tcPr>
            <w:tcW w:w="9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2,933,366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3,264,854</w:t>
            </w:r>
          </w:p>
        </w:tc>
        <w:tc>
          <w:tcPr>
            <w:tcW w:w="12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As of September 30, 2011, no amounts were outstanding under the Wynn Las Vegas Revolving Credit Facilities. The Company had $19.5 million of outstanding letters of credit that reduce its availability under the Wynn Las Vegas Revolving Credit Facilities. Accordingly, the Company has availability of $347.5 million under the Wynn Las Vegas Revolving Credit Facilities as of September 30,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Senior Revolving Credit Facility</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As of September 30, 2011, no amounts were outstanding under the Wynn Macau Senior Revolving Credit Facility. Accordingly, the Company has availability of $1 billion under the Wynn Macau Credit Facilities as of September 30,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September 2011, the Company made the first of 12 quarterly payments under the Wynn Macau Senior Term Loan Facilities.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net book value of the Company’s outstanding first mortgage notes was approximately $2.2 billion at both September 30, 2011 and December 31, 2010. The estimated fair value of the Company’s outstanding first mortgage notes, based on quoted market prices, was approximately $2.3 billion at both September 30, 2011 and December 31, 2010. The net book value of the Company’s other debt instruments was approximately $1 billion and $1.1 billion at September 30, 2011 and December 31, 2010, respectively. The estimated fair value of the Company’s other debt instruments was approximately $1 billion and $1.1 billion at September 30, 2011 and December 31, 2010,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table presents the historical fair value of the interest rate swaps recorded in the accompanying Condensed Consolidated Balance Sheets as of September 30, 2011 and December 31, 2010.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September 30, 2011, $4 million of the interest rate swap liabilities are included in other accrued expenses and $6 million are included in other long-term liabilities. As of December 31, 2010, $5.9 million of the interest rate swap liabilities are included in other accrued expenses and $15.6 million are included in other long-term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Liability fair value:</w:t>
            </w:r>
          </w:p>
        </w:tc>
        <w:tc>
          <w:tcPr>
            <w:tcW w:w="4600" w:type="dxa"/>
            <w:vAlign w:val="bottom"/>
          </w:tcPr>
          <w:p>
            <w:pPr>
              <w:spacing w:after="0"/>
              <w:rPr>
                <w:sz w:val="14"/>
                <w:szCs w:val="14"/>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77"/>
              </w:rPr>
              <w:t>Las Vegas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142"/>
        </w:trPr>
        <w:tc>
          <w:tcPr>
            <w:tcW w:w="3520" w:type="dxa"/>
            <w:vAlign w:val="bottom"/>
          </w:tcPr>
          <w:p>
            <w:pPr>
              <w:spacing w:after="0" w:line="142" w:lineRule="exact"/>
              <w:rPr>
                <w:sz w:val="20"/>
                <w:szCs w:val="20"/>
                <w:color w:val="auto"/>
              </w:rPr>
            </w:pPr>
            <w:r>
              <w:rPr>
                <w:rFonts w:ascii="Arial" w:cs="Arial" w:eastAsia="Arial" w:hAnsi="Arial"/>
                <w:sz w:val="14"/>
                <w:szCs w:val="14"/>
                <w:b w:val="1"/>
                <w:bCs w:val="1"/>
                <w:color w:val="auto"/>
              </w:rPr>
              <w:t>(amounts in thousands)</w:t>
            </w:r>
          </w:p>
        </w:tc>
        <w:tc>
          <w:tcPr>
            <w:tcW w:w="4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5,962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4,004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00" w:type="dxa"/>
            <w:vAlign w:val="bottom"/>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December 31, 2010</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8,457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w w:val="83"/>
              </w:rPr>
              <w:t>12,992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9"/>
                <w:szCs w:val="19"/>
                <w:color w:val="auto"/>
              </w:rPr>
            </w:pPr>
          </w:p>
        </w:tc>
      </w:tr>
      <w:tr>
        <w:trPr>
          <w:trHeight w:val="356"/>
        </w:trPr>
        <w:tc>
          <w:tcPr>
            <w:tcW w:w="3520" w:type="dxa"/>
            <w:vAlign w:val="bottom"/>
          </w:tcPr>
          <w:p>
            <w:pPr>
              <w:spacing w:after="0"/>
              <w:rPr>
                <w:sz w:val="24"/>
                <w:szCs w:val="24"/>
                <w:color w:val="auto"/>
              </w:rPr>
            </w:pPr>
          </w:p>
        </w:tc>
        <w:tc>
          <w:tcPr>
            <w:tcW w:w="4600" w:type="dxa"/>
            <w:vAlign w:val="bottom"/>
          </w:tcPr>
          <w:p>
            <w:pPr>
              <w:jc w:val="right"/>
              <w:ind w:right="223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Macau Credit Facilities. Under this swap agreement, the Company pays a fixed interest rate of 2.15% on borrowings of HK$2.3 billion (approximately U.S.$300 million) incurred under the Wynn Macau Credit Facilities in exchange for receipts on the same amount at a variable interest rate based on the applicable HIBOR at the time of payment. As of September 30, 2011, this interest rate swap fixes the interest rate on such borrowings at 3.4%. This interest rate swap agreement matures in June 2012.</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August 2011, two interest rate swap agreements that the Company had entered into to hedge a portion of the underlying interest rate risk on borrowings under the Wynn Macau Credit Facilities expired. Under the first swap agreement, the Company paid a fixed interest rate of 3.632% on U.S. dollar borrowings of $153.8 million incurred under the Wynn Macau Credit Facilities in exchange for receipts on the same amount at a variable interest rate based on the applicable LIBOR at the time of payment. Under the second swap agreement, the Company paid a fixed interest rate of 3.39% on Hong Kong dollar borrowings of HK $991.6 million (approximately U.S.$127 million) incurred under the Wynn Macau Credit Facilities in exchange for receipts on the same amount at a variable interest rate based on the applicable HIBOR at the time of payment. Until they expired in August 2011, these interest rate swaps fixed the interest rates on the U.S. dollar and the Hong Kong dollar borrowings under the Wynn Macau Credit Facilities at 4.88% - 5.38% and 4.64%, respectively.</w:t>
      </w:r>
    </w:p>
    <w:p>
      <w:pPr>
        <w:spacing w:after="0" w:line="193" w:lineRule="exact"/>
        <w:rPr>
          <w:sz w:val="20"/>
          <w:szCs w:val="20"/>
          <w:color w:val="auto"/>
        </w:rPr>
      </w:pPr>
    </w:p>
    <w:p>
      <w:pPr>
        <w:ind w:left="240" w:right="9100" w:hanging="232"/>
        <w:spacing w:after="0" w:line="417" w:lineRule="auto"/>
        <w:tabs>
          <w:tab w:leader="none" w:pos="26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household employees, construction work and other personal services. Mr. Wynn and the other officers and directors have deposits with the Company to prepay any such items, which are replenished on an ongoing basis as needed. As of September 30, 2011 and December 31, 2010, Mr. Wynn and the other officers and directors had a net deposit balance with the Company of approximately $2 million and $0.3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are included in the rental.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Pursuant to the terms of the EW Lease, Elaine P. Wynn paid annual rent equal to $350,000, which amount was determined by the Audit Committee with the assistance of a third-party appraisal. Certain services for, and maintenance of, the villa suite were included in the rental. The EW Lease superseded the terms of a prior agreement. The term of the EW lease commenced as of March 1, 2010 and was scheduled to terminate on December 31, 2010. The lease was extended on a month-to-month basis after December 31, 2010 until terminated effective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178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770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780" w:type="dxa"/>
            <w:vAlign w:val="bottom"/>
            <w:gridSpan w:val="6"/>
          </w:tcPr>
          <w:p>
            <w:pPr>
              <w:ind w:lef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7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Donation to University of Macau</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$108,516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Contract termination</w:t>
            </w: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14,949</w:t>
            </w:r>
          </w:p>
        </w:tc>
        <w:tc>
          <w:tcPr>
            <w:tcW w:w="22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14,949</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Loss on show cancellation</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loss on assets abandoned, retired for remodel or sold</w:t>
            </w:r>
          </w:p>
        </w:tc>
        <w:tc>
          <w:tcPr>
            <w:tcW w:w="500" w:type="dxa"/>
            <w:vAlign w:val="bottom"/>
          </w:tcPr>
          <w:p>
            <w:pPr>
              <w:jc w:val="right"/>
              <w:spacing w:after="0"/>
              <w:rPr>
                <w:sz w:val="20"/>
                <w:szCs w:val="20"/>
                <w:color w:val="auto"/>
              </w:rPr>
            </w:pPr>
            <w:r>
              <w:rPr>
                <w:rFonts w:ascii="Arial" w:cs="Arial" w:eastAsia="Arial" w:hAnsi="Arial"/>
                <w:sz w:val="18"/>
                <w:szCs w:val="18"/>
                <w:color w:val="auto"/>
              </w:rPr>
              <w:t>8,629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2,578</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14,176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8"/>
                <w:szCs w:val="18"/>
                <w:color w:val="auto"/>
              </w:rPr>
            </w:pPr>
          </w:p>
        </w:tc>
      </w:tr>
      <w:tr>
        <w:trPr>
          <w:trHeight w:val="27"/>
        </w:trPr>
        <w:tc>
          <w:tcPr>
            <w:tcW w:w="7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17,527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124,070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22,374</w:t>
            </w:r>
          </w:p>
        </w:tc>
        <w:tc>
          <w:tcPr>
            <w:tcW w:w="100" w:type="dxa"/>
            <w:vAlign w:val="bottom"/>
            <w:shd w:val="clear" w:color="auto" w:fill="CCEEFF"/>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months ended September 30, 2011 include miscellaneous renovations and abandonments at our resorts, including modifications of the Encore at Wynn Las Vegas retail esplanade and the closure of the Blush nightclub. Property charges and other for the nine months ended September 30, 2011 include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Condensed Consolidated Statements of Operations has been discounted using the Company’s current estimated borrowing rate over the time period of the remaining committed payments. In accordance with accounting standards for contributions, subsequent accretion of the discount is being recorded as additional donation expense and included in Property charges and other. Property charges and other for the nine months ended September 30, 2011 also include the write off of certain costs related to a show that ended its run in Las Vegas.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charges and other for the three and nine months ended September 30, 2010 include a contract termination payment of $14.9 million related to a management contract for certain of the nightclubs at Wynn Las Vegas. The remaining charges were for miscellaneous renovations, abandonments and gain/loss on sale of equipment at our resorts.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October 2009, Wynn Macau, Limited, an indirect wholly-owned subsidiary of the Company and the developer, owner and operator of Wynn Macau, had its ordinary shares of common stock listed on The Stock Exchange of Hong Kong Limited. Through an initial public offering, including the over allotment, Wynn Macau, Limited sold 1,437,500,000 shares (27.7%) of its common stock (the “Wynn Macau Limited IPO”). The shares of Wynn Macau, Limited were not and will not be registered under the Securities Act of 1933, as amended (the “Securities Act”) and may not be offered or sold in the United States absent a registration under the Securities Act, or an applicable exception from such registration requirements. Net income attributable to noncontrolling interest was $58.1 million and $31.5 million for the three months ended September 30, 2011 and 2010, respectively. Net income attributable to noncontrolling interest was $144 million and $98.8 million for the nine months ended September 30, 2011 and 2010,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paid a dividend of $0.50 per common share on both May 17, 2011 and August 11, 2011. For the nine months ended September 30,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$124.9 million has been recorded as a distribution against retained earnings. Of this amount approximately $0.9 million has been recorded as a liability which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paid to holders of nonvested stock upon the vesting of that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52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$ 2,076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$ 2,334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Rooms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5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10,795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12,694</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5,642</w:t>
            </w:r>
          </w:p>
        </w:tc>
        <w:tc>
          <w:tcPr>
            <w:tcW w:w="5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6,755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18,318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20,721</w:t>
            </w:r>
          </w:p>
        </w:tc>
        <w:tc>
          <w:tcPr>
            <w:tcW w:w="100" w:type="dxa"/>
            <w:vAlign w:val="bottom"/>
          </w:tcPr>
          <w:p>
            <w:pPr>
              <w:spacing w:after="0"/>
              <w:rPr>
                <w:sz w:val="19"/>
                <w:szCs w:val="19"/>
                <w:color w:val="auto"/>
              </w:rPr>
            </w:pPr>
          </w:p>
        </w:tc>
      </w:tr>
      <w:tr>
        <w:trPr>
          <w:trHeight w:val="217"/>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r>
      <w:tr>
        <w:trPr>
          <w:trHeight w:val="222"/>
        </w:trPr>
        <w:tc>
          <w:tcPr>
            <w:tcW w:w="75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$ 6,079</w:t>
            </w:r>
          </w:p>
        </w:tc>
        <w:tc>
          <w:tcPr>
            <w:tcW w:w="5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$ 6,901</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19,145</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21,159</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347" w:lineRule="auto"/>
        <w:tabs>
          <w:tab w:leader="none" w:pos="26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u w:val="single" w:color="auto"/>
          <w:color w:val="auto"/>
        </w:rPr>
        <w:t>Cotai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In September 2011, Palo Real Estate Company Limited and Wynn Resorts (Macau) S.A., each an indirect subsidiary of 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formally accepted the terms and conditions of a draft land concession contract from the Macau government for approximately 51 acres of land in the Cotai area of Macau. Following government approval, the Company anticipates constructing a full scale integrated resort containing a casino, approximately 1,500 rooms, convention, retail, entertainment and food and beverage offerings on this land. The Company continues to finalize the project scope, timeline and budget.</w:t>
      </w:r>
    </w:p>
    <w:p>
      <w:pPr>
        <w:spacing w:after="0" w:line="143"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The initial term of the land concession contract is 25 years, and it may be renewed with government approval for successive periods. The total land premium payable, as described in the draft land concession contract, is approximately $193.4 million. This premium will be paid with a down payment of approximately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$62.5 million and eight additional semi-annual payments of approximately $16.4 million each (which includes interest at 5%). As of September 30, 2011, the Company has recorded this obligation and a related long-term asset with $75.7 million included as a current liability and $103.6 million included as a long-term liability. Wynn Macau will also be required to make annual lease payments of approximately $0.8 million during the resort construction period and annual payments of approximately $1.1 million once the development is completed.</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u w:val="single" w:color="auto"/>
          <w:color w:val="auto"/>
        </w:rPr>
        <w:t>Cotai Land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1, 2008, subsidiaries of Wynn Resorts, Limited entered into an agreement with an unrelated third party to make a one-time payment in the amount of $50 million in consideration of the unrelated third party’s relinquishment of certain rights in and to any future development on the Cotai land noted above. The payment will be made within 15 days after the Macau government publishes the Company’s rights to the Cotai land in the government’s official gazette. With the Company’s acceptance of the draft land concession contract noted above, the Company has accrued this $50 million obligation as a current liability included in other accrued liabilities as of September 30,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Clark County, Nevada, on May 10, 2010. APC removed the action to the United States District Court, District of Nevada. In March 2011, the court denied APC’s motion to compel arbitration. APC has appealed. Management believes that APC’s claim against the Company is without merit and intends to defend this matter vigorously.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For the three months ended September 30, 2011 and 2010, the Company recorded tax expense of $4.3 million and $9 million, respectively. For the nine months ended September 30, 2011 and 2010, the Company recorded tax expense of $11.6 million and $16 million, respectively. The Company’s provision for income taxes is primarily comprised of increases in its domestic valuation allowance for U.S. foreign tax credits not expected to provide a U.S. tax benefit in future years, foreign taxes assessable on the dividends of Wynn Macau, S.A. and foreign tax provisions related to international marketing offices. Since June 30, 2010, the Company no longer considers its portion of the tax earnings and profits of Wynn Macau, Limited to be permanently invested. No additional U.S. tax provision has been made with respect to amounts not considered permanently invested as the Company anticipates that U.S. foreign tax credits should be sufficient to eliminate any U.S. tax provision relating to such repatriation. To the extent that book earnings exceed the tax earnings and profits of Wynn Macau, Limited, such excess is considered permanently invested. For the nine months ended September 30, 2011 and 2010, the Company recognized income tax benefits related to excess tax deductions associated with stock compensation costs of $10.5 million and $5.5 million, respectively.</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On November 30, 2010, Wynn Macau, S.A. received an additional 5-year exemption through December 31, 2015. Accordingly, the Company was exempted from the payment of approximately $22.8 million and $57.3 million in such taxes during the three and nine months ended September 30, 2011, respectively. For the three and nine months ended September 30, 2010, the Company was exempted from $13.2 million and $41.3 million, respectively, of such taxes. The Company’s non-gaming profits remain subject to the Macau Complementary Tax and casino winnings remain subject to the Macau Special Gaming tax and other levies together totaling 39% in accordance with its concession agreement.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color w:val="auto"/>
        </w:rPr>
        <w:t>In June 2009, Wynn Macau, S.A. entered into an agreement with the Macau Special Administrative Region that provided for an annual payment of MOP 7.2 million (approximately $900,000 U.S. dollars) to the Macau Special Administrative Region as a payment in lieu of complementary tax otherwise due by the Wynn Macau S.A. shareholders on dividend distributions from gaming profits. This agreement covered dividend distributions of gaming profits earned in the years 2006 through 2010. On November 3, 2010, Wynn Macau, S.A. applied for a 5-year extension of this agreement for the years ending December 31, 2011 through 2015. On July 19, 2011 Wynn Macau, S.A. received notification that the 5-year extension had been ratified and that an annual payment of MOP</w:t>
      </w:r>
    </w:p>
    <w:p>
      <w:pPr>
        <w:spacing w:after="0" w:line="2"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15.5 million (approximately $1.9 million U.S. dollars) would be due the Macau Special Administrative Region for each of the years 2011 through 2015. As a result of the 2011 shareholder dividend tax agreement, income taxes payable includes $1 million and $1.5 million accrued for the three and nine months ended September 30, 2011, respectively. For the three and nine months ended September 30, 2010, respectively, the Company accrued income taxes payable of $0.2 million and $0.7 million for amounts due under the 2009 shareholder dividend tax agreement.</w:t>
      </w:r>
    </w:p>
    <w:p>
      <w:pPr>
        <w:spacing w:after="0" w:line="11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During the nine months ended September 30, 2011, Wynn Macau, S.A. received the results of the Macau Finance Bureau’s examination of its 2006 and 2007 Macau Complementary Tax returns. During July 2011, Wynn Macau S.A. filed an appeal related to the examination’s disallowance of certain deductions claimed in its 2006 Macau Complementary Tax Return. In August 2011, the 2006 Macau tax issues under appeal were resolved. Included in income taxes payable is $1.1 million for Macau Complementary tax payable resulting from the 2006 examination and appeal resolution, substantially all of which was accrued in prior years. As the result of the resolution of these Macau tax issues and the expiration of the statute of limitations for 2006 Macau Complementary tax assessments on December 31, 2011, it is reasonably possible that the total amount of unrecognized tax benefits will decrease during the next twelve months by $0 to $10.7 million. During October 2011, the IRS began an examination of the Company’s 2010 U.S. income tax return. Since the examination is in its initial stages the Company is unable to determine if it will be concluded within the next twelve months. The Company believes that its liability for uncertain tax positions related to the period covered by this examination is adequate.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by segment are as follows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61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0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5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6440" w:type="dxa"/>
            <w:vAlign w:val="bottom"/>
            <w:gridSpan w:val="3"/>
          </w:tcPr>
          <w:p>
            <w:pPr>
              <w:jc w:val="right"/>
              <w:ind w:right="280"/>
              <w:spacing w:after="0"/>
              <w:rPr>
                <w:sz w:val="20"/>
                <w:szCs w:val="20"/>
                <w:color w:val="auto"/>
              </w:rPr>
            </w:pPr>
            <w:r>
              <w:rPr>
                <w:rFonts w:ascii="Arial" w:cs="Arial" w:eastAsia="Arial" w:hAnsi="Arial"/>
                <w:sz w:val="18"/>
                <w:szCs w:val="18"/>
                <w:color w:val="auto"/>
              </w:rPr>
              <w:t>$ 4,020,168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$ 4,108,516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6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2,624,187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1,777,119</w:t>
            </w:r>
          </w:p>
        </w:tc>
        <w:tc>
          <w:tcPr>
            <w:tcW w:w="0" w:type="dxa"/>
            <w:vAlign w:val="bottom"/>
          </w:tcPr>
          <w:p>
            <w:pPr>
              <w:spacing w:after="0"/>
              <w:rPr>
                <w:sz w:val="1"/>
                <w:szCs w:val="1"/>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5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784,619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788,862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$ 7,428,974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6,674,497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320" w:type="dxa"/>
            <w:vAlign w:val="bottom"/>
            <w:vMerge w:val="restart"/>
          </w:tcPr>
          <w:p>
            <w:pPr>
              <w:jc w:val="right"/>
              <w:ind w:right="3237"/>
              <w:spacing w:after="0"/>
              <w:rPr>
                <w:sz w:val="20"/>
                <w:szCs w:val="20"/>
                <w:color w:val="auto"/>
              </w:rPr>
            </w:pPr>
            <w:r>
              <w:rPr>
                <w:rFonts w:ascii="Arial" w:cs="Arial" w:eastAsia="Arial" w:hAnsi="Arial"/>
                <w:sz w:val="18"/>
                <w:szCs w:val="18"/>
                <w:color w:val="auto"/>
              </w:rPr>
              <w:t>17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for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346,936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334,524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1,132,374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971,026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951,368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671,425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2,793,555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1,976,484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1,298,304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1,005,949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3,925,929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2,947,510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 (1)</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85,134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76,521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349,954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201,952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295,960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198,008</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381,094</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274,529</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1,233,093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797,798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124,070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141,249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142,580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239,845</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131,949</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733,434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(60,341)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(173,956)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Increase (decrease) in swap fair value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(64,215)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(50,390)</w:t>
            </w:r>
          </w:p>
        </w:tc>
        <w:tc>
          <w:tcPr>
            <w:tcW w:w="10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(124,984)</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(154,976)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(234,212)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189,455</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578,458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(4,270)</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(11,607)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566,851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306"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GAAP. In order to view the operations of their casinos on a more stand-alone basis, gaming companies, including Wynn Resorts, Limited, have historically excluded from their EBITDA calculations pre-opening expenses, property charges and other,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October 19, 2011, the Board of Directors of the Company declared a cash dividend of $0.50 per share, payable on November 16, 2011 to stockholders of record as of November 2, 2011.</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November 1, 2011, the Board of Directors of the Company declared a cash dividend of $5.00 per share, payable on December 21, 2011 to stockholders of record as of November 23, 2011.</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developing gaming regulatory frameworks);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240" w:top="459"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that a natural disaster may have on the travel and leisure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resort as our “Las Vegas Operations.” In the Macau Special Administrative Region of the People’s Republic of China (“Macau”), we own and operate Wynn Macau, which opened on September 6, 2006, and was subsequently expanded. On April 21, 2010 we opened Encore at Wynn Macau, a further expansion of Wynn Macau. We refer to the fully integrated Wynn Macau and Encore at Wynn Macau resort as our “Macau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October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8"/>
              </w:rPr>
              <w:t>Approximate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80" w:type="dxa"/>
            <w:vAlign w:val="bottom"/>
          </w:tcPr>
          <w:p>
            <w:pPr>
              <w:spacing w:after="0"/>
              <w:rPr>
                <w:sz w:val="12"/>
                <w:szCs w:val="12"/>
                <w:color w:val="auto"/>
              </w:rPr>
            </w:pPr>
          </w:p>
        </w:tc>
        <w:tc>
          <w:tcPr>
            <w:tcW w:w="17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r>
      <w:tr>
        <w:trPr>
          <w:trHeight w:val="149"/>
        </w:trPr>
        <w:tc>
          <w:tcPr>
            <w:tcW w:w="50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920" w:type="dxa"/>
            <w:vAlign w:val="bottom"/>
          </w:tcPr>
          <w:p>
            <w:pPr>
              <w:spacing w:after="0"/>
              <w:rPr>
                <w:sz w:val="12"/>
                <w:szCs w:val="12"/>
                <w:color w:val="auto"/>
              </w:rPr>
            </w:pPr>
          </w:p>
        </w:tc>
        <w:tc>
          <w:tcPr>
            <w:tcW w:w="21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16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Table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r>
      <w:tr>
        <w:trPr>
          <w:trHeight w:val="161"/>
        </w:trPr>
        <w:tc>
          <w:tcPr>
            <w:tcW w:w="5080" w:type="dxa"/>
            <w:vAlign w:val="bottom"/>
          </w:tcPr>
          <w:p>
            <w:pPr>
              <w:spacing w:after="0"/>
              <w:rPr>
                <w:sz w:val="14"/>
                <w:szCs w:val="14"/>
                <w:color w:val="auto"/>
              </w:rPr>
            </w:pPr>
          </w:p>
        </w:tc>
        <w:tc>
          <w:tcPr>
            <w:tcW w:w="17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Suites</w:t>
            </w:r>
          </w:p>
        </w:tc>
        <w:tc>
          <w:tcPr>
            <w:tcW w:w="2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Square Footage</w:t>
            </w:r>
          </w:p>
        </w:tc>
        <w:tc>
          <w:tcPr>
            <w:tcW w:w="16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Games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Slots</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4,750</w:t>
            </w:r>
          </w:p>
        </w:tc>
        <w:tc>
          <w:tcPr>
            <w:tcW w:w="9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186,000</w:t>
            </w:r>
          </w:p>
        </w:tc>
        <w:tc>
          <w:tcPr>
            <w:tcW w:w="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9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Macau Operations</w:t>
            </w:r>
          </w:p>
        </w:tc>
        <w:tc>
          <w:tcPr>
            <w:tcW w:w="1700" w:type="dxa"/>
            <w:vAlign w:val="bottom"/>
            <w:gridSpan w:val="2"/>
          </w:tcPr>
          <w:p>
            <w:pPr>
              <w:ind w:left="400"/>
              <w:spacing w:after="0"/>
              <w:rPr>
                <w:sz w:val="20"/>
                <w:szCs w:val="20"/>
                <w:color w:val="auto"/>
              </w:rPr>
            </w:pPr>
            <w:r>
              <w:rPr>
                <w:rFonts w:ascii="Arial" w:cs="Arial" w:eastAsia="Arial" w:hAnsi="Arial"/>
                <w:sz w:val="18"/>
                <w:szCs w:val="18"/>
                <w:color w:val="auto"/>
              </w:rPr>
              <w:t>1,008</w:t>
            </w:r>
          </w:p>
        </w:tc>
        <w:tc>
          <w:tcPr>
            <w:tcW w:w="2100" w:type="dxa"/>
            <w:vAlign w:val="bottom"/>
            <w:gridSpan w:val="2"/>
          </w:tcPr>
          <w:p>
            <w:pPr>
              <w:jc w:val="right"/>
              <w:ind w:right="900"/>
              <w:spacing w:after="0"/>
              <w:rPr>
                <w:sz w:val="20"/>
                <w:szCs w:val="20"/>
                <w:color w:val="auto"/>
              </w:rPr>
            </w:pPr>
            <w:r>
              <w:rPr>
                <w:rFonts w:ascii="Arial" w:cs="Arial" w:eastAsia="Arial" w:hAnsi="Arial"/>
                <w:sz w:val="18"/>
                <w:szCs w:val="18"/>
                <w:color w:val="auto"/>
              </w:rPr>
              <w:t>265,000</w:t>
            </w:r>
          </w:p>
        </w:tc>
        <w:tc>
          <w:tcPr>
            <w:tcW w:w="1680" w:type="dxa"/>
            <w:vAlign w:val="bottom"/>
            <w:gridSpan w:val="2"/>
          </w:tcPr>
          <w:p>
            <w:pPr>
              <w:jc w:val="right"/>
              <w:ind w:right="900"/>
              <w:spacing w:after="0"/>
              <w:rPr>
                <w:sz w:val="20"/>
                <w:szCs w:val="20"/>
                <w:color w:val="auto"/>
              </w:rPr>
            </w:pPr>
            <w:r>
              <w:rPr>
                <w:rFonts w:ascii="Arial" w:cs="Arial" w:eastAsia="Arial" w:hAnsi="Arial"/>
                <w:sz w:val="18"/>
                <w:szCs w:val="18"/>
                <w:color w:val="auto"/>
              </w:rPr>
              <w:t>500</w:t>
            </w:r>
          </w:p>
        </w:tc>
        <w:tc>
          <w:tcPr>
            <w:tcW w:w="76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217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97,000 square feet of high-end, brand-name retail shopping, including stores and boutiques by Alexander McQueen, Brioni, Cartier, Chanel, Dior, Graff, Hermes, Louis Vuitton, Manolo Blahnik, Oscar de la Renta, Vertu and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January 2011, we completed a refurbishment and upgrade to the resort rooms at Wynn Las Vegas. A remodel of the suites was completed in early May 2011. These remodels were completed at a cost of $61 million, substantially less than the project budget of $83 million.</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780" w:right="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a sky casino and a poker area;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54,200 square feet of high-end, brand-name retail shopping, including stores and boutiques by Bvlgari, Cartier, Chanel, Dior, Dunhill, Ferrari, Giorgio Armani, Gucci, Hermes, Hugo Boss, Louis Vuitton, Miu Miu, Piaget, Prada, Rolex, Tiffany, Tudor, Van Cleef &amp; Arpels, Versace, Vertu, Zegna and others;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Approximately 142 acres of land comprising Wynn Las Vegas is currently improved with a golf course. While we may develop this property in the future, we have no immediate plans to do so.</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2011, Palo Real Estate Company Limited and Wynn Resorts (Macau) S.A., each an indirect subsidiary of Wynn Macau Limited, formally accepted the terms and conditions of a draft land concession contract from the Macau government for approximately 51 acres of land in the Cotai area of Macau. Following government approval, we anticipate constructing a full scale integrated resort containing a casino, approximately 1,500 rooms, convention, retail, entertainment and food and beverage offerings on this land. We continue to finalize the project scope, timeline and budget.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results for the nine months ended September 30, 2011 include the operations of Encore at Wynn Macau for the full period, whereas the nine months ended September 30, 2010 only include the operations of Encore at Wynn Macau from its opening on April 21, 2010.</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517"/>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346,936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334,524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$ 1,132,374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971,026</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951,368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671,425</w:t>
            </w:r>
          </w:p>
        </w:tc>
        <w:tc>
          <w:tcPr>
            <w:tcW w:w="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2,793,555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1,976,484</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1,298,304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1,005,949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$ 3,925,929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2,947,510</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 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Condensed Consolidated Statement of Operations is presented. There are two methods used to calculate win percentage in the casino industry. In Las Vegas and in the general casino in Macau, customers usually purchase cash chips from gaming tables. The cash and net markers used to purchase the cash chips from gaming tables are deposited in the gaming table’s drop box. This is the base of measurement that we use in the casino at our Las Vegas Operations and in the general casino at our Macau Operations for calculating win percentage.</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the general casino. As a result, the expected win percentage with the same amount of gaming win is smaller in the VIP casino in Macau when compared to the general casino in Las Vegas and Macau.</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and customer playing habits between the two casinos. Each type of table game has its own theoretical win percentage.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2011 compared to the three months ended September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for the three months ended September 30, 2011 are comprised of $1,020.2 million in casino revenues (78.6% of total net revenues)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$278.1 million of net non-casino revenues (21.4% of total net revenues). Net revenues for the three months ended September 30, 2010 are comprised of $765.4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casino revenues (76.1% of total net revenues) and $240.5 million of net non-casino revenues (23.9% of total net revenues).</w:t>
      </w:r>
    </w:p>
    <w:p>
      <w:pPr>
        <w:spacing w:after="0" w:line="16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three months ended September 30, 2011 of $1,020.2 million represents a $254.8 million (or 33.3%) increase from casino revenues of $765.4 million for the three months ended September 30, 2010.</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Las Vegas Operations experienced an $11.5 million decrease in casino revenues, from $138.4 million for the three months ended September 30, 2010 to $126.9 million for the three months ended September 30, 2011. This decline is primarily due to a decrease in our average table games win percentage (before discounts) from 22.8% for the three months ended September 30, 2010 to 18.3% for the three months ended September 30, 2011. Our average table games win percentage for the three months ended September 30, 2011 was below the expected range of 21% to 24%. Table games drop for the quarter increased 10.7% compared to the prior year quarter. Slot machine handle at our Las Vegas Operations decreased 2.4% compared to the prior year quarter, however slot machine win increased 11.2% as our slot machine hold percentage increased for the quarter.</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at our Macau Operations, including Encore at Wynn Macau which opened on April 21, 2010, increased $266.3 million for the three months ended September 30, 2011, compared to the prior year quarter. We experienced a 47.3% increase in the VIP revenue segment due to a 45% increase in turnover and an increase in our win percentage compared to the prior year quarter. Our win as a percent of turnover was 2.95%, which compares to our expected range of 2.7% to 3.0%, and to 2.88% in the prior year quarter. In our general casino, drop increased 16.4% when compared to the prior year quarter and the average table games win percentage was 27.7%, which is within our revised expected range of 26% to 28%. The average table game win percentage at our Macau Operations for the three months ended September 30, 2010 was 22.8%. Slot machine handle increased 6.9% compared to the prior year quarter primarily due to increased visitation at our resort. Slot machine win increased by 10.3% due to this increase in handle and an increase in our hold percentage.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the three months ended September 30, 2011, room revenues were approximately $120.1 million, an increase of $18.5 million (18.3%) compared to prior year quarter room revenue of $101.6 million. Room revenue at our Las Vegas Operations increased $14.1 million (18.7%) compared to the prior year quarter. In Las Vegas, room rates increased during the three months ended September 30, 2011, compared to the three months ended September 30, 2010, and we also experienced a slight increase in occupancy rate. Room revenue at our Macau Operations increased approximately $4.4 million due to an increase in the average daily room rate and occupancy rate compared to the prior year quarter.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92"/>
              <w:spacing w:after="0"/>
              <w:rPr>
                <w:sz w:val="20"/>
                <w:szCs w:val="20"/>
                <w:color w:val="auto"/>
              </w:rPr>
            </w:pPr>
            <w:r>
              <w:rPr>
                <w:rFonts w:ascii="Arial" w:cs="Arial" w:eastAsia="Arial" w:hAnsi="Arial"/>
                <w:sz w:val="18"/>
                <w:szCs w:val="18"/>
                <w:color w:val="auto"/>
              </w:rPr>
              <w:t>240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93.7%</w:t>
            </w: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92"/>
              <w:spacing w:after="0"/>
              <w:rPr>
                <w:sz w:val="20"/>
                <w:szCs w:val="20"/>
                <w:color w:val="auto"/>
              </w:rPr>
            </w:pPr>
            <w:r>
              <w:rPr>
                <w:rFonts w:ascii="Arial" w:cs="Arial" w:eastAsia="Arial" w:hAnsi="Arial"/>
                <w:sz w:val="18"/>
                <w:szCs w:val="18"/>
                <w:color w:val="auto"/>
              </w:rPr>
              <w:t>212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Other non-casino revenues for the three months ended September 30, 2011 included food and beverage revenues of approximately $142.9 million, retail revenues of approximately $67.2 million, entertainment revenues of approximately $21.9 million, and other revenues from outlets, including the spa and salon, of approximately $16.4 million. Other non-casino revenues for the three months ended September 30, 2010 included food and beverage revenues of approximately $129.4 million, retail revenues of approximately $52.3 million, entertainment revenues of approximately $18.1 million, and other revenues from outlets such as the spa and salon, of approximately $15.5 million. Food and beverage revenues at our Las Vegas Operations increased $7.5 million (6.7%), while our Macau Operations increased $6 million (33.6%), as compared to the prior year quarter. The increase in Las Vegas is due primarily to business in our nightclubs, catering business and restaurants. The increase in Macau is primarily due to increased visitation to our resort. Retail revenues at our Macau Operations increased $14.1 million (44.6%), while retail at our Las Vegas Operations increased $0.8 million (3.9%). The increase at Wynn Macau is due primarily to strong same-store sales growth at our resort. Entertainment revenues increased over the prior year quarter primarily due to increased revenue from Garth Brooks performances and the Le Rêve production show, both in Las Vegas.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 three months ended September 30, 2011, departmental expenses included casino expenses of $679.5 million, room expenses of $31.1 million, food and beverage expenses of $73.3 million, and entertainment, retail and other expenses of $52.2 million. Also included are general and administrative expenses of approximately $107.9 million and $4.3 million charged as a provision for doubtful accounts receivable. For the three months ended September 30, 2010, departmental expenses included casino expenses of $500.3 million, room expenses of $30.6 million, food and beverage expenses of $72.2 million, and entertainment, retail and other expenses of $50.1 million. Also included are general and administrative expenses of approximately $103 million and approximately $0.9 million charged as a provision for doubtful accounts receivable. Casino expenses have increased for the three months ended September 30, 2011 over the prior year quarter due primarily to an increase in casino revenues at our Macau Operations where we incur a gaming revenue tax and other levies at a rate totaling 39% in accordance with the concession agreement. Room expenses were flat as the increase in revenue was primarily due to increased average daily rates. Food and beverage and entertainment, retail and other expenses increased commensurate with the increase in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Depreciation and amortization for the three months ended September 30, 2011 was $100.5 million compared to $99.3 million for the three months ended September 30, 2010.</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expenses will continue throughout the estimated useful lives of these assets. In addition, we continually evaluate the useful life of our property and equipment, intangibles and other assets and adjust them when warranted.</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August 2029, respectively. Consequently, depreciation related to Wynn Macau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Property charges and other for the three months ended September 30, 2011 were $9.7 million compared to $17.5 million for the three months ended September 30, 2010. For the three months ended September 30, 2011 property charges and other include miscellaneous renovations and abandonments at our resorts, including modification of the Encore at Wynn Las Vegas retail esplanade and the closure of our Blush nightclub.</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charges and other for the three months ended September 30, 2010 include a contract termination payment of $14.9 million related to a management contract for certain of the nightclubs at Wynn Las Vegas. The remaining charges were for miscellaneous renovations, abandonments and gain/loss on sale of equipment at our resorts.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Interest income was $2.7 million for the three months ended September 30, 2011 compared to $1 million for the three months ended September 30, 2010. During 2011 and 2010, our short-term investment strategy has been to preserve capital while retaining sufficient liquidity. While we have recently invested in certain corporate bond securities and commercial paper which contributed to the increase in interest income, the majority of our investments were in money market funds and time deposits with a maturity of three months or less.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was $57.5 million for the three months ended September 30, 2011, compared to $60.3 million for the three months ended September 30,</w:t>
      </w:r>
    </w:p>
    <w:p>
      <w:pPr>
        <w:spacing w:after="0" w:line="3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2010. We had no capitalized interest during either period. Our interest expense decreased compared to the prior year quarter primarily due to a decrease in amounts outstanding under our Wynn Las Vegas and Wynn Macau bank credit revolving facilities.</w:t>
      </w:r>
    </w:p>
    <w:p>
      <w:pPr>
        <w:spacing w:after="0" w:line="13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approximately $4.1 million for the three months ended September 30, 2011 resulting from the increase in the fair value of our interest rate swaps from June 30, 2011 to September 30, 2011. For the three months ended September 30, 2010 we recorded an expense of $0.4 million resulting from the decrease in the fair value of interest rate swaps between June 30, 2010 and September 30, 2010. For further information on our interest rate swaps, see Item 3 – “Quantitative and Qualitative Disclosures about Market Risk.”</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described in our 2010 Annual Report on Form 10-K, we completed a tender offer for our then outstanding 6 5/8% First Mortgage Notes due 2014 and subsequent call of all the remaining amounts once the tender was completed. In connection with this transaction, we recorded a loss on extinguishment of debt of $63 million. This included the tender offer consideration, the call premium and the related write off of the unamortized debt issue costs and original issue discount.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September 30, 2011 and 2010, we recorded tax expense of $4.3 million and $9 million, respectively. Our provision for income taxes is primarily comprised of increases in our domestic valuation allowance for U.S. foreign tax credits not expected to provide a U.S. tax benefit in future years, foreign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such repatriation. To the extent that book earnings exceed the tax earnings and profits of Wynn Macau, Limited, such excess is considered permanently invested. For the three months ended September 30, 2011 and 2010, we recognized income tax benefits related to excess tax deductions associated with stock compensation costs of $2.8 million and $3.6 million, respectively.</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On November 30, 2010 Wynn Macau, S.A. received an additional 5-year exemption through December 31, 2015. Accordingly, the Company was exempted from the payment of approximately $22.8 million and $13.2 million in such taxes during the three months ended September 30, 2011 and 2010, respectively. Our non-gaming profits remain subject to the Macau Complementary Tax and casino winnings remain subject to the Macau Special Gaming tax and other levies together totaling 39% in accordance with our concession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October 2009, Wynn Macau, Limited, an indirect wholly-owned subsidiary and the developer, owner and operator of Wynn Macau, had its ordinary shares of common stock listed on The Stock Exchange of Hong Kong Limited. Wynn Macau, Limited sold 1,437,500,000 shares (27.7%) of its common stock through an initial public offering. We recorded net income attributable to noncontrolling interests of $58.1 million for the three months ended September 30, 2011, compared to $31.5 million for the three months ended September 30, 2010. This represents the noncontrolling interests’ share of net income from Wynn Macau, Limited during each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2011 compared to the nine months ended September 30,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revenues for the nine months ended September 30, 2011 are comprised of $3,108.6 million in casino revenues (79.2% of total net revenues) and $817.4 million of net non-casino revenues (20.8% of total net revenues). Net revenues for the nine months ended September 30, 2010 are comprised of $2,246.2 million in casino revenues (76.2% of total net revenues) and $701.3 million of net non-casino revenues (23.8% of total net revenues).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Casino revenues are comprised of the net win from our table games and slot machine operations. Casino revenues for the nine months ended September 30, 2011 of $3,108.6 million represents a $862.4 million (or 38.4%) increase from casino revenues of $2,246.2 million for the nine months ended September 30, 2010.</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Las Vegas Operations experienced an $84.3 million increase in casino revenues compared to the prior year due to an 11.6% increase in drop and an increase in our average table games win percentage. Our average table games win percentage (before discounts) for the nine months ended September 30, 2011 was 25.4%, which was above the expected range of 21% to 24% and compares to 22.1% for the prior year. Slot machine handle at our Las Vegas Operations increased 2% compared to the prior year, and slot machine win increased 9.2% as more play shifted to higher hold slot machines.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Casino revenues at our Macau Operations, including Encore at Wynn Macau which opened on April 21, 2010, increased $778.1 million during the nine months ended September 30, 2011, compared to the prior year. We experienced a 39.9% increase in the VIP revenue segment due to a 46.9% increase in turnover, offset by a lower win percentage all compared to the prior year. Our win as a percent of turnover was 2.85%, which is within our expected range of 2.7% to 3.0%, and compares to 2.94% in the prior year. On April 21, 2010 we added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37 VIP tables with the opening of Encore, which helped drive some of the growth in our VIP segment during the nine months ended September 30, 2011 compared to the prior year. In our general casino drop increased 23.5% when compared to the prior year and the average table games win percentage was 27.8%, which is within our expected range of 26% to 28%. The average table game win percentage for the nine months ended September 30, 2010 was 22.6%. Slot machine handle increased 34.5% compared to the prior year as a result of increased visitation to our resort and the opening of Encore at Wynn Macau and slot machine win increased 36.7%.</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nine months ended September 30, 2011, room revenues were approximately $355.5 million, an increase of $60.5 million (20.5%) compared to prior year room revenue of $295 million. Room revenue at our Las Vegas Operations increased approximately $36.7 million (15.8%) compared to the prior year. In Las Vegas, we experienced an increase in room rates during the nine months ended September 30, 2011, compared to the nine months ended September 30, 2010, with a slight decrease in occupancy rate. Room revenue at our Macau Operations increased approximately $23.8 million (37.8%) due to the 414 additional suites added with the addition of Encore at Wynn Macau in April 2010 and increases in both occupancy rate and room rates compared to the prior year.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2011</w:t>
            </w:r>
          </w:p>
        </w:tc>
        <w:tc>
          <w:tcPr>
            <w:tcW w:w="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92"/>
              <w:spacing w:after="0"/>
              <w:rPr>
                <w:sz w:val="20"/>
                <w:szCs w:val="20"/>
                <w:color w:val="auto"/>
              </w:rPr>
            </w:pPr>
            <w:r>
              <w:rPr>
                <w:rFonts w:ascii="Arial" w:cs="Arial" w:eastAsia="Arial" w:hAnsi="Arial"/>
                <w:sz w:val="18"/>
                <w:szCs w:val="18"/>
                <w:color w:val="auto"/>
              </w:rPr>
              <w:t>240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tcPr>
          <w:p>
            <w:pPr>
              <w:spacing w:after="0"/>
              <w:rPr>
                <w:sz w:val="18"/>
                <w:szCs w:val="18"/>
                <w:color w:val="auto"/>
              </w:rPr>
            </w:pPr>
          </w:p>
        </w:tc>
        <w:tc>
          <w:tcPr>
            <w:tcW w:w="1380" w:type="dxa"/>
            <w:vAlign w:val="bottom"/>
            <w:gridSpan w:val="2"/>
          </w:tcPr>
          <w:p>
            <w:pPr>
              <w:jc w:val="right"/>
              <w:ind w:right="752"/>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86.0%</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92"/>
              <w:spacing w:after="0"/>
              <w:rPr>
                <w:sz w:val="20"/>
                <w:szCs w:val="20"/>
                <w:color w:val="auto"/>
              </w:rPr>
            </w:pPr>
            <w:r>
              <w:rPr>
                <w:rFonts w:ascii="Arial" w:cs="Arial" w:eastAsia="Arial" w:hAnsi="Arial"/>
                <w:sz w:val="18"/>
                <w:szCs w:val="18"/>
                <w:color w:val="auto"/>
              </w:rPr>
              <w:t>212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Other non-casino revenues for the nine months ended September 30, 2011 included food and beverage revenues of approximately $419.5 million, retail revenues of approximately $191.5 million, entertainment revenues of approximately $61.5 million, and other revenues from outlets such as the spa and salon, of approximately $53.9 million. Other non-gaming revenues for the nine months ended September 30, 2010 included food and beverage revenues of approximately $368.6 million, retail revenues of approximately $153.5 million, entertainment revenues of approximately $51.9 million, and other revenues from outlets, including the spa and salon, of approximately $50.4 million. Food and beverage revenues at our Las Vegas Operations increased approximately $32.2 million</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(10.1%), while our Macau Operations increased $18.7 million (37.9%), as compared to the prior year. The increase in Las Vegas is due primarily to business in our nightclubs including the opening of the Encore Beach Club and Surrender nightclub in May 2010 and increases in our catering and restaurant business. The increase in Macau is due to the opening of Encore at Wynn Macau and increased visitation. Retail revenues at our Macau Operations increased $34.8 million (37.5%), while retail at our Las Vegas Operations increased by $3.2 million (5.3%). The increase at Wynn Macau is due primarily to strong same-store sales growth and the addition of three new boutiques at Encore at Wynn Macau. Entertainment revenues increased over the prior year primarily due to increased revenue from Garth Brooks in the Encore Theater and the Sinatra “Dance with Me” show, both in Las Vegas. The Sinatra “Dance with Me” show ended its run on April 23, 2011.</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For the nine months ended September 30, 2011, departmental expenses included casino expenses of $1,988.3 million, room expenses of $93.6 million, food and beverage expenses of $214.2 million, and entertainment, retail and other expenses of $162.6 million. Also included are general and administrative expenses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approximately $287.5 million and $18.3 million charged as a provision for doubtful accounts receivable. For the nine months ended September 30, 2010, departmental expenses included casino expenses of $1,467.5 million, room expenses of $93.4 million, food and beverage expenses of $206.8 million, and entertainment, retail and other expenses of $147.8 million. Also included are general and administrative expenses of approximately $285.7 million and approximately $14.7 million charged as a provision for doubtful accounts receivable. Casino expenses have increased during the nine months ended September 30, 2011 due to an increase in casino revenues at our Las Vegas Operations, and at our Macau Operations where we incur a gaming tax and other levies at a rate totaling 39% in accordance with the concession agreement. Room expenses were flat as the increase in revenue was due to increased average daily rates. Food and beverage and entertainment, retail and other expenses increased commensurate with the increase in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incurred no pre-opening costs during the nine months ended September 30, 2011. For the nine months ended September 30, 2010, we incurred $9.1 million of pre-opening costs primarily related to Encore at Wynn Macau which opened on April 21, 2010 and the Encore Beach Club which opened in Las Vegas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Depreciation and amortization for the nine months ended September 30, 2011 was $303.9 million compared to $305.3 million for the nine months ended September 30, 2010. While there was little change between periods, assets with a 5-year life were fully depreciated as of April 2010 at Wynn Las Vegas, which was offset by depreciation of the assets of Encore at Wynn Macau which were placed into service in April 2010 and the assets of the Encore Beach Club and Surrender Nightclub in Las Vegas which were placed into service in May 2010.</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Property charges and other for the nine months ended September 30, 2011, were $124.1 million compared to $22.4 million for the nine months ended September 30, 2010. Property charges and other for the nine months ended September 30, 2011 include a charge of $108.5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our accompanying Condensed Consolidated Statements of Operations has been discounted using our current estimated borrowing rate over the time period of the remaining committed payments. Property charges and other for the nine months ended September 30, 2011 also include the write off of certain costs related to a show that ended its run in Las Vegas and miscellaneous renovations and abandonments at our resorts, including modifications of the Encore at Wynn Las Vegas retail esplanade and the closure of the Blush nightclub.</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Property charges and other for the nine months ended September 30, 2010 include a contract termination payment of $14.9 million related to a management contract for certain of the nightclubs at Wynn Las Vegas and miscellaneous renovations, abandonments and gain/loss on sale of equipment at our resorts.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Interest income was $4.6 million and $1.8 million for the nine months ended September 30, 2011 and 2010, respectively. During 2011 and 2010, our short-term investment strategy has been to preserve capital while retaining sufficient liquidity. While we have recently invested in certain corporate bond securities and commercial paper which contributed to the increase in interest income, the majority of our short-term investments were primarily in investments in money market accounts, U.S. Treasury Bills and time deposits with a maturity of three months or less.</w:t>
      </w:r>
    </w:p>
    <w:p>
      <w:pPr>
        <w:spacing w:after="0" w:line="113"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Interest expense was $174 million, net of capitalized interest of $0, for the nine months ended September 30, 2011, compared to $163.2 million, net of capitalized interest of $7.2 million, for the nine months September 30, 2010. Our interest expense increased compared to the prior year primarily due to a decrease in interest capitalized and an increase in interest rates on our first mortgage notes, offset by a decrease in amounts outstanding under our Wynn Las Vegas and Wynn Macau bank credit revolving facilities.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approximately $11.5 million for the nine months ended September 30, 2011 resulting from the increase in the fair value of our interest rate swaps from December 31, 2010 to September 30, 2011. For the nine months ended September 30, 2010 we recorded an expense of $5.6 million resulting from the decrease in the fair value of interest rate swaps between December 31, 2009 and September 30, 2010. For further information on our interest rate swaps, see Item 3 – “Quantitative and Qualitative Disclosures about Market Risk.”</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described in our 2010 Annual Report on Form 10-K, in April 2010 we completed an exchange offer for a portion of our outstanding 6 5/8% First Mortgage Notes (the “2014 Notes”). In connection with that exchange offer, the direct costs incurred with third parties of $4.4 million were expensed. Then in the third quarter of 2010, we completed a tender offer for the then outstanding 2014 Notes and subsequent call of all the remaining amounts once the tender was completed. In connection with this transaction, we recorded a loss on extinguishment of debt of $63 million. This included the tender offer consideration, the call premium and the related write off of the unamortized debt issue costs and original issue discount.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For the nine months ended September 30, 2011 and 2010, we recorded a tax expense of $11.6 million and $16 million, respectively. Our provision for income taxes is primarily comprised of increases in our domestic valuation allowance for U.S. foreign tax credits not expected to provide a U.S. tax benefit in future years,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such repatriation. To the extent that book earnings exceed the tax earnings and profits of Wynn Macau, Limited, such excess is considered permanently invested. For the nine months ended September 30, 2011 and 2010, we recognized income tax benefits related to excess tax deductions associated with stock compensation costs of $10.5 million and $5.5 million,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On November 30, 2010, Wynn Macau, S.A. received an additional 5-year exemption through December 31, 2015. Accordingly, we were exempted from the payment of approximately $57.3 million and $41.3 million in such taxes for the nine months ended September 30, 2011 and 2010, respectively. Our non-gaming profits remain subject to the Macau Complementary Tax and casino winnings remain subject to the Macau Special Gaming tax and other levies at a rate totaling 39% in accordance with our concession agreement.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nine months ended September 30, 2011, Wynn Macau, S.A. received the results of the Macau Finance Bureau’s examination of its 2006 and 2007 Macau Complementary Tax returns. During July 2011, Wynn Macau S.A. filed an appeal related to the examination’s disallowance of certain deductions claimed in its 2006 Macau Complementary Tax Return. In August 2011, the 2006 Macau tax issues under appeal were resolved. Included in income taxes payable is $1.1 million for Macau Complementary tax payable resulting from the 2006 examination and appeal resolution, substantially all of which was accrued in prior years. As the result of the resolution of these Macau tax issues and expiration of the statute of limitations for 2006 Macau Complementary tax assessments on December 31, 2011, it is reasonably possible that the total amount of unrecognized tax benefits will decrease during the next twelve months by $0 to $10.7 million. During October 2011, the IRS began an examination of our 2010 U.S. income tax return. Since the examination is in its initial stages we are unable to determine if it will be concluded within the next twelve months. We believe our liability for uncertain tax positions related to the period covered by this examination is adequate.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October 2009, Wynn Macau, Limited, an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$144 million for the nine months ended September 30, 2011, compared to $98.8 million for the nine months ended September 30, 2010. This represents the noncontrolling interests’ share of net income from Wynn Macau, Limited during each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non-recurring charges, which are not reflected in adjusted property EBITDA. Also, our calculation of adjusted property EBITDA may be different from the calculation methods used by other companies and, therefore, comparability may be limited.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summarizes adjusted property EBITDA (amounts in thousands) for our Las Vegas and Macau Operations as reviewed by management and summarized in “Notes to Condensed Consolidated Financial Statements – Note 18 Segment Information.” That footnote also presents a reconciliation of adjusted property EBITDA to net income (loss).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w w:val="96"/>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349,954</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$ 201,952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Macau Operations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295,960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198,008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883,139</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595,846</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381,094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274,529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1,233,093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$ 797,798</w:t>
            </w: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2011, our Las Vegas Operations benefited from a higher than normal table games win percentage (for the nine months only), improved ADR, and an overall increase in all other revenue streams including entertainment and food and beverage. While we experienced little change in our occupancy compared to the prior year, we were able to achieve an increase in ADR as we adjusted rates to attract a higher quality customer who would take advantage of all aspects of our resort. While we benefited from higher win percentages on our table games during the year-to-date period, and higher non-casino revenues during the quarter and year-to-date periods, the economic environment in the Las Vegas market is still uncertain.</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Macau Operations’ adjusted property EBITDA has increased as the Macau market continues to grow and as a result of our expansion of that resort as detailed in the discussions above regarding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cash provided by operations for the nine months ended September 30, 2011 was $1,149.1 million compared to $661.1 million provided by operations for the nine months ended September 30, 2010. This increase is primarily due to the increase in operating income as a result of increased operating department profitability at both our Las Vegas Operations and our Macau Operations, especially in the casino, room and food and beverage departments. Also contributing to this increase was the positive impact of ordinary working capital changes primarily driven by customer deposits, partially offset by an increase of $53.5 million of cash paid for interest for the nine months ended September 30,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require a certain amount of cash on hand for operations. At September 30, 2011, we had approximately $1.8 billion of cash and cash equivalents available for operations, debt service and retirement, development activities, general corporate purposes and enhancements to our resorts. Approximately $1.1 billion of our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balance at September 30, 2011 is held by Wynn Macau, Limited and its subsidiaries of which we own 72.3%. Approximately $470.2 million of our cash balance is held by Wynn Resorts, Limited, which is not a guarantor of the debt of its subsidiaries, including Wynn Las Vegas, LLC and Wynn Macau, S.A. As of September 30, 2011, we had $347.5 million available to draw under our Wynn Las Vegas Credit Facilities and $1 billion available to draw under our Wynn Macau Credit Facilities. Debt maturities for the remainder of 2011 are $37 million and over the next twelve months are $170.6 million. We believe that cash flow from operations and our existing cash balances will be adequate to satisfy our anticipated uses of capital during 2011.</w:t>
      </w:r>
    </w:p>
    <w:p>
      <w:pPr>
        <w:spacing w:after="0" w:line="1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Cash and cash equivalents include investments in money market accounts, domestic and foreign bank time deposits and commercial paper, all with maturities of less than 90 days.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Capital expenditures were $85.8 million for the nine months ended September 30, 2011, and related primarily to the room and suite remodel that began last year at Wynn Las Vegas and was completed in May 2011. Capital expenditures for the nine months ended September 30, 2010 were $229.6 million and related primarily to the construction of Encore at Wynn Macau and the Beach Club and Surrender Nightclub at Wynn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nine months ended September 30, 2011, we invested $281.6 million in corporate debt securities and commercial paper.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September 30, 2011, our Wynn Las Vegas credit facilities, as amended, (collectively the “Wynn Las Vegas Credit Facilities”) consisted of a $108.5 million revolving credit facility, due July 2013 and a $258.4 million revolving credit facility due July 2015 (together the “Wynn Las Vegas Revolver”), and a fully drawn $40.3 million term loan facility due August 2013 and a fully drawn $330.6 million term loan facility due August 2015 (together the “Wynn Las Vegas Term Loan”). During the nine months ended September 30, 2011, we repaid $20.1 million of borrowings under the Wynn Las Vegas Revolver and $4 million under the Wynn Las Vegas Term Loan. As of September 30, 2011, the Wynn Las Vegas Term Loan was fully drawn and we had no borrowings outstanding under the Wynn Las Vegas Revolver. We had $19.5 million of outstanding letters of credit that reduce our availability under the Wynn Las Vegas Revolver. Accordingly, we have availability of $347.5 million under the Wynn Las Vegas Revolver as of September 30, 2011.</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At Wynn Las Vegas, we currently have three first mortgage note issues outstanding;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$500 million First Mortgage Notes due 2017,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$352 million First Mortgage Notes due 2020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$1.3 billion First Mortgage notes due 2020 (collectively, the “Notes”). The Notes rank pari passu in right of payment with borrowings under the Wynn Las Vegas Credit Facilities noted above. The Notes are senior secured obligations of Wynn Las Vegas guaranteed by certain of Wynn Las Vegas, LLC’s subsidiaries and are secured on an equal and ratable basis (with certain exceptions) by a first priority lien on substantially all of the existing and future assets of Wynn Las Vegas, and subject to prior approval from the Nevada gaming authorities, a first priority lien on the equity interests of Wynn Las Vegas, LLC.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September 30, 2011, our Wynn Macau credit facilities, as amended, (collectively the “Wynn Macau Credit Facilities”) consisted of a $550 million equivalent fully-funded senior term loan facility (the “Wynn Macau Term Loan”), and a $1 billion equivalent senior revolving credit facility (the “Wynn Macau Revolver”) in a combination of Hong Kong and U.S. dollars. Wynn Macau, S.A. also has the ability to increase the total facilities by an additional $50 million pursuant to the terms and provisions of the Amended Common Terms Agreement. During the nine months ended September 30, 2011, we repaid $100.2 million of borrowings under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32" w:lineRule="auto"/>
        <w:rPr>
          <w:sz w:val="20"/>
          <w:szCs w:val="20"/>
          <w:color w:val="auto"/>
        </w:rPr>
      </w:pPr>
      <w:r>
        <w:rPr>
          <w:rFonts w:ascii="Arial" w:cs="Arial" w:eastAsia="Arial" w:hAnsi="Arial"/>
          <w:sz w:val="16"/>
          <w:szCs w:val="16"/>
          <w:color w:val="auto"/>
        </w:rPr>
        <w:t>the Wynn Macau Revolver and $37.6 million of the Wynn Macau Term Loan. As of September 30, 2011, the Wynn Macau Term Loan was fully drawn and we had no borrowings outstanding under the Wynn Macau Revolver. We have $1 billion of availability under the Wynn Macau Revolver as of September 30,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each of May 2011 and August 2011, we paid a cash dividend of $0.50 per common share. In each of May 2010 and August 2010, we paid a cash dividend of $0.25 per common share.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except for floating-for-fixed interest rate swaps described under Item 3—“Quantitative and Qualitative Disclosures About Market Risk.” We do not have any retained or contingent interest in assets transferred to an unconsolidated entity. At September 30, 2011, we had outstanding letters of credit totaling $19.5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than the combined paydown of $161.8 million under our Wynn Las Vegas and Wynn Macau Credit Facilities, and the obligations related to the Cotai site in Macau disclosed in Note 16, there have been no material changes during the quarter to our contractual obligations or off balance sheet arrangements as disclosed in our Annual Report on Form 10-K for the year ended December 31,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Credit Facilities contain similar restrictions. While the Wynn Macau Credit Facilities contain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availability under the Wynn Las Vegas Revolver.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2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debt-to-equity ratio and would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2010. There has been no material change to these policies for the nine months ended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our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September 2011, the FASB issued an accounting standards update that requires more information be disclosed about an employer’s financial obligations to a multiemployer pension plan. We participate in such a plan and will make the required disclosures in its annual report on Form 10-K for the year ending December 31, 2011. As the standard update requires additional disclosures only, we do not expect the implementation to have a material impact on its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2011, we have one interest rate swap intended to hedge a portion of the underlying interest rate risk on borrowings under the Wynn Las Vegas Credit Facilities. Under this swap agreement, we pay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under the Wynn Las Vegas Credit Facilities at approximately 5.485%. This interest rate swap agreement matures in November 2012. Changes in the fair value of this interest rate swap have been and will continue to be recorded as an increase/(decrease) in swap fair value in our Condensed Consolidated Statements of Operations as this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2011, we have one interest rate swap intended to hedge a portion of the underlying interest rate risk on borrowings under the Wynn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Macau Credit Facilities. Under this swap agreement we pay a fixed interest rate of 2.15% on borrowings of approximately HK$2.3 billion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U.S.$300 million) incurred under the Wynn Macau Credit Facilities in exchange for receipts on the same amount at a variable interest rate based on the applicable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HIBOR at the time of payment. This interest rate swap fixes the interest rate on HK$2.3 billion (approximately U.S.$300 million) of borrowings under the Wynn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 Credit Facilities at approximately 3.4%. This interest rate swap agreement matures in June 2012.</w:t>
      </w:r>
    </w:p>
    <w:p>
      <w:pPr>
        <w:spacing w:after="0" w:line="16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had two interest rate swap agreements to hedge a portion of the underlying interest rate risk on borrowings under the Wynn Macau Credit Facilities, both of which expired in August 2011. Under the first swap agreement, we paid a fixed interest rate of 3.632% on U.S. dollar borrowings of $153.8 million incurred under the Wynn Macau Credit Facilities in exchange for receipts on the same amount at a variable interest rate based on the applicable LIBOR at the time of payment. Under the second swap agreement, we paid a fixed interest rate of 3.39% on Hong Kong dollar borrowings of HK $991.6 million (approximately U.S.$127 million) incurred under the Wynn Macau Credit Facilities in exchange for receipts on the same amount at a variable interest rate based on the applicable HIBOR at the time of payment. Until they expired in August 2011, these interest rate swaps fixed the interest rates on the U.S. dollar and the Hong Kong dollar borrowings under the Wynn Macau Credit Facilities at 4.88% – 5.38% and 4.64%, respectively.</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Changes in the fair values of these interest rate swaps for each reporting period recorded are, and will continue to be, recognized as an increase/(decrease) in swap fair value in our Condensed Consolidated Statements of Operations as the swaps do not qualify for hedge accounting.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of our interest rate swap arrangements as of September 30, 2011 and December 31, 2010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r>
      <w:tr>
        <w:trPr>
          <w:trHeight w:val="161"/>
        </w:trPr>
        <w:tc>
          <w:tcPr>
            <w:tcW w:w="8120" w:type="dxa"/>
            <w:vAlign w:val="bottom"/>
          </w:tcPr>
          <w:p>
            <w:pPr>
              <w:spacing w:after="0"/>
              <w:rPr>
                <w:sz w:val="20"/>
                <w:szCs w:val="20"/>
                <w:color w:val="auto"/>
              </w:rPr>
            </w:pPr>
            <w:r>
              <w:rPr>
                <w:rFonts w:ascii="Arial" w:cs="Arial" w:eastAsia="Arial" w:hAnsi="Arial"/>
                <w:sz w:val="14"/>
                <w:szCs w:val="14"/>
                <w:b w:val="1"/>
                <w:bCs w:val="1"/>
                <w:color w:val="auto"/>
              </w:rPr>
              <w:t>Liability fair value: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Las Vegas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Macau</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Rate Swaps</w:t>
            </w:r>
          </w:p>
        </w:tc>
      </w:tr>
      <w:tr>
        <w:trPr>
          <w:trHeight w:val="210"/>
        </w:trPr>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September 30, 2011</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5,962</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December 31, 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8,457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spacing w:after="0"/>
              <w:rPr>
                <w:sz w:val="20"/>
                <w:szCs w:val="20"/>
                <w:color w:val="auto"/>
              </w:rPr>
            </w:pPr>
            <w:r>
              <w:rPr>
                <w:rFonts w:ascii="Arial" w:cs="Arial" w:eastAsia="Arial" w:hAnsi="Arial"/>
                <w:sz w:val="18"/>
                <w:szCs w:val="18"/>
                <w:color w:val="auto"/>
              </w:rPr>
              <w:t>12,992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We adjust this amount by applying a non-performance valuation, considering our creditworthiness or the creditworthiness of our counterparties at each settlement date as applicable.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As of September 30, 2011, approximately 87% of our long-term debt was based on fixed rates, including the notional amounts related to interest rate swaps. Based on our borrowings as of September 30, 2011, an assumed 1% change in variable rates would cause our annual interest cost to change by $3.9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2011, in addition to Hong Kong dollars, we also hold other foreign currencies, primarily CNH (offshore renminbi).</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64"/>
        <w:spacing w:after="0" w:line="286"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 16 to our Condensed Consolidated Financial Statements in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2010. There were no material changes to those risk factors during the nine months ended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November 2009, our Board of Directors approved the commencement of a regular quarterly cash dividend program beginning in 2010. On April 19, 2011, our Board of Directors declared a dividend of $0.50 per share which was paid on May 17, 2011 to stockholders of record as of May 3, 2011. On July 14, 2011, our Board of Directors declared a dividend of $0.50 per share, payable on August 11, 2011 to stockholders of record as of July 28, 2011. On October 19, 2011, our Board of Directors declared a dividend of $0.50 per share which is payable on November 16, 2011 to stockholders of record as of November 2, 2011. On November 1, 2011, our Board of Directors declared a dividend of $5.00 per share which is payable on December 21, 2011 to stockholders of record as of November 23, 2011.</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Credit Facilities contain similar restrictions. While the Wynn Macau Credit Facilities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July and August 2011, the Company repurchased a total of 37,753 shares at an average price of $153.95 per share in satisfaction of tax withholding obligations on vested restricted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16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440" w:type="dxa"/>
            <w:vAlign w:val="bottom"/>
          </w:tcPr>
          <w:p>
            <w:pPr>
              <w:spacing w:after="0"/>
              <w:rPr>
                <w:sz w:val="24"/>
                <w:szCs w:val="24"/>
                <w:color w:val="auto"/>
              </w:rPr>
            </w:pPr>
          </w:p>
        </w:tc>
      </w:tr>
      <w:tr>
        <w:trPr>
          <w:trHeight w:val="316"/>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Fourth Amended and Restated Bylaws of the Registrant, as amended. (2)</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Material terms of draft land concession contract. (3)</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Certification of CEO and CFO Pursuant to 18 U.S.C. Section 1350.</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89"/>
              </w:rPr>
              <w:t>The following financial information from the Company’s Quarterly Report on Form 10-Q for the quarter ended September 30, 2011, filed</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92"/>
              </w:rPr>
              <w:t>with the SEC on November 9, 2011 formatted in Extensible Business Reporting Language (XBRL): (i) the Condensed Consolidated</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89"/>
              </w:rPr>
              <w:t>Statements of Operations for the three and nine months ended September 30, 2011 and 2010, (ii) the Condensed Consolidated Balance</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w w:val="89"/>
              </w:rPr>
              <w:t>Sheets at September 30, 2011 and December 31 2010, (iii) the Condensed Consolidated Statements of Cash Flows for the nine months</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160" w:type="dxa"/>
            <w:vAlign w:val="bottom"/>
            <w:gridSpan w:val="3"/>
          </w:tcPr>
          <w:p>
            <w:pPr>
              <w:ind w:left="480"/>
              <w:spacing w:after="0"/>
              <w:rPr>
                <w:sz w:val="20"/>
                <w:szCs w:val="20"/>
                <w:color w:val="auto"/>
              </w:rPr>
            </w:pPr>
            <w:r>
              <w:rPr>
                <w:rFonts w:ascii="Arial" w:cs="Arial" w:eastAsia="Arial" w:hAnsi="Arial"/>
                <w:sz w:val="18"/>
                <w:szCs w:val="18"/>
                <w:color w:val="auto"/>
              </w:rPr>
              <w:t>ended September 30, 2011 and 2010, and (iv) Notes to Condensed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120" w:hanging="452"/>
        <w:spacing w:after="0" w:line="256"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be deemed to be not filed for purposes of Section 18 of the Exchange Act, or 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spacing w:after="0" w:line="62" w:lineRule="exact"/>
        <w:rPr>
          <w:sz w:val="20"/>
          <w:szCs w:val="20"/>
          <w:color w:val="auto"/>
        </w:rPr>
      </w:pPr>
    </w:p>
    <w:p>
      <w:pPr>
        <w:ind w:left="460" w:right="44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under Item 1.01 of the Current Report on Form 8-K file by the Registrant on September 12, 2011 and incorporated herein by reference.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RESORTS, LIMITED</w:t>
      </w:r>
    </w:p>
    <w:p>
      <w:pPr>
        <w:spacing w:after="0" w:line="177" w:lineRule="exact"/>
        <w:rPr>
          <w:sz w:val="20"/>
          <w:szCs w:val="20"/>
          <w:color w:val="auto"/>
        </w:rPr>
      </w:pPr>
    </w:p>
    <w:p>
      <w:pPr>
        <w:spacing w:after="0"/>
        <w:tabs>
          <w:tab w:leader="none" w:pos="5560" w:val="left"/>
          <w:tab w:leader="none" w:pos="7780" w:val="left"/>
          <w:tab w:leader="none" w:pos="8120" w:val="left"/>
        </w:tabs>
        <w:rPr>
          <w:sz w:val="20"/>
          <w:szCs w:val="20"/>
          <w:color w:val="auto"/>
        </w:rPr>
      </w:pPr>
      <w:r>
        <w:rPr>
          <w:rFonts w:ascii="Arial" w:cs="Arial" w:eastAsia="Arial" w:hAnsi="Arial"/>
          <w:sz w:val="18"/>
          <w:szCs w:val="18"/>
          <w:color w:val="auto"/>
        </w:rPr>
        <w:t>Dated: November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Matt Maddox</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40"/>
          </w:cols>
          <w:pgMar w:left="240" w:top="459" w:right="11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2011</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9, 2011</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 Maddox</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2011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Stephen A. Wynn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November 9, 2011</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Matt Maddox</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r>
        <w:trPr>
          <w:trHeight w:val="222"/>
        </w:trPr>
        <w:tc>
          <w:tcPr>
            <w:tcW w:w="64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November 9,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11"/>
    </w:lvl>
  </w:abstractNum>
  <w:abstractNum w:abstractNumId="4">
    <w:nsid w:val="140E0F76"/>
    <w:multiLevelType w:val="hybridMultilevel"/>
    <w:lvl w:ilvl="0">
      <w:lvlJc w:val="left"/>
      <w:lvlText w:val="%1."/>
      <w:numFmt w:val="decimal"/>
      <w:start w:val="16"/>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2019-12-10T22:51:31Z</dcterms:created>
  <dcterms:modified xsi:type="dcterms:W3CDTF">2019-12-10T22:51:31Z</dcterms:modified>
</cp:coreProperties>
</file>