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960"/>
              <w:spacing w:after="0"/>
              <w:rPr>
                <w:sz w:val="20"/>
                <w:szCs w:val="20"/>
                <w:color w:val="auto"/>
              </w:rPr>
            </w:pPr>
            <w:r>
              <w:rPr>
                <w:rFonts w:ascii="Arial" w:cs="Arial" w:eastAsia="Arial" w:hAnsi="Arial"/>
                <w:sz w:val="18"/>
                <w:szCs w:val="18"/>
                <w:b w:val="1"/>
                <w:bCs w:val="1"/>
                <w:color w:val="auto"/>
              </w:rPr>
              <w:t>000-50028</w:t>
            </w:r>
          </w:p>
        </w:tc>
        <w:tc>
          <w:tcPr>
            <w:tcW w:w="21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940"/>
              <w:spacing w:after="0"/>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56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4"/>
        </w:trPr>
        <w:tc>
          <w:tcPr>
            <w:tcW w:w="2740" w:type="dxa"/>
            <w:vAlign w:val="bottom"/>
          </w:tcPr>
          <w:p>
            <w:pPr>
              <w:jc w:val="center"/>
              <w:ind w:right="139"/>
              <w:spacing w:after="0"/>
              <w:rPr>
                <w:sz w:val="20"/>
                <w:szCs w:val="20"/>
                <w:color w:val="auto"/>
              </w:rPr>
            </w:pPr>
            <w:r>
              <w:rPr>
                <w:rFonts w:ascii="Arial" w:cs="Arial" w:eastAsia="Arial" w:hAnsi="Arial"/>
                <w:sz w:val="18"/>
                <w:szCs w:val="18"/>
                <w:b w:val="1"/>
                <w:bCs w:val="1"/>
                <w:color w:val="auto"/>
                <w:w w:val="88"/>
              </w:rPr>
              <w:t>Las Vegas, Nevada</w:t>
            </w:r>
          </w:p>
        </w:tc>
        <w:tc>
          <w:tcPr>
            <w:tcW w:w="4560" w:type="dxa"/>
            <w:vAlign w:val="bottom"/>
          </w:tcPr>
          <w:p>
            <w:pPr>
              <w:spacing w:after="0"/>
              <w:rPr>
                <w:sz w:val="20"/>
                <w:szCs w:val="20"/>
                <w:color w:val="auto"/>
              </w:rPr>
            </w:pPr>
          </w:p>
        </w:tc>
        <w:tc>
          <w:tcPr>
            <w:tcW w:w="21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8"/>
                <w:szCs w:val="18"/>
                <w:color w:val="auto"/>
              </w:rPr>
            </w:pP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408"/>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100" w:type="dxa"/>
            <w:vAlign w:val="bottom"/>
          </w:tcPr>
          <w:p>
            <w:pPr>
              <w:spacing w:after="0"/>
              <w:rPr>
                <w:sz w:val="16"/>
                <w:szCs w:val="16"/>
                <w:color w:val="auto"/>
              </w:rPr>
            </w:pPr>
          </w:p>
        </w:tc>
      </w:tr>
      <w:tr>
        <w:trPr>
          <w:trHeight w:val="134"/>
        </w:trPr>
        <w:tc>
          <w:tcPr>
            <w:tcW w:w="2740" w:type="dxa"/>
            <w:vAlign w:val="bottom"/>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r>
    </w:tbl>
    <w:p>
      <w:pPr>
        <w:spacing w:after="0" w:line="32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210185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38"/>
        </w:trPr>
        <w:tc>
          <w:tcPr>
            <w:tcW w:w="1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40" w:type="dxa"/>
            <w:vAlign w:val="bottom"/>
          </w:tcPr>
          <w:p>
            <w:pPr>
              <w:spacing w:after="0"/>
              <w:rPr>
                <w:sz w:val="24"/>
                <w:szCs w:val="24"/>
                <w:color w:val="auto"/>
              </w:rPr>
            </w:pPr>
          </w:p>
        </w:tc>
        <w:tc>
          <w:tcPr>
            <w:tcW w:w="25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4560" w:type="dxa"/>
            <w:vAlign w:val="bottom"/>
            <w:gridSpan w:val="3"/>
          </w:tcPr>
          <w:p>
            <w:pPr>
              <w:jc w:val="center"/>
              <w:ind w:right="900"/>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Pr>
          <w:p>
            <w:pPr>
              <w:spacing w:after="0"/>
              <w:rPr>
                <w:sz w:val="24"/>
                <w:szCs w:val="24"/>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8"/>
                <w:szCs w:val="18"/>
                <w:color w:val="auto"/>
              </w:rPr>
              <w:t>WYNN</w:t>
            </w:r>
          </w:p>
        </w:tc>
        <w:tc>
          <w:tcPr>
            <w:tcW w:w="7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ectPr>
          <w:pgSz w:w="11900" w:h="16838" w:orient="portrait"/>
          <w:cols w:equalWidth="0" w:num="1">
            <w:col w:w="11400"/>
          </w:cols>
          <w:pgMar w:left="240" w:top="747" w:right="2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70"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On May 7, 2019, Wynn Resorts, Limited (the "Company") held its 2019 Annual Meeting of Stockholders (the "Annual Meeting"). The proposals voted upon at the Annual Meeting and the final results of the stockholder vote on each proposal, as certified by American Election Services, LLC, the independent inspector of elections for the Annual Meeting, were as follows: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elect three Class II directors, each to serve until the 2022 Annual Meeting of Stockholders: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 Nominees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Votes Withheld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Jay L. Johnson</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74,875,291</w:t>
            </w:r>
          </w:p>
        </w:tc>
        <w:tc>
          <w:tcPr>
            <w:tcW w:w="1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4,057,801</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10,046,033</w:t>
            </w:r>
          </w:p>
        </w:tc>
      </w:tr>
      <w:tr>
        <w:trPr>
          <w:trHeight w:val="27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Margaret J. Myers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77,365,095</w:t>
            </w:r>
          </w:p>
        </w:tc>
        <w:tc>
          <w:tcPr>
            <w:tcW w:w="1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1,567,997</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10,046,033</w:t>
            </w:r>
          </w:p>
        </w:tc>
      </w:tr>
      <w:tr>
        <w:trPr>
          <w:trHeight w:val="27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Winifred M. Webb</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78,318,252</w:t>
            </w:r>
          </w:p>
        </w:tc>
        <w:tc>
          <w:tcPr>
            <w:tcW w:w="1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614,840</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10,046,033</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Company’s independent registered public accounting firm for the fiscal year ending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87,912,566</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825,008</w:t>
            </w:r>
          </w:p>
        </w:tc>
        <w:tc>
          <w:tcPr>
            <w:tcW w:w="120" w:type="dxa"/>
            <w:vAlign w:val="bottom"/>
          </w:tcPr>
          <w:p>
            <w:pPr>
              <w:spacing w:after="0"/>
              <w:rPr>
                <w:sz w:val="20"/>
                <w:szCs w:val="20"/>
                <w:color w:val="auto"/>
              </w:rPr>
            </w:pPr>
          </w:p>
        </w:tc>
        <w:tc>
          <w:tcPr>
            <w:tcW w:w="2720" w:type="dxa"/>
            <w:vAlign w:val="bottom"/>
          </w:tcPr>
          <w:p>
            <w:pPr>
              <w:ind w:left="1060"/>
              <w:spacing w:after="0"/>
              <w:rPr>
                <w:sz w:val="20"/>
                <w:szCs w:val="20"/>
                <w:color w:val="auto"/>
              </w:rPr>
            </w:pPr>
            <w:r>
              <w:rPr>
                <w:rFonts w:ascii="Arial" w:cs="Arial" w:eastAsia="Arial" w:hAnsi="Arial"/>
                <w:sz w:val="18"/>
                <w:szCs w:val="18"/>
                <w:color w:val="auto"/>
              </w:rPr>
              <w:t>241,551</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3: Approval, on an Advisory Basis, of our Executive Compensation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 approve, on a non-binding advisory basis, the compensation of the Company’s named executive officers as described in the Proxy Statement: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810"/>
              <w:spacing w:after="0"/>
              <w:rPr>
                <w:sz w:val="20"/>
                <w:szCs w:val="20"/>
                <w:color w:val="auto"/>
              </w:rPr>
            </w:pPr>
            <w:r>
              <w:rPr>
                <w:rFonts w:ascii="Arial" w:cs="Arial" w:eastAsia="Arial" w:hAnsi="Arial"/>
                <w:sz w:val="18"/>
                <w:szCs w:val="18"/>
                <w:color w:val="auto"/>
              </w:rPr>
              <w:t>75,899,209</w:t>
            </w:r>
          </w:p>
        </w:tc>
        <w:tc>
          <w:tcPr>
            <w:tcW w:w="120" w:type="dxa"/>
            <w:vAlign w:val="bottom"/>
          </w:tcPr>
          <w:p>
            <w:pPr>
              <w:spacing w:after="0"/>
              <w:rPr>
                <w:sz w:val="20"/>
                <w:szCs w:val="20"/>
                <w:color w:val="auto"/>
              </w:rPr>
            </w:pPr>
          </w:p>
        </w:tc>
        <w:tc>
          <w:tcPr>
            <w:tcW w:w="2840" w:type="dxa"/>
            <w:vAlign w:val="bottom"/>
          </w:tcPr>
          <w:p>
            <w:pPr>
              <w:jc w:val="right"/>
              <w:ind w:right="970"/>
              <w:spacing w:after="0"/>
              <w:rPr>
                <w:sz w:val="20"/>
                <w:szCs w:val="20"/>
                <w:color w:val="auto"/>
              </w:rPr>
            </w:pPr>
            <w:r>
              <w:rPr>
                <w:rFonts w:ascii="Arial" w:cs="Arial" w:eastAsia="Arial" w:hAnsi="Arial"/>
                <w:sz w:val="18"/>
                <w:szCs w:val="18"/>
                <w:color w:val="auto"/>
              </w:rPr>
              <w:t>2,965,520</w:t>
            </w:r>
          </w:p>
        </w:tc>
        <w:tc>
          <w:tcPr>
            <w:tcW w:w="120" w:type="dxa"/>
            <w:vAlign w:val="bottom"/>
          </w:tcPr>
          <w:p>
            <w:pPr>
              <w:spacing w:after="0"/>
              <w:rPr>
                <w:sz w:val="20"/>
                <w:szCs w:val="20"/>
                <w:color w:val="auto"/>
              </w:rPr>
            </w:pPr>
          </w:p>
        </w:tc>
        <w:tc>
          <w:tcPr>
            <w:tcW w:w="2700" w:type="dxa"/>
            <w:vAlign w:val="bottom"/>
          </w:tcPr>
          <w:p>
            <w:pPr>
              <w:jc w:val="right"/>
              <w:ind w:right="1010"/>
              <w:spacing w:after="0"/>
              <w:rPr>
                <w:sz w:val="20"/>
                <w:szCs w:val="20"/>
                <w:color w:val="auto"/>
              </w:rPr>
            </w:pPr>
            <w:r>
              <w:rPr>
                <w:rFonts w:ascii="Arial" w:cs="Arial" w:eastAsia="Arial" w:hAnsi="Arial"/>
                <w:sz w:val="18"/>
                <w:szCs w:val="18"/>
                <w:color w:val="auto"/>
              </w:rPr>
              <w:t>68,363</w:t>
            </w:r>
          </w:p>
        </w:tc>
        <w:tc>
          <w:tcPr>
            <w:tcW w:w="120" w:type="dxa"/>
            <w:vAlign w:val="bottom"/>
          </w:tcPr>
          <w:p>
            <w:pPr>
              <w:spacing w:after="0"/>
              <w:rPr>
                <w:sz w:val="20"/>
                <w:szCs w:val="20"/>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10,046,033</w:t>
            </w: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4: Stockholder Proposal Requesting A Political Contributions Report</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Votes Against</w:t>
            </w:r>
          </w:p>
        </w:tc>
        <w:tc>
          <w:tcPr>
            <w:tcW w:w="282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810"/>
              <w:spacing w:after="0"/>
              <w:rPr>
                <w:sz w:val="20"/>
                <w:szCs w:val="20"/>
                <w:color w:val="auto"/>
              </w:rPr>
            </w:pPr>
            <w:r>
              <w:rPr>
                <w:rFonts w:ascii="Arial" w:cs="Arial" w:eastAsia="Arial" w:hAnsi="Arial"/>
                <w:sz w:val="18"/>
                <w:szCs w:val="18"/>
                <w:color w:val="auto"/>
              </w:rPr>
              <w:t>26,985,605</w:t>
            </w:r>
          </w:p>
        </w:tc>
        <w:tc>
          <w:tcPr>
            <w:tcW w:w="120" w:type="dxa"/>
            <w:vAlign w:val="bottom"/>
          </w:tcPr>
          <w:p>
            <w:pPr>
              <w:spacing w:after="0"/>
              <w:rPr>
                <w:sz w:val="20"/>
                <w:szCs w:val="20"/>
                <w:color w:val="auto"/>
              </w:rPr>
            </w:pPr>
          </w:p>
        </w:tc>
        <w:tc>
          <w:tcPr>
            <w:tcW w:w="2860" w:type="dxa"/>
            <w:vAlign w:val="bottom"/>
          </w:tcPr>
          <w:p>
            <w:pPr>
              <w:jc w:val="right"/>
              <w:ind w:right="930"/>
              <w:spacing w:after="0"/>
              <w:rPr>
                <w:sz w:val="20"/>
                <w:szCs w:val="20"/>
                <w:color w:val="auto"/>
              </w:rPr>
            </w:pPr>
            <w:r>
              <w:rPr>
                <w:rFonts w:ascii="Arial" w:cs="Arial" w:eastAsia="Arial" w:hAnsi="Arial"/>
                <w:sz w:val="18"/>
                <w:szCs w:val="18"/>
                <w:color w:val="auto"/>
              </w:rPr>
              <w:t>51,552,565</w:t>
            </w:r>
          </w:p>
        </w:tc>
        <w:tc>
          <w:tcPr>
            <w:tcW w:w="100" w:type="dxa"/>
            <w:vAlign w:val="bottom"/>
          </w:tcPr>
          <w:p>
            <w:pPr>
              <w:spacing w:after="0"/>
              <w:rPr>
                <w:sz w:val="20"/>
                <w:szCs w:val="20"/>
                <w:color w:val="auto"/>
              </w:rPr>
            </w:pPr>
          </w:p>
        </w:tc>
        <w:tc>
          <w:tcPr>
            <w:tcW w:w="2720" w:type="dxa"/>
            <w:vAlign w:val="bottom"/>
          </w:tcPr>
          <w:p>
            <w:pPr>
              <w:ind w:left="1080"/>
              <w:spacing w:after="0"/>
              <w:rPr>
                <w:sz w:val="20"/>
                <w:szCs w:val="20"/>
                <w:color w:val="auto"/>
              </w:rPr>
            </w:pPr>
            <w:r>
              <w:rPr>
                <w:rFonts w:ascii="Arial" w:cs="Arial" w:eastAsia="Arial" w:hAnsi="Arial"/>
                <w:sz w:val="18"/>
                <w:szCs w:val="18"/>
                <w:color w:val="auto"/>
              </w:rPr>
              <w:t>394,922</w:t>
            </w:r>
          </w:p>
        </w:tc>
        <w:tc>
          <w:tcPr>
            <w:tcW w:w="10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Arial" w:cs="Arial" w:eastAsia="Arial" w:hAnsi="Arial"/>
                <w:sz w:val="18"/>
                <w:szCs w:val="18"/>
                <w:color w:val="auto"/>
              </w:rPr>
              <w:t>10,046,033</w:t>
            </w:r>
          </w:p>
        </w:tc>
      </w:tr>
    </w:tbl>
    <w:p>
      <w:pPr>
        <w:sectPr>
          <w:pgSz w:w="11900" w:h="16838" w:orient="portrait"/>
          <w:cols w:equalWidth="0" w:num="1">
            <w:col w:w="11420"/>
          </w:cols>
          <w:pgMar w:left="240" w:top="1013" w:right="239" w:bottom="1440" w:gutter="0" w:footer="0" w:header="0"/>
        </w:sectPr>
      </w:pPr>
    </w:p>
    <w:bookmarkStart w:id="2" w:name="page3"/>
    <w:bookmarkEnd w:id="2"/>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180" w:val="left"/>
          <w:tab w:leader="none" w:pos="6980" w:val="left"/>
        </w:tabs>
        <w:rPr>
          <w:sz w:val="20"/>
          <w:szCs w:val="20"/>
          <w:color w:val="auto"/>
        </w:rPr>
      </w:pPr>
      <w:r>
        <w:rPr>
          <w:rFonts w:ascii="Arial" w:cs="Arial" w:eastAsia="Arial" w:hAnsi="Arial"/>
          <w:sz w:val="18"/>
          <w:szCs w:val="18"/>
          <w:color w:val="auto"/>
        </w:rPr>
        <w:t>Dated: May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2019-12-02T19:42:58Z</dcterms:created>
  <dcterms:modified xsi:type="dcterms:W3CDTF">2019-12-02T19:42:58Z</dcterms:modified>
</cp:coreProperties>
</file>