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881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819515"/>
                    </a:xfrm>
                    <a:prstGeom prst="rect">
                      <a:avLst/>
                    </a:prstGeom>
                    <a:noFill/>
                  </pic:spPr>
                </pic:pic>
              </a:graphicData>
            </a:graphic>
          </wp:anchor>
        </w:drawing>
      </w:r>
    </w:p>
    <w:p>
      <w:pPr>
        <w:spacing w:after="0" w:line="1085" w:lineRule="exact"/>
        <w:rPr>
          <w:sz w:val="24"/>
          <w:szCs w:val="24"/>
          <w:color w:val="auto"/>
        </w:rPr>
      </w:pPr>
    </w:p>
    <w:p>
      <w:pPr>
        <w:sectPr>
          <w:pgSz w:w="11900" w:h="16953"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FERTITTA TILMAN J</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WYNN RESORTS LTD</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03/21/2025</w:t>
      </w:r>
    </w:p>
    <w:p>
      <w:pPr>
        <w:spacing w:after="0" w:line="20" w:lineRule="exact"/>
        <w:rPr>
          <w:sz w:val="24"/>
          <w:szCs w:val="24"/>
          <w:color w:val="auto"/>
        </w:rPr>
      </w:pPr>
      <w:r>
        <w:rPr>
          <w:sz w:val="24"/>
          <w:szCs w:val="24"/>
          <w:color w:val="auto"/>
        </w:rPr>
        <w:br w:type="column"/>
      </w:r>
    </w:p>
    <w:p>
      <w:pPr>
        <w:ind w:left="-3" w:right="720" w:firstLine="3"/>
        <w:spacing w:after="0" w:line="281"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7"/>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3" w:lineRule="exact"/>
        <w:rPr>
          <w:sz w:val="24"/>
          <w:szCs w:val="24"/>
          <w:color w:val="auto"/>
        </w:rPr>
      </w:pPr>
    </w:p>
    <w:p>
      <w:pPr>
        <w:sectPr>
          <w:pgSz w:w="11900" w:h="16953" w:orient="portrait"/>
          <w:cols w:equalWidth="0" w:num="3">
            <w:col w:w="3180" w:space="720"/>
            <w:col w:w="3123" w:space="720"/>
            <w:col w:w="3337"/>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500" w:type="dxa"/>
            <w:vAlign w:val="bottom"/>
            <w:gridSpan w:val="9"/>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10"/>
          </w:tcPr>
          <w:p>
            <w:pPr>
              <w:ind w:left="4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ind w:left="480"/>
              <w:spacing w:after="0"/>
              <w:rPr>
                <w:sz w:val="20"/>
                <w:szCs w:val="20"/>
                <w:color w:val="auto"/>
              </w:rPr>
            </w:pPr>
            <w:r>
              <w:rPr>
                <w:rFonts w:ascii="Arial" w:cs="Arial" w:eastAsia="Arial" w:hAnsi="Arial"/>
                <w:sz w:val="12"/>
                <w:szCs w:val="12"/>
                <w:color w:val="auto"/>
                <w:w w:val="97"/>
              </w:rPr>
              <w:t>Line)</w:t>
            </w:r>
          </w:p>
        </w:tc>
        <w:tc>
          <w:tcPr>
            <w:tcW w:w="60" w:type="dxa"/>
            <w:vAlign w:val="bottom"/>
          </w:tcPr>
          <w:p>
            <w:pPr>
              <w:spacing w:after="0"/>
              <w:rPr>
                <w:sz w:val="14"/>
                <w:szCs w:val="14"/>
                <w:color w:val="auto"/>
              </w:rPr>
            </w:pPr>
          </w:p>
        </w:tc>
        <w:tc>
          <w:tcPr>
            <w:tcW w:w="228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77027</w:t>
            </w: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0" w:type="dxa"/>
            <w:vAlign w:val="bottom"/>
            <w:gridSpan w:val="7"/>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gridSpan w:val="2"/>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540" w:type="dxa"/>
            <w:vAlign w:val="bottom"/>
            <w:tcBorders>
              <w:top w:val="single" w:sz="8" w:color="2C2C2C"/>
            </w:tcBorders>
            <w:gridSpan w:val="16"/>
          </w:tcPr>
          <w:p>
            <w:pPr>
              <w:jc w:val="center"/>
              <w:ind w:right="2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3"/>
          </w:tcPr>
          <w:p>
            <w:pPr>
              <w:ind w:left="58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color w:val="0000FF"/>
              </w:rPr>
              <w:t>03/21/2025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5,025</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80.9859</w:t>
            </w:r>
          </w:p>
        </w:tc>
        <w:tc>
          <w:tcPr>
            <w:tcW w:w="60" w:type="dxa"/>
            <w:vAlign w:val="bottom"/>
          </w:tcPr>
          <w:p>
            <w:pPr>
              <w:spacing w:after="0"/>
              <w:rPr>
                <w:sz w:val="20"/>
                <w:szCs w:val="20"/>
                <w:color w:val="auto"/>
              </w:rPr>
            </w:pP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10,905,025</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600" w:type="dxa"/>
            <w:vAlign w:val="bottom"/>
            <w:tcBorders>
              <w:top w:val="single" w:sz="8" w:color="2C2C2C"/>
            </w:tcBorders>
            <w:gridSpan w:val="3"/>
            <w:vMerge w:val="restart"/>
          </w:tcPr>
          <w:p>
            <w:pPr>
              <w:ind w:left="680"/>
              <w:spacing w:after="0"/>
              <w:rPr>
                <w:sz w:val="20"/>
                <w:szCs w:val="20"/>
                <w:color w:val="auto"/>
              </w:rPr>
            </w:pPr>
            <w:r>
              <w:rPr>
                <w:rFonts w:ascii="Times New Roman" w:cs="Times New Roman" w:eastAsia="Times New Roman" w:hAnsi="Times New Roman"/>
                <w:sz w:val="16"/>
                <w:szCs w:val="16"/>
                <w:color w:val="0000FF"/>
              </w:rPr>
              <w:t>03/24/2025</w:t>
            </w:r>
          </w:p>
        </w:tc>
        <w:tc>
          <w:tcPr>
            <w:tcW w:w="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1,683,500</w:t>
            </w:r>
          </w:p>
        </w:tc>
        <w:tc>
          <w:tcPr>
            <w:tcW w:w="5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85.7333</w:t>
            </w:r>
          </w:p>
        </w:tc>
        <w:tc>
          <w:tcPr>
            <w:tcW w:w="60" w:type="dxa"/>
            <w:vAlign w:val="bottom"/>
            <w:tcBorders>
              <w:top w:val="single" w:sz="8" w:color="2C2C2C"/>
            </w:tcBorders>
          </w:tcPr>
          <w:p>
            <w:pPr>
              <w:spacing w:after="0"/>
              <w:rPr>
                <w:sz w:val="20"/>
                <w:szCs w:val="20"/>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12,588,525</w:t>
            </w: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600" w:type="dxa"/>
            <w:vAlign w:val="bottom"/>
            <w:tcBorders>
              <w:top w:val="single" w:sz="8" w:color="2C2C2C"/>
            </w:tcBorders>
            <w:gridSpan w:val="3"/>
            <w:vMerge w:val="restart"/>
          </w:tcPr>
          <w:p>
            <w:pPr>
              <w:ind w:left="680"/>
              <w:spacing w:after="0"/>
              <w:rPr>
                <w:sz w:val="20"/>
                <w:szCs w:val="20"/>
                <w:color w:val="auto"/>
              </w:rPr>
            </w:pPr>
            <w:r>
              <w:rPr>
                <w:rFonts w:ascii="Times New Roman" w:cs="Times New Roman" w:eastAsia="Times New Roman" w:hAnsi="Times New Roman"/>
                <w:sz w:val="16"/>
                <w:szCs w:val="16"/>
                <w:color w:val="0000FF"/>
              </w:rPr>
              <w:t>03/24/2025</w:t>
            </w:r>
          </w:p>
        </w:tc>
        <w:tc>
          <w:tcPr>
            <w:tcW w:w="1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2"/>
                <w:szCs w:val="12"/>
                <w:color w:val="0000FF"/>
              </w:rPr>
              <w:t>P</w:t>
            </w:r>
          </w:p>
        </w:tc>
        <w:tc>
          <w:tcPr>
            <w:tcW w:w="7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11,475</w:t>
            </w:r>
          </w:p>
        </w:tc>
        <w:tc>
          <w:tcPr>
            <w:tcW w:w="56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84.9279</w:t>
            </w:r>
          </w:p>
        </w:tc>
        <w:tc>
          <w:tcPr>
            <w:tcW w:w="60" w:type="dxa"/>
            <w:vAlign w:val="bottom"/>
            <w:tcBorders>
              <w:top w:val="single" w:sz="8" w:color="2C2C2C"/>
            </w:tcBorders>
          </w:tcPr>
          <w:p>
            <w:pPr>
              <w:spacing w:after="0"/>
              <w:rPr>
                <w:sz w:val="20"/>
                <w:szCs w:val="20"/>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12,600,000</w:t>
            </w:r>
          </w:p>
        </w:tc>
        <w:tc>
          <w:tcPr>
            <w:tcW w:w="5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8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9. Number of</w:t>
            </w: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220"/>
              <w:spacing w:after="0" w:line="125" w:lineRule="exact"/>
              <w:rPr>
                <w:sz w:val="20"/>
                <w:szCs w:val="20"/>
                <w:color w:val="auto"/>
              </w:rPr>
            </w:pPr>
            <w:r>
              <w:rPr>
                <w:rFonts w:ascii="Arial" w:cs="Arial" w:eastAsia="Arial" w:hAnsi="Arial"/>
                <w:sz w:val="11"/>
                <w:szCs w:val="11"/>
                <w:b w:val="1"/>
                <w:bCs w:val="1"/>
                <w:color w:val="auto"/>
                <w:w w:val="96"/>
              </w:rPr>
              <w:t>Form:</w:t>
            </w:r>
          </w:p>
        </w:tc>
        <w:tc>
          <w:tcPr>
            <w:tcW w:w="32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Derivative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Transaction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85.7333</w:t>
            </w:r>
          </w:p>
        </w:tc>
        <w:tc>
          <w:tcPr>
            <w:tcW w:w="120" w:type="dxa"/>
            <w:vAlign w:val="bottom"/>
          </w:tcPr>
          <w:p>
            <w:pPr>
              <w:spacing w:after="0"/>
              <w:rPr>
                <w:sz w:val="10"/>
                <w:szCs w:val="10"/>
                <w:color w:val="auto"/>
              </w:rPr>
            </w:pP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2"/>
                <w:szCs w:val="12"/>
                <w:color w:val="0000FF"/>
              </w:rPr>
              <w:t>03/24/2025</w:t>
            </w:r>
          </w:p>
        </w:tc>
        <w:tc>
          <w:tcPr>
            <w:tcW w:w="1040" w:type="dxa"/>
            <w:vAlign w:val="bottom"/>
          </w:tcPr>
          <w:p>
            <w:pPr>
              <w:spacing w:after="0"/>
              <w:rPr>
                <w:sz w:val="10"/>
                <w:szCs w:val="10"/>
                <w:color w:val="auto"/>
              </w:rPr>
            </w:pPr>
          </w:p>
        </w:tc>
        <w:tc>
          <w:tcPr>
            <w:tcW w:w="560" w:type="dxa"/>
            <w:vAlign w:val="bottom"/>
            <w:gridSpan w:val="2"/>
            <w:vMerge w:val="restart"/>
          </w:tcPr>
          <w:p>
            <w:pPr>
              <w:ind w:left="120"/>
              <w:spacing w:after="0" w:line="274"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color w:val="0000FF"/>
                <w:w w:val="99"/>
              </w:rPr>
              <w:t>1,683,500</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(3)</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05/13/2025</w:t>
            </w:r>
          </w:p>
        </w:tc>
        <w:tc>
          <w:tcPr>
            <w:tcW w:w="56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6"/>
              </w:rPr>
              <w:t>1,683,500</w:t>
            </w:r>
          </w:p>
        </w:tc>
        <w:tc>
          <w:tcPr>
            <w:tcW w:w="7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54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0000FF"/>
                <w:w w:val="98"/>
              </w:rPr>
              <w:t>I</w:t>
            </w:r>
          </w:p>
        </w:tc>
        <w:tc>
          <w:tcPr>
            <w:tcW w:w="320" w:type="dxa"/>
            <w:vAlign w:val="bottom"/>
          </w:tcPr>
          <w:p>
            <w:pPr>
              <w:spacing w:after="0"/>
              <w:rPr>
                <w:sz w:val="10"/>
                <w:szCs w:val="10"/>
                <w:color w:val="auto"/>
              </w:rPr>
            </w:pPr>
          </w:p>
        </w:tc>
        <w:tc>
          <w:tcPr>
            <w:tcW w:w="7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buy and</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right w:val="single" w:sz="8" w:color="2C2C2C"/>
            </w:tcBorders>
            <w:gridSpan w:val="3"/>
          </w:tcPr>
          <w:p>
            <w:pPr>
              <w:ind w:left="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obligation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 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7"/>
          </w:tcPr>
          <w:p>
            <w:pPr>
              <w:ind w:left="20"/>
              <w:spacing w:after="0" w:line="212"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040" w:type="dxa"/>
            <w:vAlign w:val="bottom"/>
          </w:tcPr>
          <w:p>
            <w:pPr>
              <w:ind w:left="40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40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-5049520</wp:posOffset>
            </wp:positionV>
            <wp:extent cx="28575" cy="1891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89103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33020" cy="1943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020" cy="194310"/>
                    </a:xfrm>
                    <a:prstGeom prst="rect">
                      <a:avLst/>
                    </a:prstGeom>
                    <a:noFill/>
                    <a:ln>
                      <a:noFill/>
                    </a:ln>
                  </pic:spPr>
                </pic:pic>
              </a:graphicData>
            </a:graphic>
          </wp:inline>
        </w:drawing>
      </w:r>
      <w:r>
        <w:rPr>
          <w:rFonts w:ascii="Arial" w:cs="Arial" w:eastAsia="Arial" w:hAnsi="Arial"/>
          <w:sz w:val="12"/>
          <w:szCs w:val="12"/>
          <w:color w:val="auto"/>
        </w:rPr>
        <w:t xml:space="preserve"> 1. Name and Address of Reporting Person</w:t>
      </w:r>
      <w:r>
        <w:rPr>
          <w:rFonts w:ascii="Arial" w:cs="Arial" w:eastAsia="Arial" w:hAnsi="Arial"/>
          <w:sz w:val="20"/>
          <w:szCs w:val="20"/>
          <w:color w:val="auto"/>
          <w:vertAlign w:val="superscript"/>
        </w:rPr>
        <w:t>*</w:t>
      </w:r>
    </w:p>
    <w:p>
      <w:pPr>
        <w:sectPr>
          <w:pgSz w:w="11900" w:h="16953" w:orient="portrait"/>
          <w:cols w:equalWidth="0" w:num="1">
            <w:col w:w="11080"/>
          </w:cols>
          <w:pgMar w:left="460" w:top="214"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Hospitality Headquarters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07970" cy="3182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7970" cy="318262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2"/>
          </w:tcPr>
          <w:p>
            <w:pPr>
              <w:ind w:left="3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49"/>
        </w:trPr>
        <w:tc>
          <w:tcPr>
            <w:tcW w:w="80" w:type="dxa"/>
            <w:vAlign w:val="bottom"/>
          </w:tcPr>
          <w:p>
            <w:pPr>
              <w:spacing w:after="0"/>
              <w:rPr>
                <w:sz w:val="21"/>
                <w:szCs w:val="21"/>
                <w:color w:val="auto"/>
              </w:rPr>
            </w:pPr>
          </w:p>
        </w:tc>
        <w:tc>
          <w:tcPr>
            <w:tcW w:w="2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1510 WEST LOOP SOUTH</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77027</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3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580" w:type="dxa"/>
            <w:vAlign w:val="bottom"/>
            <w:gridSpan w:val="4"/>
          </w:tcPr>
          <w:p>
            <w:pPr>
              <w:ind w:left="20"/>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Fertitta Entertainment, LLC</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2"/>
          </w:tcPr>
          <w:p>
            <w:pPr>
              <w:ind w:left="3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49"/>
        </w:trPr>
        <w:tc>
          <w:tcPr>
            <w:tcW w:w="80" w:type="dxa"/>
            <w:vAlign w:val="bottom"/>
          </w:tcPr>
          <w:p>
            <w:pPr>
              <w:spacing w:after="0"/>
              <w:rPr>
                <w:sz w:val="21"/>
                <w:szCs w:val="21"/>
                <w:color w:val="auto"/>
              </w:rPr>
            </w:pPr>
          </w:p>
        </w:tc>
        <w:tc>
          <w:tcPr>
            <w:tcW w:w="2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1510 WEST LOOP SOUTH</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1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77027</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3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40" w:hanging="3"/>
        <w:spacing w:after="0" w:line="26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After the transactions reported herein, the amount of Common Stock includes: (i) 161,925 shares of Common Stock that are held of record by Mr. Fertitta; (ii) 10,000 shares of Common Stock that are held of record by Fertitta Entertainment, Inc.; (iii) 8,546,824 shares of Common Stock that are held of record by Hospitality Headquarters; and (iv) 3,881,251 shares of Common Stock that are held of record by Fertitta Entertainment, LLC.</w:t>
      </w:r>
    </w:p>
    <w:p>
      <w:pPr>
        <w:spacing w:after="0" w:line="154" w:lineRule="exact"/>
        <w:rPr>
          <w:rFonts w:ascii="Times New Roman" w:cs="Times New Roman" w:eastAsia="Times New Roman" w:hAnsi="Times New Roman"/>
          <w:sz w:val="12"/>
          <w:szCs w:val="12"/>
          <w:color w:val="008000"/>
        </w:rPr>
      </w:pPr>
    </w:p>
    <w:p>
      <w:pPr>
        <w:ind w:left="20" w:right="22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Fertitta is the sole shareholder of Fertitta Entertainment, Inc., which is the sole shareholder of Hospitality Headquarters and the sole indirect owner of Fertitta Entertainment, LLC. As such, Mr. Fertitta may be deemed to share beneficial ownership of the securities held of record by Fertitta Entertainment, Inc., Hospitality Headquarters and Fertitta Entertainment, LLC.</w:t>
      </w:r>
    </w:p>
    <w:p>
      <w:pPr>
        <w:ind w:left="20" w:hanging="3"/>
        <w:spacing w:after="0" w:line="252"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24, 2025, Hospitality Headquarters, Inc. ("Hospitality Headquarters") acquired 1,683,500 shares of Common Stock pursuant to the previously disclosed share option transaction. Pursuant to the share option transaction, at any time prior to May 13, 2025, Hospitality Headquarters had the right to purchase from the counterparty the amount of shares disclosed herein at the price disclosed herein plus a financing amount, or was obligated to purchase from the counterparty on May 13, 2025, the same number of shares at the same price plus a financing amount. Such purchase was conditioned upon the Reporting Persons obtaining clearance under the Hart-Scott-Rodino Antitrust Improvements Act of 1976, as amended.</w:t>
      </w:r>
    </w:p>
    <w:p>
      <w:pPr>
        <w:sectPr>
          <w:pgSz w:w="11900" w:h="16838" w:orient="portrait"/>
          <w:cols w:equalWidth="0" w:num="1">
            <w:col w:w="10920"/>
          </w:cols>
          <w:pgMar w:left="480" w:top="114" w:right="499" w:bottom="1440" w:gutter="0" w:footer="0" w:header="0"/>
        </w:sectPr>
      </w:pP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8299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29945" cy="7620"/>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125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636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636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797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79730" cy="7620"/>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642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299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299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7880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88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79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640" w:space="140"/>
            <w:col w:w="2140"/>
          </w:cols>
          <w:pgMar w:left="480" w:top="114" w:right="499" w:bottom="1440" w:gutter="0" w:footer="0" w:header="0"/>
          <w:type w:val="continuous"/>
        </w:sectPr>
      </w:pPr>
    </w:p>
    <w:p>
      <w:pPr>
        <w:ind w:left="6580"/>
        <w:spacing w:after="0" w:line="195" w:lineRule="auto"/>
        <w:rPr>
          <w:sz w:val="20"/>
          <w:szCs w:val="20"/>
          <w:color w:val="auto"/>
        </w:rPr>
      </w:pPr>
      <w:r>
        <w:rPr>
          <w:rFonts w:ascii="Times New Roman" w:cs="Times New Roman" w:eastAsia="Times New Roman" w:hAnsi="Times New Roman"/>
          <w:sz w:val="15"/>
          <w:szCs w:val="15"/>
          <w:color w:val="0000FF"/>
        </w:rPr>
        <w:t xml:space="preserve">Fertitta Entertainment, LLC, By: </w:t>
      </w:r>
      <w:r>
        <w:rPr>
          <w:rFonts w:ascii="Times New Roman" w:cs="Times New Roman" w:eastAsia="Times New Roman" w:hAnsi="Times New Roman"/>
          <w:sz w:val="29"/>
          <w:szCs w:val="29"/>
          <w:color w:val="0000FF"/>
          <w:vertAlign w:val="subscript"/>
        </w:rPr>
        <w:t>03/25/2025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-26035</wp:posOffset>
            </wp:positionV>
            <wp:extent cx="13500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 Tilman J.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-16510</wp:posOffset>
            </wp:positionV>
            <wp:extent cx="12636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63650"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-80010</wp:posOffset>
            </wp:positionV>
            <wp:extent cx="4679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72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9" Type="http://schemas.openxmlformats.org/officeDocument/2006/relationships/hyperlink" Target="http://www.sec.gov/cgi-bin/browse-edgar?action=getcompany&amp;CIK=0001319392" TargetMode="External"/><Relationship Id="rId21"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2025-03-25T07:10:02Z</dcterms:created>
  <dcterms:modified xsi:type="dcterms:W3CDTF">2025-03-25T07:10:02Z</dcterms:modified>
</cp:coreProperties>
</file>