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170180</wp:posOffset>
            </wp:positionV>
            <wp:extent cx="2840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63500</wp:posOffset>
            </wp:positionV>
            <wp:extent cx="2840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2167255</wp:posOffset>
            </wp:positionH>
            <wp:positionV relativeFrom="paragraph">
              <wp:posOffset>83820</wp:posOffset>
            </wp:positionV>
            <wp:extent cx="2840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0990"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580" w:type="dxa"/>
        <w:tblCellMar>
          <w:top w:w="0" w:type="dxa"/>
          <w:left w:w="0" w:type="dxa"/>
          <w:bottom w:w="0" w:type="dxa"/>
          <w:right w:w="0" w:type="dxa"/>
        </w:tblCellMar>
      </w:tblPr>
      <w:tr>
        <w:trPr>
          <w:trHeight w:val="220"/>
        </w:trPr>
        <w:tc>
          <w:tcPr>
            <w:tcW w:w="280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2000" w:type="dxa"/>
            <w:vAlign w:val="bottom"/>
          </w:tcPr>
          <w:p>
            <w:pPr>
              <w:jc w:val="right"/>
              <w:ind w:right="43"/>
              <w:spacing w:after="0"/>
              <w:rPr>
                <w:sz w:val="20"/>
                <w:szCs w:val="20"/>
                <w:color w:val="auto"/>
              </w:rPr>
            </w:pPr>
            <w:r>
              <w:rPr>
                <w:rFonts w:ascii="Times New Roman" w:cs="Times New Roman" w:eastAsia="Times New Roman" w:hAnsi="Times New Roman"/>
                <w:sz w:val="18"/>
                <w:szCs w:val="18"/>
                <w:b w:val="1"/>
                <w:bCs w:val="1"/>
                <w:color w:val="auto"/>
              </w:rPr>
              <w:t>46-0484987</w:t>
            </w:r>
          </w:p>
        </w:tc>
      </w:tr>
      <w:tr>
        <w:trPr>
          <w:trHeight w:val="145"/>
        </w:trPr>
        <w:tc>
          <w:tcPr>
            <w:tcW w:w="2800" w:type="dxa"/>
            <w:vAlign w:val="bottom"/>
          </w:tcPr>
          <w:p>
            <w:pPr>
              <w:jc w:val="center"/>
              <w:ind w:right="281"/>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480" w:type="dxa"/>
            <w:vAlign w:val="bottom"/>
          </w:tcPr>
          <w:p>
            <w:pPr>
              <w:ind w:left="172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000" w:type="dxa"/>
            <w:vAlign w:val="bottom"/>
          </w:tcPr>
          <w:p>
            <w:pPr>
              <w:jc w:val="center"/>
              <w:ind w:left="823"/>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28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448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000" w:type="dxa"/>
            <w:vAlign w:val="bottom"/>
          </w:tcPr>
          <w:p>
            <w:pPr>
              <w:jc w:val="center"/>
              <w:ind w:left="8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280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7"/>
              </w:rPr>
              <w:t>3131 Las Vegas Boulevard South</w:t>
            </w:r>
          </w:p>
        </w:tc>
        <w:tc>
          <w:tcPr>
            <w:tcW w:w="44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0"/>
        </w:trPr>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4480" w:type="dxa"/>
            <w:vAlign w:val="bottom"/>
          </w:tcPr>
          <w:p>
            <w:pPr>
              <w:spacing w:after="0"/>
              <w:rPr>
                <w:sz w:val="19"/>
                <w:szCs w:val="19"/>
                <w:color w:val="auto"/>
              </w:rPr>
            </w:pPr>
          </w:p>
        </w:tc>
        <w:tc>
          <w:tcPr>
            <w:tcW w:w="2000" w:type="dxa"/>
            <w:vAlign w:val="bottom"/>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89109</w:t>
            </w:r>
          </w:p>
        </w:tc>
      </w:tr>
      <w:tr>
        <w:trPr>
          <w:trHeight w:val="185"/>
        </w:trPr>
        <w:tc>
          <w:tcPr>
            <w:tcW w:w="280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80" w:type="dxa"/>
            <w:vAlign w:val="bottom"/>
          </w:tcPr>
          <w:p>
            <w:pPr>
              <w:spacing w:after="0"/>
              <w:rPr>
                <w:sz w:val="16"/>
                <w:szCs w:val="16"/>
                <w:color w:val="auto"/>
              </w:rPr>
            </w:pPr>
          </w:p>
        </w:tc>
        <w:tc>
          <w:tcPr>
            <w:tcW w:w="2000" w:type="dxa"/>
            <w:vAlign w:val="bottom"/>
          </w:tcPr>
          <w:p>
            <w:pPr>
              <w:jc w:val="center"/>
              <w:ind w:left="823"/>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200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000" w:type="dxa"/>
            <w:vAlign w:val="bottom"/>
          </w:tcPr>
          <w:p>
            <w:pPr>
              <w:spacing w:after="0"/>
              <w:rPr>
                <w:sz w:val="16"/>
                <w:szCs w:val="16"/>
                <w:color w:val="auto"/>
              </w:rPr>
            </w:pPr>
          </w:p>
        </w:tc>
      </w:tr>
      <w:tr>
        <w:trPr>
          <w:trHeight w:val="407"/>
        </w:trPr>
        <w:tc>
          <w:tcPr>
            <w:tcW w:w="28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2000" w:type="dxa"/>
            <w:vAlign w:val="bottom"/>
          </w:tcPr>
          <w:p>
            <w:pPr>
              <w:spacing w:after="0"/>
              <w:rPr>
                <w:sz w:val="24"/>
                <w:szCs w:val="24"/>
                <w:color w:val="auto"/>
              </w:rPr>
            </w:pPr>
          </w:p>
        </w:tc>
      </w:tr>
      <w:tr>
        <w:trPr>
          <w:trHeight w:val="185"/>
        </w:trPr>
        <w:tc>
          <w:tcPr>
            <w:tcW w:w="280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000" w:type="dxa"/>
            <w:vAlign w:val="bottom"/>
          </w:tcPr>
          <w:p>
            <w:pPr>
              <w:spacing w:after="0"/>
              <w:rPr>
                <w:sz w:val="16"/>
                <w:szCs w:val="16"/>
                <w:color w:val="auto"/>
              </w:rPr>
            </w:pPr>
          </w:p>
        </w:tc>
      </w:tr>
      <w:tr>
        <w:trPr>
          <w:trHeight w:val="274"/>
        </w:trPr>
        <w:tc>
          <w:tcPr>
            <w:tcW w:w="2800" w:type="dxa"/>
            <w:vAlign w:val="bottom"/>
          </w:tcPr>
          <w:p>
            <w:pPr>
              <w:spacing w:after="0"/>
              <w:rPr>
                <w:sz w:val="23"/>
                <w:szCs w:val="23"/>
                <w:color w:val="auto"/>
              </w:rPr>
            </w:pPr>
          </w:p>
        </w:tc>
        <w:tc>
          <w:tcPr>
            <w:tcW w:w="4480" w:type="dxa"/>
            <w:vAlign w:val="bottom"/>
            <w:tcBorders>
              <w:bottom w:val="single" w:sz="8" w:color="auto"/>
            </w:tcBorders>
          </w:tcPr>
          <w:p>
            <w:pPr>
              <w:spacing w:after="0"/>
              <w:rPr>
                <w:sz w:val="23"/>
                <w:szCs w:val="23"/>
                <w:color w:val="auto"/>
              </w:rPr>
            </w:pPr>
          </w:p>
        </w:tc>
        <w:tc>
          <w:tcPr>
            <w:tcW w:w="2000" w:type="dxa"/>
            <w:vAlign w:val="bottom"/>
          </w:tcPr>
          <w:p>
            <w:pPr>
              <w:spacing w:after="0"/>
              <w:rPr>
                <w:sz w:val="23"/>
                <w:szCs w:val="23"/>
                <w:color w:val="auto"/>
              </w:rPr>
            </w:pPr>
          </w:p>
        </w:tc>
      </w:tr>
    </w:tbl>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6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880" w:type="dxa"/>
            <w:vAlign w:val="bottom"/>
          </w:tcPr>
          <w:p>
            <w:pPr>
              <w:spacing w:after="0"/>
              <w:rPr>
                <w:sz w:val="18"/>
                <w:szCs w:val="18"/>
                <w:color w:val="auto"/>
              </w:rPr>
            </w:pPr>
          </w:p>
        </w:tc>
        <w:tc>
          <w:tcPr>
            <w:tcW w:w="4160" w:type="dxa"/>
            <w:vAlign w:val="bottom"/>
            <w:gridSpan w:val="2"/>
          </w:tcPr>
          <w:p>
            <w:pPr>
              <w:jc w:val="center"/>
              <w:ind w:left="81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c>
          <w:tcPr>
            <w:tcW w:w="94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3"/>
        </w:trPr>
        <w:tc>
          <w:tcPr>
            <w:tcW w:w="38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22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9"/>
              </w:rPr>
              <w:t>WYNN</w:t>
            </w:r>
          </w:p>
        </w:tc>
        <w:tc>
          <w:tcPr>
            <w:tcW w:w="9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Nasdaq Global Select Market</w:t>
            </w:r>
          </w:p>
        </w:tc>
        <w:tc>
          <w:tcPr>
            <w:tcW w:w="94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4"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669290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33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November 25, 2022, Wynn Resorts, Limited announced that Wynn Resorts (Macau) S.A. received a provisional award of a gaming concession from the Macau government. The ultimate award of the gaming concession contract remains subject to the final documentation of its exact terms and conditions with the Macau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ectPr>
          <w:pgSz w:w="11900" w:h="16838" w:orient="portrait"/>
          <w:cols w:equalWidth="0" w:num="1">
            <w:col w:w="11240"/>
          </w:cols>
          <w:pgMar w:left="320" w:top="869" w:right="339" w:bottom="1440" w:gutter="0" w:footer="0" w:header="0"/>
        </w:sectPr>
      </w:pP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Dated: November 28, 2022</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44" w:lineRule="exact"/>
        <w:rPr>
          <w:sz w:val="20"/>
          <w:szCs w:val="20"/>
          <w:color w:val="auto"/>
        </w:rPr>
      </w:pPr>
    </w:p>
    <w:p>
      <w:pPr>
        <w:sectPr>
          <w:pgSz w:w="11900" w:h="16838" w:orient="portrait"/>
          <w:cols w:equalWidth="0" w:num="2">
            <w:col w:w="6180" w:space="720"/>
            <w:col w:w="4340"/>
          </w:cols>
          <w:pgMar w:left="320" w:top="869" w:right="339" w:bottom="1440" w:gutter="0" w:footer="0" w:header="0"/>
          <w:type w:val="continuous"/>
        </w:sectPr>
      </w:pPr>
    </w:p>
    <w:p>
      <w:pPr>
        <w:ind w:left="702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-130175</wp:posOffset>
            </wp:positionV>
            <wp:extent cx="243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ind w:left="7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color w:val="auto"/>
        </w:rPr>
        <w:t>(Principal Financial and Accounting Officer)</w:t>
      </w:r>
    </w:p>
    <w:sectPr>
      <w:pgSz w:w="11900" w:h="16838" w:orient="portrait"/>
      <w:cols w:equalWidth="0" w:num="1">
        <w:col w:w="11240"/>
      </w:cols>
      <w:pgMar w:left="320" w:top="86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2022-11-28T07:29:27Z</dcterms:created>
  <dcterms:modified xsi:type="dcterms:W3CDTF">2022-11-28T07:29:27Z</dcterms:modified>
</cp:coreProperties>
</file>