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858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8582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WYNN STEPHEN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97"/>
        <w:spacing w:after="0"/>
        <w:rPr>
          <w:sz w:val="20"/>
          <w:szCs w:val="20"/>
          <w:color w:val="auto"/>
        </w:rPr>
      </w:pPr>
      <w:r>
        <w:rPr>
          <w:rFonts w:ascii="Arial" w:cs="Arial" w:eastAsia="Arial" w:hAnsi="Arial"/>
          <w:sz w:val="16"/>
          <w:szCs w:val="16"/>
          <w:color w:val="0000FF"/>
        </w:rPr>
        <w:t xml:space="preserve">Chief Executive Officer </w:t>
      </w:r>
      <w:r>
        <w:rPr>
          <w:rFonts w:ascii="Arial" w:cs="Arial" w:eastAsia="Arial" w:hAnsi="Arial"/>
          <w:sz w:val="19"/>
          <w:szCs w:val="19"/>
          <w:color w:val="000000"/>
        </w:rPr>
        <w:t>/</w:t>
      </w:r>
      <w:r>
        <w:rPr>
          <w:rFonts w:ascii="Arial" w:cs="Arial" w:eastAsia="Arial" w:hAnsi="Arial"/>
          <w:sz w:val="16"/>
          <w:szCs w:val="16"/>
          <w:color w:val="0000FF"/>
        </w:rPr>
        <w:t xml:space="preserve"> WFLP is member</w:t>
      </w:r>
    </w:p>
    <w:p>
      <w:pPr>
        <w:spacing w:after="0" w:line="52" w:lineRule="exact"/>
        <w:rPr>
          <w:sz w:val="24"/>
          <w:szCs w:val="24"/>
          <w:color w:val="auto"/>
        </w:rPr>
      </w:pPr>
    </w:p>
    <w:p>
      <w:pPr>
        <w:jc w:val="center"/>
        <w:ind w:right="97"/>
        <w:spacing w:after="0"/>
        <w:rPr>
          <w:sz w:val="20"/>
          <w:szCs w:val="20"/>
          <w:color w:val="auto"/>
        </w:rPr>
      </w:pPr>
      <w:r>
        <w:rPr>
          <w:rFonts w:ascii="Arial" w:cs="Arial" w:eastAsia="Arial" w:hAnsi="Arial"/>
          <w:sz w:val="18"/>
          <w:szCs w:val="18"/>
          <w:color w:val="0000FF"/>
        </w:rPr>
        <w:t>of 10% owner</w:t>
      </w:r>
    </w:p>
    <w:p>
      <w:pPr>
        <w:spacing w:after="0" w:line="25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60" w:type="dxa"/>
            <w:vAlign w:val="bottom"/>
            <w:gridSpan w:val="10"/>
          </w:tcPr>
          <w:p>
            <w:pPr>
              <w:jc w:val="right"/>
              <w:ind w:right="17"/>
              <w:spacing w:after="0"/>
              <w:rPr>
                <w:sz w:val="20"/>
                <w:szCs w:val="20"/>
                <w:color w:val="auto"/>
              </w:rPr>
            </w:pPr>
            <w:r>
              <w:rPr>
                <w:rFonts w:ascii="Arial" w:cs="Arial" w:eastAsia="Arial" w:hAnsi="Arial"/>
                <w:sz w:val="14"/>
                <w:szCs w:val="14"/>
                <w:color w:val="auto"/>
                <w:w w:val="99"/>
              </w:rPr>
              <w:t>4. If Amendment, Date of Original Filed (Month/Day/Year)</w:t>
            </w:r>
          </w:p>
        </w:tc>
        <w:tc>
          <w:tcPr>
            <w:tcW w:w="3840" w:type="dxa"/>
            <w:vAlign w:val="bottom"/>
            <w:gridSpan w:val="10"/>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80" w:type="dxa"/>
            <w:vAlign w:val="bottom"/>
            <w:gridSpan w:val="4"/>
            <w:vMerge w:val="restart"/>
          </w:tcPr>
          <w:p>
            <w:pPr>
              <w:ind w:left="4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NV</w:t>
            </w:r>
          </w:p>
        </w:tc>
        <w:tc>
          <w:tcPr>
            <w:tcW w:w="1200" w:type="dxa"/>
            <w:vAlign w:val="bottom"/>
            <w:gridSpan w:val="3"/>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6"/>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8"/>
                <w:szCs w:val="18"/>
                <w:color w:val="0000FF"/>
              </w:rPr>
              <w:t>X</w:t>
            </w:r>
          </w:p>
        </w:tc>
        <w:tc>
          <w:tcPr>
            <w:tcW w:w="2960" w:type="dxa"/>
            <w:vAlign w:val="bottom"/>
            <w:gridSpan w:val="6"/>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29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9"/>
                <w:szCs w:val="9"/>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21"/>
          </w:tcPr>
          <w:p>
            <w:pPr>
              <w:jc w:val="center"/>
              <w:ind w:right="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3"/>
          </w:tcPr>
          <w:p>
            <w:pPr>
              <w:ind w:left="26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ind w:left="2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300" w:type="dxa"/>
            <w:vAlign w:val="bottom"/>
            <w:gridSpan w:val="4"/>
            <w:vMerge w:val="restart"/>
          </w:tcPr>
          <w:p>
            <w:pPr>
              <w:ind w:left="400"/>
              <w:spacing w:after="0"/>
              <w:rPr>
                <w:sz w:val="20"/>
                <w:szCs w:val="20"/>
                <w:color w:val="auto"/>
              </w:rPr>
            </w:pPr>
            <w:r>
              <w:rPr>
                <w:rFonts w:ascii="Arial" w:cs="Arial" w:eastAsia="Arial" w:hAnsi="Arial"/>
                <w:sz w:val="18"/>
                <w:szCs w:val="18"/>
                <w:color w:val="0000FF"/>
                <w:w w:val="97"/>
              </w:rPr>
              <w:t>12/13/2016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vMerge w:val="restart"/>
          </w:tcPr>
          <w:p>
            <w:pPr>
              <w:ind w:left="10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20" w:type="dxa"/>
            <w:vAlign w:val="bottom"/>
            <w:vMerge w:val="restart"/>
          </w:tcPr>
          <w:p>
            <w:pPr>
              <w:ind w:left="180"/>
              <w:spacing w:after="0"/>
              <w:rPr>
                <w:sz w:val="20"/>
                <w:szCs w:val="20"/>
                <w:color w:val="auto"/>
              </w:rPr>
            </w:pPr>
            <w:r>
              <w:rPr>
                <w:rFonts w:ascii="Arial" w:cs="Arial" w:eastAsia="Arial" w:hAnsi="Arial"/>
                <w:sz w:val="18"/>
                <w:szCs w:val="18"/>
                <w:color w:val="0000FF"/>
                <w:w w:val="94"/>
              </w:rPr>
              <w:t>72,851</w:t>
            </w:r>
          </w:p>
        </w:tc>
        <w:tc>
          <w:tcPr>
            <w:tcW w:w="520" w:type="dxa"/>
            <w:vAlign w:val="bottom"/>
            <w:vMerge w:val="restart"/>
          </w:tcPr>
          <w:p>
            <w:pPr>
              <w:jc w:val="right"/>
              <w:ind w:right="17"/>
              <w:spacing w:after="0"/>
              <w:rPr>
                <w:sz w:val="20"/>
                <w:szCs w:val="20"/>
                <w:color w:val="auto"/>
              </w:rPr>
            </w:pPr>
            <w:r>
              <w:rPr>
                <w:rFonts w:ascii="Arial" w:cs="Arial" w:eastAsia="Arial" w:hAnsi="Arial"/>
                <w:sz w:val="18"/>
                <w:szCs w:val="18"/>
                <w:color w:val="0000FF"/>
              </w:rPr>
              <w:t>D</w:t>
            </w:r>
          </w:p>
        </w:tc>
        <w:tc>
          <w:tcPr>
            <w:tcW w:w="580" w:type="dxa"/>
            <w:vAlign w:val="bottom"/>
            <w:vMerge w:val="restart"/>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restart"/>
          </w:tcPr>
          <w:p>
            <w:pPr>
              <w:jc w:val="right"/>
              <w:ind w:right="179"/>
              <w:spacing w:after="0"/>
              <w:rPr>
                <w:sz w:val="20"/>
                <w:szCs w:val="20"/>
                <w:color w:val="auto"/>
              </w:rPr>
            </w:pPr>
            <w:r>
              <w:rPr>
                <w:rFonts w:ascii="Arial" w:cs="Arial" w:eastAsia="Arial" w:hAnsi="Arial"/>
                <w:sz w:val="18"/>
                <w:szCs w:val="18"/>
                <w:color w:val="0000FF"/>
                <w:w w:val="90"/>
              </w:rPr>
              <w:t>12,000,000</w:t>
            </w:r>
          </w:p>
        </w:tc>
        <w:tc>
          <w:tcPr>
            <w:tcW w:w="32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20" w:type="dxa"/>
            <w:vAlign w:val="bottom"/>
            <w:gridSpan w:val="7"/>
            <w:vMerge w:val="continue"/>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58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0"/>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20" w:type="dxa"/>
            <w:vAlign w:val="bottom"/>
            <w:gridSpan w:val="14"/>
          </w:tcPr>
          <w:p>
            <w:pPr>
              <w:jc w:val="center"/>
              <w:ind w:left="9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WYNN STEPHEN A</w:t>
              </w:r>
            </w:hyperlink>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w w:val="95"/>
              </w:rPr>
              <w:t>C/O WYNN RESORTS, LIMITED</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0000FF"/>
              </w:rPr>
              <w:t>3131 LAS VEGAS BOULEVARD SOUTH</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NV</w:t>
            </w:r>
          </w:p>
        </w:tc>
        <w:tc>
          <w:tcPr>
            <w:tcW w:w="38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Wynn Family Limited Partnership</w:t>
              </w:r>
            </w:hyperlink>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w w:val="95"/>
              </w:rPr>
              <w:t>C/O WYNN RESORTS, LIMITED</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0000FF"/>
              </w:rPr>
              <w:t>3131 LAS VEGAS BOULEVARD SOUTH</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NV</w:t>
            </w:r>
          </w:p>
        </w:tc>
        <w:tc>
          <w:tcPr>
            <w:tcW w:w="38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gridSpan w:val="2"/>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Charitable gift.</w:t>
      </w:r>
    </w:p>
    <w:p>
      <w:pPr>
        <w:sectPr>
          <w:pgSz w:w="11900" w:h="16838" w:orient="portrait"/>
          <w:cols w:equalWidth="0" w:num="1">
            <w:col w:w="11420"/>
          </w:cols>
          <w:pgMar w:left="240" w:top="226" w:right="239" w:bottom="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Exhibit List: Exhibit 24 - (1) Power of Attorney (Stephen A. Wynn); (2) Power of Attorney (Wynn Family Limited Partnership)</w:t>
      </w:r>
    </w:p>
    <w:p>
      <w:pPr>
        <w:spacing w:after="0" w:line="7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Stephen Cootey,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292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in-fact for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5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65555" cy="8890"/>
                    </a:xfrm>
                    <a:prstGeom prst="rect">
                      <a:avLst/>
                    </a:prstGeom>
                    <a:noFill/>
                  </pic:spPr>
                </pic:pic>
              </a:graphicData>
            </a:graphic>
          </wp:anchor>
        </w:drawing>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/s/ Stephen Cootey,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6985</wp:posOffset>
            </wp:positionV>
            <wp:extent cx="1292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92860" cy="8890"/>
                    </a:xfrm>
                    <a:prstGeom prst="rect">
                      <a:avLst/>
                    </a:prstGeom>
                    <a:noFill/>
                  </pic:spPr>
                </pic:pic>
              </a:graphicData>
            </a:graphic>
          </wp:anchor>
        </w:drawing>
      </w:r>
    </w:p>
    <w:p>
      <w:pPr>
        <w:spacing w:after="0" w:line="3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in-fact for Wynn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085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88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888365"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5"/>
          <w:szCs w:val="15"/>
          <w:color w:val="0000FF"/>
        </w:rPr>
        <w:t>12/15/2016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12/15/2016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26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John Strzemp, Stephen Cootey,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August, 2016.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Signed: /s/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546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546860" cy="8890"/>
                    </a:xfrm>
                    <a:prstGeom prst="rect">
                      <a:avLst/>
                    </a:prstGeom>
                    <a:noFill/>
                  </pic:spPr>
                </pic:pic>
              </a:graphicData>
            </a:graphic>
          </wp:anchor>
        </w:drawing>
      </w:r>
    </w:p>
    <w:p>
      <w:pPr>
        <w:sectPr>
          <w:pgSz w:w="11900" w:h="16838" w:orient="portrait"/>
          <w:cols w:equalWidth="0" w:num="1">
            <w:col w:w="11420"/>
          </w:cols>
          <w:pgMar w:left="240" w:top="3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John Strzemp, Stephen Cootey,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and Section 13 of such act, and the rules and regulations thereunder, and requisite documents in connection with such filings, respecting securities of Wynn Resorts, Limited, a Nevada corporation, including but not limited to Forms 3, 4 and 5 and Schedules 13D and 13G, and any amendments thereto, under such act and any amendments thereto with the Securities and Exchange Commission thereby ratifying and confirming all that said attorney-in-fact may do or cause to be done by virtue hereof.</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August, 2016.</w:t>
      </w:r>
    </w:p>
    <w:p>
      <w:pPr>
        <w:spacing w:after="0" w:line="237"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Wynn Family Limited Partnership</w:t>
      </w:r>
    </w:p>
    <w:p>
      <w:pPr>
        <w:spacing w:after="0" w:line="85"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Wynn GP, LLC, its General Partner</w:t>
      </w:r>
    </w:p>
    <w:p>
      <w:pPr>
        <w:spacing w:after="0" w:line="85" w:lineRule="exact"/>
        <w:rPr>
          <w:sz w:val="20"/>
          <w:szCs w:val="20"/>
          <w:color w:val="auto"/>
        </w:rPr>
      </w:pPr>
    </w:p>
    <w:p>
      <w:pPr>
        <w:ind w:left="3820"/>
        <w:spacing w:after="0"/>
        <w:tabs>
          <w:tab w:leader="none" w:pos="4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Stephen A. Wynn Revocable Trust</w:t>
      </w:r>
    </w:p>
    <w:p>
      <w:pPr>
        <w:spacing w:after="0" w:line="2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U/D/T Dated June 24, 2010, its</w:t>
      </w:r>
    </w:p>
    <w:p>
      <w:pPr>
        <w:spacing w:after="0" w:line="4"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Manager</w:t>
      </w:r>
    </w:p>
    <w:p>
      <w:pPr>
        <w:spacing w:after="0" w:line="200" w:lineRule="exact"/>
        <w:rPr>
          <w:sz w:val="20"/>
          <w:szCs w:val="20"/>
          <w:color w:val="auto"/>
        </w:rPr>
      </w:pPr>
    </w:p>
    <w:p>
      <w:pPr>
        <w:spacing w:after="0" w:line="380"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By: /s/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-17780</wp:posOffset>
            </wp:positionV>
            <wp:extent cx="1546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546860" cy="8890"/>
                    </a:xfrm>
                    <a:prstGeom prst="rect">
                      <a:avLst/>
                    </a:prstGeom>
                    <a:noFill/>
                  </pic:spPr>
                </pic:pic>
              </a:graphicData>
            </a:graphic>
          </wp:anchor>
        </w:drawing>
      </w:r>
    </w:p>
    <w:p>
      <w:pPr>
        <w:spacing w:after="0" w:line="2" w:lineRule="exact"/>
        <w:rPr>
          <w:sz w:val="20"/>
          <w:szCs w:val="20"/>
          <w:color w:val="auto"/>
        </w:rPr>
      </w:pPr>
    </w:p>
    <w:p>
      <w:pPr>
        <w:ind w:left="3820"/>
        <w:spacing w:after="0"/>
        <w:tabs>
          <w:tab w:leader="none" w:pos="45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Stephen A. Wynn</w:t>
      </w:r>
    </w:p>
    <w:p>
      <w:pPr>
        <w:spacing w:after="0" w:line="4" w:lineRule="exact"/>
        <w:rPr>
          <w:sz w:val="20"/>
          <w:szCs w:val="20"/>
          <w:color w:val="auto"/>
        </w:rPr>
      </w:pPr>
    </w:p>
    <w:p>
      <w:pPr>
        <w:ind w:left="3820"/>
        <w:spacing w:after="0"/>
        <w:tabs>
          <w:tab w:leader="none" w:pos="44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Trustee</w:t>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2" Type="http://schemas.openxmlformats.org/officeDocument/2006/relationships/hyperlink" Target="http://www.sec.gov/cgi-bin/browse-edgar?action=getcompany&amp;CIK=0000904396" TargetMode="External"/><Relationship Id="rId13" Type="http://schemas.openxmlformats.org/officeDocument/2006/relationships/hyperlink" Target="http://www.sec.gov/cgi-bin/browse-edgar?action=getcompany&amp;CIK=0001174922" TargetMode="External"/><Relationship Id="rId14" Type="http://schemas.openxmlformats.org/officeDocument/2006/relationships/hyperlink" Target="http://www.sec.gov/cgi-bin/browse-edgar?action=getcompany&amp;CIK=0001656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2019-12-07T17:31:06Z</dcterms:created>
  <dcterms:modified xsi:type="dcterms:W3CDTF">2019-12-07T17:31:06Z</dcterms:modified>
</cp:coreProperties>
</file>