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MADDOX MATT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13,330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374,284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5,245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150.03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369,039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39,994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409,033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8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share, of Wynn Resorts, Limited granted pursuant to the Company's 2014 Omnibus Incentive Plan. Vesting of 50% of the shares is based on achievement of pre-established financial performance goals during the three year period ended December 31, 2022, and if met, will vest on March 1, 2023, and vesting of the remaining 50% is conditioned on continued service through January 14, 2023; provided that if the reporting person's employment with the Company is terminated, certain accelerated vesting provisions may apply.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Nick Pannucci,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Matt 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626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2020-01-16T19:49:51Z</dcterms:created>
  <dcterms:modified xsi:type="dcterms:W3CDTF">2020-01-16T19:49:51Z</dcterms:modified>
</cp:coreProperties>
</file>