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13D/A</w:t>
      </w: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983134 10 7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Kim Sinatra</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Vice President and General Counsel</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Wynn Resorts, Limited</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3131 Las Vegas Boulevard South</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Las Vegas, Nevada 89109</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(702) 770-2112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February 6, 2018</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4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9" w:lineRule="exact"/>
        <w:rPr>
          <w:sz w:val="24"/>
          <w:szCs w:val="24"/>
          <w:color w:val="auto"/>
        </w:rPr>
      </w:pPr>
    </w:p>
    <w:p>
      <w:pPr>
        <w:ind w:right="6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0" w:lineRule="exact"/>
        <w:rPr>
          <w:sz w:val="24"/>
          <w:szCs w:val="24"/>
          <w:color w:val="auto"/>
        </w:rPr>
      </w:pPr>
    </w:p>
    <w:p>
      <w:pPr>
        <w:ind w:right="100"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368" w:right="339" w:bottom="1440" w:gutter="0" w:footer="0" w:header="0"/>
        </w:sectPr>
      </w:pPr>
    </w:p>
    <w:bookmarkStart w:id="1" w:name="page2"/>
    <w:bookmarkEnd w:id="1"/>
    <w:p>
      <w:pPr>
        <w:ind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13 hereby amends and supplements the Schedule 13D filed by Mr. Wynn with the Securities and Exchange Commission (the “Commission”) on November 13, 2002, as amended to date (the “Schedule 13D”). Capitalized terms used but not defined herein shall have the respective meanings set forth in the Schedule 13D.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4 of the Schedule 13D is hereby supplemented with the following information: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February 6, 2018, Wynn Resorts, Limited (the “Company”) issued a press release (the “Press Release”) announcing that the Company’s Board of Directors (the “Board”) accepted the resignation of Mr. Wynn as the Company’s Chief Executive Officer and Chairman of the Board. This description of the Press Release does not purport to be complete and is qualified in its entirety by reference to the full text of the Press Release, which is filed as an exhibit to this Schedule 13D and incorporated by reference herein.</w:t>
      </w:r>
    </w:p>
    <w:p>
      <w:pPr>
        <w:sectPr>
          <w:pgSz w:w="11900" w:h="16838" w:orient="portrait"/>
          <w:cols w:equalWidth="0" w:num="1">
            <w:col w:w="11280"/>
          </w:cols>
          <w:pgMar w:left="240" w:top="274"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0720" w:type="dxa"/>
            <w:vAlign w:val="bottom"/>
            <w:gridSpan w:val="3"/>
          </w:tcPr>
          <w:p>
            <w:pPr>
              <w:ind w:left="458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440" w:type="dxa"/>
            <w:vAlign w:val="bottom"/>
          </w:tcPr>
          <w:p>
            <w:pPr>
              <w:ind w:left="20"/>
              <w:spacing w:after="0"/>
              <w:rPr>
                <w:sz w:val="20"/>
                <w:szCs w:val="20"/>
                <w:color w:val="auto"/>
              </w:rPr>
            </w:pPr>
            <w:r>
              <w:rPr>
                <w:rFonts w:ascii="Arial" w:cs="Arial" w:eastAsia="Arial" w:hAnsi="Arial"/>
                <w:sz w:val="14"/>
                <w:szCs w:val="14"/>
                <w:color w:val="auto"/>
                <w:w w:val="95"/>
              </w:rPr>
              <w:t>Exhibit</w:t>
            </w:r>
          </w:p>
        </w:tc>
        <w:tc>
          <w:tcPr>
            <w:tcW w:w="5420" w:type="dxa"/>
            <w:vAlign w:val="bottom"/>
          </w:tcPr>
          <w:p>
            <w:pPr>
              <w:spacing w:after="0"/>
              <w:rPr>
                <w:sz w:val="24"/>
                <w:szCs w:val="24"/>
                <w:color w:val="auto"/>
              </w:rPr>
            </w:pPr>
          </w:p>
        </w:tc>
        <w:tc>
          <w:tcPr>
            <w:tcW w:w="5300" w:type="dxa"/>
            <w:vAlign w:val="bottom"/>
            <w:gridSpan w:val="2"/>
          </w:tcPr>
          <w:p>
            <w:pPr>
              <w:ind w:left="20"/>
              <w:spacing w:after="0"/>
              <w:rPr>
                <w:sz w:val="20"/>
                <w:szCs w:val="20"/>
                <w:color w:val="auto"/>
              </w:rPr>
            </w:pPr>
            <w:r>
              <w:rPr>
                <w:rFonts w:ascii="Arial" w:cs="Arial" w:eastAsia="Arial" w:hAnsi="Arial"/>
                <w:sz w:val="14"/>
                <w:szCs w:val="14"/>
                <w:color w:val="auto"/>
              </w:rPr>
              <w:t>Description</w:t>
            </w:r>
          </w:p>
        </w:tc>
      </w:tr>
      <w:tr>
        <w:trPr>
          <w:trHeight w:val="20"/>
        </w:trPr>
        <w:tc>
          <w:tcPr>
            <w:tcW w:w="44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90"/>
        </w:trPr>
        <w:tc>
          <w:tcPr>
            <w:tcW w:w="440" w:type="dxa"/>
            <w:vAlign w:val="bottom"/>
          </w:tcPr>
          <w:p>
            <w:pPr>
              <w:spacing w:after="0"/>
              <w:rPr>
                <w:sz w:val="20"/>
                <w:szCs w:val="20"/>
                <w:color w:val="auto"/>
              </w:rPr>
            </w:pPr>
            <w:r>
              <w:rPr>
                <w:rFonts w:ascii="Arial" w:cs="Arial" w:eastAsia="Arial" w:hAnsi="Arial"/>
                <w:sz w:val="18"/>
                <w:szCs w:val="18"/>
                <w:color w:val="auto"/>
              </w:rPr>
              <w:t>99.1</w:t>
            </w: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w w:val="90"/>
              </w:rPr>
              <w:t>Press Release of the Company, dated February 6, 2018 (incorporated by reference to Exhibit 99.1 to the Current Report on Form 8-K filed on</w:t>
            </w:r>
          </w:p>
        </w:tc>
      </w:tr>
      <w:tr>
        <w:trPr>
          <w:trHeight w:val="230"/>
        </w:trPr>
        <w:tc>
          <w:tcPr>
            <w:tcW w:w="440" w:type="dxa"/>
            <w:vAlign w:val="bottom"/>
          </w:tcPr>
          <w:p>
            <w:pPr>
              <w:spacing w:after="0"/>
              <w:rPr>
                <w:sz w:val="20"/>
                <w:szCs w:val="20"/>
                <w:color w:val="auto"/>
              </w:rPr>
            </w:pPr>
          </w:p>
        </w:tc>
        <w:tc>
          <w:tcPr>
            <w:tcW w:w="10720" w:type="dxa"/>
            <w:vAlign w:val="bottom"/>
            <w:gridSpan w:val="3"/>
          </w:tcPr>
          <w:p>
            <w:pPr>
              <w:ind w:left="560"/>
              <w:spacing w:after="0"/>
              <w:rPr>
                <w:sz w:val="20"/>
                <w:szCs w:val="20"/>
                <w:color w:val="auto"/>
              </w:rPr>
            </w:pPr>
            <w:r>
              <w:rPr>
                <w:rFonts w:ascii="Arial" w:cs="Arial" w:eastAsia="Arial" w:hAnsi="Arial"/>
                <w:sz w:val="18"/>
                <w:szCs w:val="18"/>
                <w:color w:val="auto"/>
              </w:rPr>
              <w:t>February 7, 2018 by Wynn Resorts, Limited).</w:t>
            </w:r>
          </w:p>
        </w:tc>
      </w:tr>
    </w:tbl>
    <w:p>
      <w:pPr>
        <w:ind w:left="560"/>
        <w:spacing w:after="0"/>
        <w:rPr>
          <w:sz w:val="20"/>
          <w:szCs w:val="20"/>
          <w:color w:val="auto"/>
        </w:rPr>
        <w:sectPr>
          <w:pgSz w:w="11900" w:h="16838" w:orient="portrait"/>
          <w:cols w:equalWidth="0" w:num="1">
            <w:col w:w="11160"/>
          </w:cols>
          <w:pgMar w:left="2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7,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A. WYNN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A. Wynn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0920"/>
          </w:cols>
          <w:pgMar w:left="240" w:top="270" w:right="739" w:bottom="1440" w:gutter="0" w:footer="0" w:header="0"/>
        </w:sectPr>
      </w:pPr>
    </w:p>
    <w:bookmarkStart w:id="4" w:name="page5"/>
    <w:bookmarkEnd w:id="4"/>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7,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FAMILY LIMITED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PARTNERSHIP</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GP, LLC, its general partner</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Stephen A. Wynn Revocable Trust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U/D/T/ Dated June 24, 2010, its manager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A. Wynn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Trustee</w:t>
      </w:r>
    </w:p>
    <w:sectPr>
      <w:pgSz w:w="11900" w:h="16838" w:orient="portrait"/>
      <w:cols w:equalWidth="0" w:num="1">
        <w:col w:w="10920"/>
      </w:cols>
      <w:pgMar w:left="240" w:top="270"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2019-12-06T20:19:07Z</dcterms:created>
  <dcterms:modified xsi:type="dcterms:W3CDTF">2019-12-06T20:19:07Z</dcterms:modified>
</cp:coreProperties>
</file>