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MADDOX MATT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96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17,303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119.89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368,651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96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5,446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120.56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363,205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12/02/2019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96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2,251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121.54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360,954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60" w:type="dxa"/>
            <w:vAlign w:val="bottom"/>
            <w:gridSpan w:val="8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sales reported were effected by the reporting person, pursuant to their Rule 10b5-1 trading plan, adopted August 12, 2019.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0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the weighted average price of multiple transactions with a range of prices between $119.34 and $120.24.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0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the weighted average price of multiple transactions with a range of prices between $120.25 and $121.16. The reporting person, upon request by the staff of the SEC, the Company or by a security holder of the Company, undertakes to provide further information regarding the number of securities sold at each price.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0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the weighted average price of multiple transactions with a range of prices between $121.17 and $122.05. The reporting person, upon request by the staff of the SEC, the Company or by a security holder of the Company, undertakes to provide further information regarding the number of securities sold at each price.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Nick Pannucci,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 for Matt 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626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2019-12-04T20:02:54Z</dcterms:created>
  <dcterms:modified xsi:type="dcterms:W3CDTF">2019-12-04T20:02:54Z</dcterms:modified>
</cp:coreProperties>
</file>