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SATRE PHILIP G</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05/06/2019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9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05/06/2019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1,768</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97"/>
              <w:spacing w:after="0"/>
              <w:rPr>
                <w:sz w:val="20"/>
                <w:szCs w:val="20"/>
                <w:color w:val="auto"/>
              </w:rPr>
            </w:pPr>
            <w:r>
              <w:rPr>
                <w:rFonts w:ascii="Arial" w:cs="Arial" w:eastAsia="Arial" w:hAnsi="Arial"/>
                <w:sz w:val="18"/>
                <w:szCs w:val="18"/>
                <w:color w:val="0000FF"/>
                <w:w w:val="88"/>
              </w:rPr>
              <w:t>1,768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gridSpan w:val="7"/>
            <w:vMerge w:val="restart"/>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ind w:right="277"/>
              <w:spacing w:after="0"/>
              <w:rPr>
                <w:sz w:val="20"/>
                <w:szCs w:val="20"/>
                <w:color w:val="auto"/>
              </w:rPr>
            </w:pPr>
            <w:r>
              <w:rPr>
                <w:rFonts w:ascii="Arial" w:cs="Arial" w:eastAsia="Arial" w:hAnsi="Arial"/>
                <w:sz w:val="18"/>
                <w:szCs w:val="18"/>
                <w:color w:val="0000FF"/>
              </w:rPr>
              <w:t>11,995</w:t>
            </w:r>
            <w:r>
              <w:rPr>
                <w:rFonts w:ascii="Arial" w:cs="Arial" w:eastAsia="Arial" w:hAnsi="Arial"/>
                <w:sz w:val="22"/>
                <w:szCs w:val="22"/>
                <w:color w:val="008000"/>
                <w:vertAlign w:val="superscript"/>
              </w:rPr>
              <w:t>(2)</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gridSpan w:val="7"/>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98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that 100 shares previously reported in a Form 4 filing as directly held by the reporting person were deposited into a Family Trust.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Philip G. Satre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2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21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Nick Pannucci, and Roxane Peper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undersigned has executed this instrument effective as of the 21st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Philip G. Satre</w:t>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074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2019-12-23T22:15:43Z</dcterms:created>
  <dcterms:modified xsi:type="dcterms:W3CDTF">2019-12-23T22:15:43Z</dcterms:modified>
</cp:coreProperties>
</file>