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MADDOX MATT</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WYNN RESORTS, LIMITED</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3131 LAS VEGAS BOULEVARD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WYNN RESORTS LTD</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WYNN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08/18/2020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5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000" w:type="dxa"/>
            <w:vAlign w:val="bottom"/>
          </w:tcPr>
          <w:p>
            <w:pPr>
              <w:ind w:left="1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000" w:type="dxa"/>
            <w:vAlign w:val="bottom"/>
          </w:tcPr>
          <w:p>
            <w:pPr>
              <w:ind w:left="1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5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00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50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20" w:type="dxa"/>
            <w:vAlign w:val="bottom"/>
          </w:tcPr>
          <w:p>
            <w:pPr>
              <w:spacing w:after="0"/>
              <w:rPr>
                <w:sz w:val="21"/>
                <w:szCs w:val="21"/>
                <w:color w:val="auto"/>
              </w:rPr>
            </w:pPr>
          </w:p>
        </w:tc>
        <w:tc>
          <w:tcPr>
            <w:tcW w:w="1500" w:type="dxa"/>
            <w:vAlign w:val="bottom"/>
          </w:tcPr>
          <w:p>
            <w:pPr>
              <w:ind w:left="980"/>
              <w:spacing w:after="0"/>
              <w:rPr>
                <w:sz w:val="20"/>
                <w:szCs w:val="20"/>
                <w:color w:val="auto"/>
              </w:rPr>
            </w:pPr>
            <w:r>
              <w:rPr>
                <w:rFonts w:ascii="Arial" w:cs="Arial" w:eastAsia="Arial" w:hAnsi="Arial"/>
                <w:sz w:val="17"/>
                <w:szCs w:val="17"/>
                <w:color w:val="0000FF"/>
              </w:rPr>
              <w:t>CEO</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97"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LAS VEGAS</w:t>
            </w:r>
          </w:p>
        </w:tc>
        <w:tc>
          <w:tcPr>
            <w:tcW w:w="960" w:type="dxa"/>
            <w:vAlign w:val="bottom"/>
          </w:tcPr>
          <w:p>
            <w:pPr>
              <w:ind w:left="140"/>
              <w:spacing w:after="0"/>
              <w:rPr>
                <w:sz w:val="20"/>
                <w:szCs w:val="20"/>
                <w:color w:val="auto"/>
              </w:rPr>
            </w:pPr>
            <w:r>
              <w:rPr>
                <w:rFonts w:ascii="Arial" w:cs="Arial" w:eastAsia="Arial" w:hAnsi="Arial"/>
                <w:sz w:val="17"/>
                <w:szCs w:val="17"/>
                <w:color w:val="0000FF"/>
              </w:rPr>
              <w:t>NV</w:t>
            </w:r>
          </w:p>
        </w:tc>
        <w:tc>
          <w:tcPr>
            <w:tcW w:w="1600" w:type="dxa"/>
            <w:vAlign w:val="bottom"/>
          </w:tcPr>
          <w:p>
            <w:pPr>
              <w:ind w:left="400"/>
              <w:spacing w:after="0"/>
              <w:rPr>
                <w:sz w:val="20"/>
                <w:szCs w:val="20"/>
                <w:color w:val="auto"/>
              </w:rPr>
            </w:pPr>
            <w:r>
              <w:rPr>
                <w:rFonts w:ascii="Arial" w:cs="Arial" w:eastAsia="Arial" w:hAnsi="Arial"/>
                <w:sz w:val="17"/>
                <w:szCs w:val="17"/>
                <w:color w:val="0000FF"/>
              </w:rPr>
              <w:t>89109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193040</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36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7"/>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jc w:val="right"/>
              <w:ind w:right="141"/>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80" w:type="dxa"/>
            <w:vAlign w:val="bottom"/>
            <w:tcBorders>
              <w:bottom w:val="single" w:sz="8" w:color="2C2C2C"/>
            </w:tcBorders>
            <w:gridSpan w:val="4"/>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14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7"/>
                <w:szCs w:val="17"/>
                <w:color w:val="0000FF"/>
              </w:rPr>
              <w:t>08/18/2020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jc w:val="right"/>
              <w:ind w:right="33"/>
              <w:spacing w:after="0"/>
              <w:rPr>
                <w:sz w:val="20"/>
                <w:szCs w:val="20"/>
                <w:color w:val="auto"/>
              </w:rPr>
            </w:pPr>
            <w:r>
              <w:rPr>
                <w:rFonts w:ascii="Arial" w:cs="Arial" w:eastAsia="Arial" w:hAnsi="Arial"/>
                <w:sz w:val="17"/>
                <w:szCs w:val="17"/>
                <w:color w:val="0000FF"/>
              </w:rPr>
              <w:t>24,501</w:t>
            </w:r>
          </w:p>
        </w:tc>
        <w:tc>
          <w:tcPr>
            <w:tcW w:w="660" w:type="dxa"/>
            <w:vAlign w:val="bottom"/>
            <w:tcBorders>
              <w:bottom w:val="single" w:sz="8" w:color="2C2C2C"/>
            </w:tcBorders>
          </w:tcPr>
          <w:p>
            <w:pPr>
              <w:jc w:val="right"/>
              <w:ind w:right="141"/>
              <w:spacing w:after="0" w:line="320" w:lineRule="exact"/>
              <w:rPr>
                <w:sz w:val="20"/>
                <w:szCs w:val="20"/>
                <w:color w:val="auto"/>
              </w:rPr>
            </w:pPr>
            <w:r>
              <w:rPr>
                <w:rFonts w:ascii="Arial" w:cs="Arial" w:eastAsia="Arial" w:hAnsi="Arial"/>
                <w:sz w:val="34"/>
                <w:szCs w:val="34"/>
                <w:color w:val="0000FF"/>
                <w:vertAlign w:val="subscript"/>
              </w:rPr>
              <w:t>A</w:t>
            </w:r>
            <w:r>
              <w:rPr>
                <w:rFonts w:ascii="Arial" w:cs="Arial" w:eastAsia="Arial" w:hAnsi="Arial"/>
                <w:sz w:val="11"/>
                <w:szCs w:val="11"/>
                <w:color w:val="008000"/>
              </w:rPr>
              <w:t>(1)</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Arial" w:cs="Arial" w:eastAsia="Arial" w:hAnsi="Arial"/>
                <w:sz w:val="17"/>
                <w:szCs w:val="17"/>
                <w:color w:val="0000FF"/>
              </w:rPr>
              <w:t>606,255</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14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7"/>
                <w:szCs w:val="17"/>
                <w:color w:val="0000FF"/>
              </w:rPr>
              <w:t>08/18/2020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D</w:t>
            </w:r>
          </w:p>
        </w:tc>
        <w:tc>
          <w:tcPr>
            <w:tcW w:w="76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140,000</w:t>
            </w:r>
          </w:p>
        </w:tc>
        <w:tc>
          <w:tcPr>
            <w:tcW w:w="660" w:type="dxa"/>
            <w:vAlign w:val="bottom"/>
            <w:tcBorders>
              <w:bottom w:val="single" w:sz="8" w:color="2C2C2C"/>
            </w:tcBorders>
          </w:tcPr>
          <w:p>
            <w:pPr>
              <w:jc w:val="right"/>
              <w:ind w:right="141"/>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(2)</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Arial" w:cs="Arial" w:eastAsia="Arial" w:hAnsi="Arial"/>
                <w:sz w:val="17"/>
                <w:szCs w:val="17"/>
                <w:color w:val="0000FF"/>
              </w:rPr>
              <w:t>466,255</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9"/>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of common stock, par value $0.01 per share, of Wynn Resorts, Limited (the "Company") granted pursuant to the Company's Amended and Restated 2014 Omnibus Incentive Plan, which shares vest on August 18, 2021.</w:t>
      </w:r>
    </w:p>
    <w:p>
      <w:pPr>
        <w:spacing w:after="0" w:line="15" w:lineRule="exact"/>
        <w:rPr>
          <w:rFonts w:ascii="Arial" w:cs="Arial" w:eastAsia="Arial" w:hAnsi="Arial"/>
          <w:sz w:val="13"/>
          <w:szCs w:val="13"/>
          <w:color w:val="008000"/>
        </w:rPr>
      </w:pPr>
    </w:p>
    <w:p>
      <w:pPr>
        <w:ind w:left="40" w:right="4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cancellation of restricted shares of common stock, par value $0.01 per share, of the Company granted under the Company's 2014 Omnibus Incentive Plan to the reporting person on February 26, 2020, that were eligible to vest based on certain performance objectives. On August 18, 2020, 140,000 restricted shares were cancelled.</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Nicholas Pannucci,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804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Matt</w:t>
      </w:r>
      <w:r>
        <w:rPr>
          <w:sz w:val="20"/>
          <w:szCs w:val="20"/>
          <w:color w:val="auto"/>
        </w:rPr>
        <w:tab/>
      </w:r>
      <w:r>
        <w:rPr>
          <w:rFonts w:ascii="Arial" w:cs="Arial" w:eastAsia="Arial" w:hAnsi="Arial"/>
          <w:sz w:val="15"/>
          <w:szCs w:val="15"/>
          <w:color w:val="0000FF"/>
        </w:rPr>
        <w:t>08/20/2020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Maddox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663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195587" TargetMode="External"/><Relationship Id="rId14"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2020-08-20T07:15:48Z</dcterms:created>
  <dcterms:modified xsi:type="dcterms:W3CDTF">2020-08-20T07:15:48Z</dcterms:modified>
</cp:coreProperties>
</file>