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September 17, 2008</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20" w:type="dxa"/>
        <w:tblCellMar>
          <w:top w:w="0" w:type="dxa"/>
          <w:left w:w="0" w:type="dxa"/>
          <w:bottom w:w="0" w:type="dxa"/>
          <w:right w:w="0" w:type="dxa"/>
        </w:tblCellMar>
      </w:tblPr>
      <w:tr>
        <w:trPr>
          <w:trHeight w:val="253"/>
        </w:trPr>
        <w:tc>
          <w:tcPr>
            <w:tcW w:w="4020" w:type="dxa"/>
            <w:vAlign w:val="bottom"/>
          </w:tcPr>
          <w:p>
            <w:pPr>
              <w:jc w:val="center"/>
              <w:ind w:right="932"/>
              <w:spacing w:after="0"/>
              <w:rPr>
                <w:sz w:val="20"/>
                <w:szCs w:val="20"/>
                <w:color w:val="auto"/>
              </w:rPr>
            </w:pPr>
            <w:r>
              <w:rPr>
                <w:rFonts w:ascii="Arial" w:cs="Arial" w:eastAsia="Arial" w:hAnsi="Arial"/>
                <w:sz w:val="22"/>
                <w:szCs w:val="22"/>
                <w:b w:val="1"/>
                <w:bCs w:val="1"/>
                <w:color w:val="auto"/>
                <w:w w:val="89"/>
              </w:rPr>
              <w:t>Nevada</w:t>
            </w:r>
          </w:p>
        </w:tc>
        <w:tc>
          <w:tcPr>
            <w:tcW w:w="3500" w:type="dxa"/>
            <w:vAlign w:val="bottom"/>
          </w:tcPr>
          <w:p>
            <w:pPr>
              <w:jc w:val="center"/>
              <w:ind w:right="872"/>
              <w:spacing w:after="0"/>
              <w:rPr>
                <w:sz w:val="20"/>
                <w:szCs w:val="20"/>
                <w:color w:val="auto"/>
              </w:rPr>
            </w:pPr>
            <w:r>
              <w:rPr>
                <w:rFonts w:ascii="Arial" w:cs="Arial" w:eastAsia="Arial" w:hAnsi="Arial"/>
                <w:sz w:val="22"/>
                <w:szCs w:val="22"/>
                <w:b w:val="1"/>
                <w:bCs w:val="1"/>
                <w:color w:val="auto"/>
                <w:w w:val="88"/>
              </w:rPr>
              <w:t>46-0484987</w:t>
            </w:r>
          </w:p>
        </w:tc>
        <w:tc>
          <w:tcPr>
            <w:tcW w:w="3140" w:type="dxa"/>
            <w:vAlign w:val="bottom"/>
          </w:tcPr>
          <w:p>
            <w:pPr>
              <w:jc w:val="right"/>
              <w:ind w:right="992"/>
              <w:spacing w:after="0"/>
              <w:rPr>
                <w:sz w:val="20"/>
                <w:szCs w:val="20"/>
                <w:color w:val="auto"/>
              </w:rPr>
            </w:pPr>
            <w:r>
              <w:rPr>
                <w:rFonts w:ascii="Arial" w:cs="Arial" w:eastAsia="Arial" w:hAnsi="Arial"/>
                <w:sz w:val="22"/>
                <w:szCs w:val="22"/>
                <w:b w:val="1"/>
                <w:bCs w:val="1"/>
                <w:color w:val="auto"/>
              </w:rPr>
              <w:t>000-50028</w:t>
            </w:r>
          </w:p>
        </w:tc>
      </w:tr>
      <w:tr>
        <w:trPr>
          <w:trHeight w:val="243"/>
        </w:trPr>
        <w:tc>
          <w:tcPr>
            <w:tcW w:w="4020" w:type="dxa"/>
            <w:vAlign w:val="bottom"/>
          </w:tcPr>
          <w:p>
            <w:pPr>
              <w:jc w:val="center"/>
              <w:ind w:right="93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500" w:type="dxa"/>
            <w:vAlign w:val="bottom"/>
          </w:tcPr>
          <w:p>
            <w:pPr>
              <w:jc w:val="center"/>
              <w:ind w:right="852"/>
              <w:spacing w:after="0" w:line="243" w:lineRule="exact"/>
              <w:rPr>
                <w:sz w:val="20"/>
                <w:szCs w:val="20"/>
                <w:color w:val="auto"/>
              </w:rPr>
            </w:pPr>
            <w:r>
              <w:rPr>
                <w:rFonts w:ascii="Arial" w:cs="Arial" w:eastAsia="Arial" w:hAnsi="Arial"/>
                <w:sz w:val="22"/>
                <w:szCs w:val="22"/>
                <w:color w:val="auto"/>
                <w:w w:val="90"/>
              </w:rPr>
              <w:t>(Commission File Number)</w:t>
            </w:r>
          </w:p>
        </w:tc>
        <w:tc>
          <w:tcPr>
            <w:tcW w:w="3140" w:type="dxa"/>
            <w:vAlign w:val="bottom"/>
          </w:tcPr>
          <w:p>
            <w:pPr>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020" w:type="dxa"/>
            <w:vAlign w:val="bottom"/>
          </w:tcPr>
          <w:p>
            <w:pPr>
              <w:jc w:val="center"/>
              <w:ind w:right="952"/>
              <w:spacing w:after="0"/>
              <w:rPr>
                <w:sz w:val="20"/>
                <w:szCs w:val="20"/>
                <w:color w:val="auto"/>
              </w:rPr>
            </w:pPr>
            <w:r>
              <w:rPr>
                <w:rFonts w:ascii="Arial" w:cs="Arial" w:eastAsia="Arial" w:hAnsi="Arial"/>
                <w:sz w:val="22"/>
                <w:szCs w:val="22"/>
                <w:color w:val="auto"/>
                <w:w w:val="92"/>
              </w:rPr>
              <w:t>incorporation)</w:t>
            </w:r>
          </w:p>
        </w:tc>
        <w:tc>
          <w:tcPr>
            <w:tcW w:w="350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455"/>
        </w:trPr>
        <w:tc>
          <w:tcPr>
            <w:tcW w:w="4020" w:type="dxa"/>
            <w:vAlign w:val="bottom"/>
          </w:tcPr>
          <w:p>
            <w:pPr>
              <w:spacing w:after="0"/>
              <w:rPr>
                <w:sz w:val="24"/>
                <w:szCs w:val="24"/>
                <w:color w:val="auto"/>
              </w:rPr>
            </w:pPr>
          </w:p>
        </w:tc>
        <w:tc>
          <w:tcPr>
            <w:tcW w:w="3500" w:type="dxa"/>
            <w:vAlign w:val="bottom"/>
          </w:tcPr>
          <w:p>
            <w:pPr>
              <w:jc w:val="center"/>
              <w:ind w:right="852"/>
              <w:spacing w:after="0"/>
              <w:rPr>
                <w:sz w:val="20"/>
                <w:szCs w:val="20"/>
                <w:color w:val="auto"/>
              </w:rPr>
            </w:pPr>
            <w:r>
              <w:rPr>
                <w:rFonts w:ascii="Arial" w:cs="Arial" w:eastAsia="Arial" w:hAnsi="Arial"/>
                <w:sz w:val="22"/>
                <w:szCs w:val="22"/>
                <w:b w:val="1"/>
                <w:bCs w:val="1"/>
                <w:color w:val="auto"/>
                <w:w w:val="97"/>
              </w:rPr>
              <w:t>WYNN LAS VEGAS, LLC</w:t>
            </w:r>
          </w:p>
        </w:tc>
        <w:tc>
          <w:tcPr>
            <w:tcW w:w="3140" w:type="dxa"/>
            <w:vAlign w:val="bottom"/>
          </w:tcPr>
          <w:p>
            <w:pPr>
              <w:spacing w:after="0"/>
              <w:rPr>
                <w:sz w:val="24"/>
                <w:szCs w:val="24"/>
                <w:color w:val="auto"/>
              </w:rPr>
            </w:pPr>
          </w:p>
        </w:tc>
      </w:tr>
      <w:tr>
        <w:trPr>
          <w:trHeight w:val="275"/>
        </w:trPr>
        <w:tc>
          <w:tcPr>
            <w:tcW w:w="7520" w:type="dxa"/>
            <w:vAlign w:val="bottom"/>
            <w:gridSpan w:val="2"/>
          </w:tcPr>
          <w:p>
            <w:pPr>
              <w:jc w:val="center"/>
              <w:ind w:left="2952"/>
              <w:spacing w:after="0"/>
              <w:rPr>
                <w:sz w:val="20"/>
                <w:szCs w:val="20"/>
                <w:color w:val="auto"/>
              </w:rPr>
            </w:pPr>
            <w:r>
              <w:rPr>
                <w:rFonts w:ascii="Arial" w:cs="Arial" w:eastAsia="Arial" w:hAnsi="Arial"/>
                <w:sz w:val="22"/>
                <w:szCs w:val="22"/>
                <w:color w:val="auto"/>
                <w:w w:val="88"/>
              </w:rPr>
              <w:t>(Exact name of registrant as specified in its charter)</w:t>
            </w:r>
          </w:p>
        </w:tc>
        <w:tc>
          <w:tcPr>
            <w:tcW w:w="3140" w:type="dxa"/>
            <w:vAlign w:val="bottom"/>
          </w:tcPr>
          <w:p>
            <w:pPr>
              <w:spacing w:after="0"/>
              <w:rPr>
                <w:sz w:val="23"/>
                <w:szCs w:val="23"/>
                <w:color w:val="auto"/>
              </w:rPr>
            </w:pPr>
          </w:p>
        </w:tc>
      </w:tr>
      <w:tr>
        <w:trPr>
          <w:trHeight w:val="698"/>
        </w:trPr>
        <w:tc>
          <w:tcPr>
            <w:tcW w:w="4020" w:type="dxa"/>
            <w:vAlign w:val="bottom"/>
          </w:tcPr>
          <w:p>
            <w:pPr>
              <w:jc w:val="center"/>
              <w:ind w:right="932"/>
              <w:spacing w:after="0"/>
              <w:rPr>
                <w:sz w:val="20"/>
                <w:szCs w:val="20"/>
                <w:color w:val="auto"/>
              </w:rPr>
            </w:pPr>
            <w:r>
              <w:rPr>
                <w:rFonts w:ascii="Arial" w:cs="Arial" w:eastAsia="Arial" w:hAnsi="Arial"/>
                <w:sz w:val="22"/>
                <w:szCs w:val="22"/>
                <w:b w:val="1"/>
                <w:bCs w:val="1"/>
                <w:color w:val="auto"/>
                <w:w w:val="89"/>
              </w:rPr>
              <w:t>Nevada</w:t>
            </w:r>
          </w:p>
        </w:tc>
        <w:tc>
          <w:tcPr>
            <w:tcW w:w="3500" w:type="dxa"/>
            <w:vAlign w:val="bottom"/>
          </w:tcPr>
          <w:p>
            <w:pPr>
              <w:jc w:val="center"/>
              <w:ind w:right="872"/>
              <w:spacing w:after="0"/>
              <w:rPr>
                <w:sz w:val="20"/>
                <w:szCs w:val="20"/>
                <w:color w:val="auto"/>
              </w:rPr>
            </w:pPr>
            <w:r>
              <w:rPr>
                <w:rFonts w:ascii="Arial" w:cs="Arial" w:eastAsia="Arial" w:hAnsi="Arial"/>
                <w:sz w:val="22"/>
                <w:szCs w:val="22"/>
                <w:b w:val="1"/>
                <w:bCs w:val="1"/>
                <w:color w:val="auto"/>
                <w:w w:val="88"/>
              </w:rPr>
              <w:t>333-100768</w:t>
            </w:r>
          </w:p>
        </w:tc>
        <w:tc>
          <w:tcPr>
            <w:tcW w:w="3140" w:type="dxa"/>
            <w:vAlign w:val="bottom"/>
          </w:tcPr>
          <w:p>
            <w:pPr>
              <w:jc w:val="right"/>
              <w:ind w:right="932"/>
              <w:spacing w:after="0"/>
              <w:rPr>
                <w:sz w:val="20"/>
                <w:szCs w:val="20"/>
                <w:color w:val="auto"/>
              </w:rPr>
            </w:pPr>
            <w:r>
              <w:rPr>
                <w:rFonts w:ascii="Arial" w:cs="Arial" w:eastAsia="Arial" w:hAnsi="Arial"/>
                <w:sz w:val="22"/>
                <w:szCs w:val="22"/>
                <w:b w:val="1"/>
                <w:bCs w:val="1"/>
                <w:color w:val="auto"/>
              </w:rPr>
              <w:t>88-0494875</w:t>
            </w:r>
          </w:p>
        </w:tc>
      </w:tr>
      <w:tr>
        <w:trPr>
          <w:trHeight w:val="243"/>
        </w:trPr>
        <w:tc>
          <w:tcPr>
            <w:tcW w:w="4020" w:type="dxa"/>
            <w:vAlign w:val="bottom"/>
          </w:tcPr>
          <w:p>
            <w:pPr>
              <w:jc w:val="center"/>
              <w:ind w:right="93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500" w:type="dxa"/>
            <w:vAlign w:val="bottom"/>
          </w:tcPr>
          <w:p>
            <w:pPr>
              <w:jc w:val="center"/>
              <w:ind w:right="852"/>
              <w:spacing w:after="0" w:line="243" w:lineRule="exact"/>
              <w:rPr>
                <w:sz w:val="20"/>
                <w:szCs w:val="20"/>
                <w:color w:val="auto"/>
              </w:rPr>
            </w:pPr>
            <w:r>
              <w:rPr>
                <w:rFonts w:ascii="Arial" w:cs="Arial" w:eastAsia="Arial" w:hAnsi="Arial"/>
                <w:sz w:val="22"/>
                <w:szCs w:val="22"/>
                <w:color w:val="auto"/>
                <w:w w:val="90"/>
              </w:rPr>
              <w:t>(Commission File Number)</w:t>
            </w:r>
          </w:p>
        </w:tc>
        <w:tc>
          <w:tcPr>
            <w:tcW w:w="3140" w:type="dxa"/>
            <w:vAlign w:val="bottom"/>
          </w:tcPr>
          <w:p>
            <w:pPr>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020" w:type="dxa"/>
            <w:vAlign w:val="bottom"/>
          </w:tcPr>
          <w:p>
            <w:pPr>
              <w:jc w:val="center"/>
              <w:ind w:right="952"/>
              <w:spacing w:after="0"/>
              <w:rPr>
                <w:sz w:val="20"/>
                <w:szCs w:val="20"/>
                <w:color w:val="auto"/>
              </w:rPr>
            </w:pPr>
            <w:r>
              <w:rPr>
                <w:rFonts w:ascii="Arial" w:cs="Arial" w:eastAsia="Arial" w:hAnsi="Arial"/>
                <w:sz w:val="22"/>
                <w:szCs w:val="22"/>
                <w:color w:val="auto"/>
                <w:w w:val="92"/>
              </w:rPr>
              <w:t>incorporation)</w:t>
            </w:r>
          </w:p>
        </w:tc>
        <w:tc>
          <w:tcPr>
            <w:tcW w:w="350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692"/>
        </w:trPr>
        <w:tc>
          <w:tcPr>
            <w:tcW w:w="4020" w:type="dxa"/>
            <w:vAlign w:val="bottom"/>
          </w:tcPr>
          <w:p>
            <w:pPr>
              <w:jc w:val="center"/>
              <w:ind w:left="852"/>
              <w:spacing w:after="0"/>
              <w:rPr>
                <w:sz w:val="20"/>
                <w:szCs w:val="20"/>
                <w:color w:val="auto"/>
              </w:rPr>
            </w:pPr>
            <w:r>
              <w:rPr>
                <w:rFonts w:ascii="Arial" w:cs="Arial" w:eastAsia="Arial" w:hAnsi="Arial"/>
                <w:sz w:val="22"/>
                <w:szCs w:val="22"/>
                <w:b w:val="1"/>
                <w:bCs w:val="1"/>
                <w:color w:val="auto"/>
                <w:w w:val="87"/>
              </w:rPr>
              <w:t>3131 Las Vegas Boulevard South</w:t>
            </w:r>
          </w:p>
        </w:tc>
        <w:tc>
          <w:tcPr>
            <w:tcW w:w="35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9"/>
        </w:trPr>
        <w:tc>
          <w:tcPr>
            <w:tcW w:w="4020" w:type="dxa"/>
            <w:vAlign w:val="bottom"/>
          </w:tcPr>
          <w:p>
            <w:pPr>
              <w:jc w:val="center"/>
              <w:ind w:left="852"/>
              <w:spacing w:after="0" w:line="249" w:lineRule="exact"/>
              <w:rPr>
                <w:sz w:val="20"/>
                <w:szCs w:val="20"/>
                <w:color w:val="auto"/>
              </w:rPr>
            </w:pPr>
            <w:r>
              <w:rPr>
                <w:rFonts w:ascii="Arial" w:cs="Arial" w:eastAsia="Arial" w:hAnsi="Arial"/>
                <w:sz w:val="22"/>
                <w:szCs w:val="22"/>
                <w:b w:val="1"/>
                <w:bCs w:val="1"/>
                <w:color w:val="auto"/>
                <w:w w:val="87"/>
              </w:rPr>
              <w:t>Las Vegas, Nevada</w:t>
            </w:r>
          </w:p>
        </w:tc>
        <w:tc>
          <w:tcPr>
            <w:tcW w:w="3500" w:type="dxa"/>
            <w:vAlign w:val="bottom"/>
          </w:tcPr>
          <w:p>
            <w:pPr>
              <w:spacing w:after="0"/>
              <w:rPr>
                <w:sz w:val="21"/>
                <w:szCs w:val="21"/>
                <w:color w:val="auto"/>
              </w:rPr>
            </w:pPr>
          </w:p>
        </w:tc>
        <w:tc>
          <w:tcPr>
            <w:tcW w:w="3140" w:type="dxa"/>
            <w:vAlign w:val="bottom"/>
          </w:tcPr>
          <w:p>
            <w:pPr>
              <w:jc w:val="right"/>
              <w:ind w:right="2132"/>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520" w:type="dxa"/>
            <w:vAlign w:val="bottom"/>
            <w:gridSpan w:val="2"/>
          </w:tcPr>
          <w:p>
            <w:pPr>
              <w:jc w:val="center"/>
              <w:ind w:right="2432"/>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140" w:type="dxa"/>
            <w:vAlign w:val="bottom"/>
          </w:tcPr>
          <w:p>
            <w:pPr>
              <w:jc w:val="center"/>
              <w:ind w:right="1772"/>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2"/>
          <w:szCs w:val="22"/>
          <w:color w:val="auto"/>
        </w:rPr>
        <w:t>Written communication pursuant to Rule 425 under the Securities Act (17 CFR 230.425)</w:t>
      </w:r>
    </w:p>
    <w:p>
      <w:pPr>
        <w:spacing w:after="0" w:line="233"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Pre-commencement communications pursuant to Rule 14d-2(b) under the Exchange Act (17 CFR 240.14d-2(b))</w:t>
      </w:r>
    </w:p>
    <w:p>
      <w:pPr>
        <w:spacing w:after="0" w:line="233"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September 17, 2008, Wynn Las Vegas, LLC (the “Company”) entered into a third amendment (“Amendment No. 3”) to its Amended and Restated Credit Agreement, dated as of August 15, 2006 (as amended by that certain First Amendment to Amended and Restated Credit Agreement, dated as of April 9, 2007, and that certain Second Amendment to Amended and Restated Credit Agreement, dated as of October 31, 2007, the “Credit Agreement”), among the Company,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w:t>
      </w:r>
    </w:p>
    <w:p>
      <w:pPr>
        <w:spacing w:after="0" w:line="200" w:lineRule="exact"/>
        <w:rPr>
          <w:sz w:val="20"/>
          <w:szCs w:val="20"/>
          <w:color w:val="auto"/>
        </w:rPr>
      </w:pPr>
    </w:p>
    <w:p>
      <w:pPr>
        <w:spacing w:after="0" w:line="23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Amendment No. 3 amends the Credit Agreement in order to, among other things, provide the Company with additional flexibility with respect to its financial covenants and related financial calculations under the Credit Agreement and additional flexibility to incur incremental secured debt under the credit facility in connection with the development of Encore at Wynn Las Vegas.</w:t>
      </w:r>
    </w:p>
    <w:p>
      <w:pPr>
        <w:spacing w:after="0" w:line="16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lenders and agents under the Credit Agreement and certain of their affiliates have performed investment banking, commercial lending and advisory services for the Company and its affiliates, from time to time, for which they have received customary fees and expenses. These parties may, from time to time, engage in transactions with, and perform services for, the Company and its affiliates in the ordinary course of their business.</w:t>
      </w:r>
    </w:p>
    <w:p>
      <w:pPr>
        <w:spacing w:after="0" w:line="212" w:lineRule="exact"/>
        <w:rPr>
          <w:sz w:val="20"/>
          <w:szCs w:val="20"/>
          <w:color w:val="auto"/>
        </w:rPr>
      </w:pPr>
    </w:p>
    <w:p>
      <w:pPr>
        <w:ind w:right="840"/>
        <w:spacing w:after="0" w:line="328" w:lineRule="auto"/>
        <w:rPr>
          <w:sz w:val="20"/>
          <w:szCs w:val="20"/>
          <w:color w:val="auto"/>
        </w:rPr>
      </w:pPr>
      <w:r>
        <w:rPr>
          <w:rFonts w:ascii="Arial" w:cs="Arial" w:eastAsia="Arial" w:hAnsi="Arial"/>
          <w:sz w:val="19"/>
          <w:szCs w:val="19"/>
          <w:color w:val="auto"/>
        </w:rPr>
        <w:t>The description of Amendment No. 3 set forth herein does not purport to be complete and is qualified in its entirety by the provisions of Amendment No. 3, which is incorporated herein by reference and is filed herewith as Exhibit 10.1.</w:t>
      </w:r>
    </w:p>
    <w:p>
      <w:pPr>
        <w:spacing w:after="0" w:line="12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40" w:hanging="949"/>
        <w:spacing w:after="0"/>
        <w:tabs>
          <w:tab w:leader="none" w:pos="1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400"/>
        <w:spacing w:after="0"/>
        <w:tabs>
          <w:tab w:leader="none" w:pos="152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15" w:lineRule="exact"/>
        <w:rPr>
          <w:sz w:val="20"/>
          <w:szCs w:val="20"/>
          <w:color w:val="auto"/>
        </w:rPr>
      </w:pPr>
    </w:p>
    <w:p>
      <w:pPr>
        <w:ind w:left="1540" w:right="40" w:hanging="978"/>
        <w:spacing w:after="0" w:line="248" w:lineRule="auto"/>
        <w:tabs>
          <w:tab w:leader="none" w:pos="15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Third Amendment to Amended and Restated Credit Agreement dated as of September 17, 2008 among Wynn Las Vegas, LLC, Wynn Las Vegas Capital Corp., Wynn Show Performers, LLC, Wynn Golf, LLC, Wynn Sunrise, LLC, World Travel, LLC, Kevyn, 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18, 2008</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00" w:type="dxa"/>
            <w:vAlign w:val="bottom"/>
          </w:tcPr>
          <w:p>
            <w:pPr>
              <w:ind w:left="6640"/>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740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740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740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Treasurer</w:t>
            </w:r>
          </w:p>
        </w:tc>
      </w:tr>
      <w:tr>
        <w:trPr>
          <w:trHeight w:val="595"/>
        </w:trPr>
        <w:tc>
          <w:tcPr>
            <w:tcW w:w="74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18, 2008</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WYNN LAS VEGAS, LLC</w:t>
      </w:r>
    </w:p>
    <w:p>
      <w:pPr>
        <w:spacing w:after="0" w:line="196" w:lineRule="exact"/>
        <w:rPr>
          <w:sz w:val="20"/>
          <w:szCs w:val="20"/>
          <w:color w:val="auto"/>
        </w:rPr>
      </w:pPr>
    </w:p>
    <w:tbl>
      <w:tblPr>
        <w:tblLayout w:type="fixed"/>
        <w:tblInd w:w="664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Pr>
          <w:p>
            <w:pPr>
              <w:ind w:left="240"/>
              <w:spacing w:after="0"/>
              <w:rPr>
                <w:sz w:val="20"/>
                <w:szCs w:val="20"/>
                <w:color w:val="auto"/>
              </w:rPr>
            </w:pPr>
            <w:r>
              <w:rPr>
                <w:rFonts w:ascii="Arial" w:cs="Arial" w:eastAsia="Arial" w:hAnsi="Arial"/>
                <w:sz w:val="22"/>
                <w:szCs w:val="22"/>
                <w:color w:val="auto"/>
                <w:w w:val="95"/>
              </w:rPr>
              <w:t>Wynn  Resorts  Holdings,  LLC,  its  sole</w:t>
            </w:r>
          </w:p>
        </w:tc>
      </w:tr>
      <w:tr>
        <w:trPr>
          <w:trHeight w:val="275"/>
        </w:trPr>
        <w:tc>
          <w:tcPr>
            <w:tcW w:w="760" w:type="dxa"/>
            <w:vAlign w:val="bottom"/>
          </w:tcPr>
          <w:p>
            <w:pPr>
              <w:spacing w:after="0"/>
              <w:rPr>
                <w:sz w:val="23"/>
                <w:szCs w:val="23"/>
                <w:color w:val="auto"/>
              </w:rPr>
            </w:pPr>
          </w:p>
        </w:tc>
        <w:tc>
          <w:tcPr>
            <w:tcW w:w="4020" w:type="dxa"/>
            <w:vAlign w:val="bottom"/>
          </w:tcPr>
          <w:p>
            <w:pPr>
              <w:ind w:left="460"/>
              <w:spacing w:after="0"/>
              <w:rPr>
                <w:sz w:val="20"/>
                <w:szCs w:val="20"/>
                <w:color w:val="auto"/>
              </w:rPr>
            </w:pPr>
            <w:r>
              <w:rPr>
                <w:rFonts w:ascii="Arial" w:cs="Arial" w:eastAsia="Arial" w:hAnsi="Arial"/>
                <w:sz w:val="22"/>
                <w:szCs w:val="22"/>
                <w:color w:val="auto"/>
              </w:rPr>
              <w:t>member</w:t>
            </w:r>
          </w:p>
        </w:tc>
      </w:tr>
      <w:tr>
        <w:trPr>
          <w:trHeight w:val="459"/>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Pr>
          <w:p>
            <w:pPr>
              <w:ind w:left="40"/>
              <w:spacing w:after="0"/>
              <w:rPr>
                <w:sz w:val="20"/>
                <w:szCs w:val="20"/>
                <w:color w:val="auto"/>
              </w:rPr>
            </w:pPr>
            <w:r>
              <w:rPr>
                <w:rFonts w:ascii="Arial" w:cs="Arial" w:eastAsia="Arial" w:hAnsi="Arial"/>
                <w:sz w:val="22"/>
                <w:szCs w:val="22"/>
                <w:color w:val="auto"/>
              </w:rPr>
              <w:t>Wynn Resorts, Limited, its sole member</w:t>
            </w:r>
          </w:p>
        </w:tc>
      </w:tr>
      <w:tr>
        <w:trPr>
          <w:trHeight w:val="449"/>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76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760" w:type="dxa"/>
            <w:vAlign w:val="bottom"/>
          </w:tcPr>
          <w:p>
            <w:pPr>
              <w:spacing w:after="0"/>
              <w:rPr>
                <w:sz w:val="21"/>
                <w:szCs w:val="21"/>
                <w:color w:val="auto"/>
              </w:rPr>
            </w:pPr>
          </w:p>
        </w:tc>
        <w:tc>
          <w:tcPr>
            <w:tcW w:w="4020" w:type="dxa"/>
            <w:vAlign w:val="bottom"/>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76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22"/>
                <w:szCs w:val="22"/>
                <w:color w:val="auto"/>
              </w:rPr>
              <w:t>Treasurer</w:t>
            </w:r>
          </w:p>
        </w:tc>
      </w:tr>
    </w:tbl>
    <w:p>
      <w:pPr>
        <w:sectPr>
          <w:pgSz w:w="11900" w:h="16838" w:orient="portrait"/>
          <w:cols w:equalWidth="0" w:num="1">
            <w:col w:w="11420"/>
          </w:cols>
          <w:pgMar w:left="240" w:top="355"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THIRD AMENDMENT TO</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0" w:lineRule="exact"/>
        <w:rPr>
          <w:sz w:val="20"/>
          <w:szCs w:val="20"/>
          <w:color w:val="auto"/>
        </w:rPr>
      </w:pPr>
    </w:p>
    <w:p>
      <w:pPr>
        <w:spacing w:after="0" w:line="258" w:lineRule="exact"/>
        <w:rPr>
          <w:sz w:val="20"/>
          <w:szCs w:val="20"/>
          <w:color w:val="auto"/>
        </w:rPr>
      </w:pPr>
    </w:p>
    <w:p>
      <w:pPr>
        <w:jc w:val="both"/>
        <w:ind w:right="20" w:firstLine="720"/>
        <w:spacing w:after="0" w:line="236" w:lineRule="auto"/>
        <w:rPr>
          <w:sz w:val="20"/>
          <w:szCs w:val="20"/>
          <w:color w:val="auto"/>
        </w:rPr>
      </w:pPr>
      <w:r>
        <w:rPr>
          <w:rFonts w:ascii="Arial" w:cs="Arial" w:eastAsia="Arial" w:hAnsi="Arial"/>
          <w:sz w:val="22"/>
          <w:szCs w:val="22"/>
          <w:color w:val="auto"/>
        </w:rPr>
        <w:t>THIS THIRD AMENDMENT TO AMENDED AND RESTATED CREDIT AGREEMENT (this “</w:t>
      </w:r>
      <w:r>
        <w:rPr>
          <w:rFonts w:ascii="Arial" w:cs="Arial" w:eastAsia="Arial" w:hAnsi="Arial"/>
          <w:sz w:val="22"/>
          <w:szCs w:val="22"/>
          <w:u w:val="single" w:color="auto"/>
          <w:color w:val="auto"/>
        </w:rPr>
        <w:t>Third Amendment</w:t>
      </w:r>
      <w:r>
        <w:rPr>
          <w:rFonts w:ascii="Arial" w:cs="Arial" w:eastAsia="Arial" w:hAnsi="Arial"/>
          <w:sz w:val="22"/>
          <w:szCs w:val="22"/>
          <w:color w:val="auto"/>
        </w:rPr>
        <w:t>”), dated as of September 17, 2008 and effective as of the Effective Date (as hereinafter defined), is made and entered into among WYNN LAS VEGAS, LLC, a Nevada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the Wynn Amendment Parties (as hereinafter defined) and DEUTSCHE BANK TRUST COMPANY AMERICAS, as administrative agent (in such capacity, the “</w:t>
      </w:r>
      <w:r>
        <w:rPr>
          <w:rFonts w:ascii="Arial" w:cs="Arial" w:eastAsia="Arial" w:hAnsi="Arial"/>
          <w:sz w:val="22"/>
          <w:szCs w:val="22"/>
          <w:u w:val="single" w:color="auto"/>
          <w:color w:val="auto"/>
        </w:rPr>
        <w:t>Administrative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 on behalf of the Lenders (as hereinafter defined).</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firstLine="728"/>
        <w:spacing w:after="0" w:line="273" w:lineRule="auto"/>
        <w:tabs>
          <w:tab w:leader="none" w:pos="1589"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Borrower and the Administrative Agent are parties to that certain Amended and Restated Credit Agreement, dated as of August 15, 2006 (as amended by that certain First Amendment to Amended and Restated Credit Agreement, dated as of April 9, 2007, and that certain Second Amendment to Amended and Restated Credit Agreement, dated as of October 31, 2007,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right="20" w:firstLine="728"/>
        <w:spacing w:after="0" w:line="233" w:lineRule="auto"/>
        <w:tabs>
          <w:tab w:leader="none" w:pos="1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connection with the Credit Agreement, each of Wynn Las Vegas Capital Corp., a Nevada corporation (“</w:t>
      </w:r>
      <w:r>
        <w:rPr>
          <w:rFonts w:ascii="Arial" w:cs="Arial" w:eastAsia="Arial" w:hAnsi="Arial"/>
          <w:sz w:val="22"/>
          <w:szCs w:val="22"/>
          <w:u w:val="single" w:color="auto"/>
          <w:color w:val="auto"/>
        </w:rPr>
        <w:t>Capital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Corp.</w:t>
      </w:r>
      <w:r>
        <w:rPr>
          <w:rFonts w:ascii="Arial" w:cs="Arial" w:eastAsia="Arial" w:hAnsi="Arial"/>
          <w:sz w:val="22"/>
          <w:szCs w:val="22"/>
          <w:color w:val="auto"/>
        </w:rPr>
        <w:t>”), Wynn Show Performers, LLC, a Nevada limited liability company (“</w:t>
      </w:r>
      <w:r>
        <w:rPr>
          <w:rFonts w:ascii="Arial" w:cs="Arial" w:eastAsia="Arial" w:hAnsi="Arial"/>
          <w:sz w:val="22"/>
          <w:szCs w:val="22"/>
          <w:u w:val="single" w:color="auto"/>
          <w:color w:val="auto"/>
        </w:rPr>
        <w:t>Show Performers</w:t>
      </w:r>
      <w:r>
        <w:rPr>
          <w:rFonts w:ascii="Arial" w:cs="Arial" w:eastAsia="Arial" w:hAnsi="Arial"/>
          <w:sz w:val="22"/>
          <w:szCs w:val="22"/>
          <w:color w:val="auto"/>
        </w:rPr>
        <w:t>”), Wynn Golf, LLC, a Nevada limited liability company (“</w:t>
      </w:r>
      <w:r>
        <w:rPr>
          <w:rFonts w:ascii="Arial" w:cs="Arial" w:eastAsia="Arial" w:hAnsi="Arial"/>
          <w:sz w:val="22"/>
          <w:szCs w:val="22"/>
          <w:u w:val="single" w:color="auto"/>
          <w:color w:val="auto"/>
        </w:rPr>
        <w:t>Wynn Golf</w:t>
      </w:r>
      <w:r>
        <w:rPr>
          <w:rFonts w:ascii="Arial" w:cs="Arial" w:eastAsia="Arial" w:hAnsi="Arial"/>
          <w:sz w:val="22"/>
          <w:szCs w:val="22"/>
          <w:color w:val="auto"/>
        </w:rPr>
        <w:t>”), Wynn Sunrise, LLC, a Nevada limited liability company (“</w:t>
      </w:r>
      <w:r>
        <w:rPr>
          <w:rFonts w:ascii="Arial" w:cs="Arial" w:eastAsia="Arial" w:hAnsi="Arial"/>
          <w:sz w:val="22"/>
          <w:szCs w:val="22"/>
          <w:u w:val="single" w:color="auto"/>
          <w:color w:val="auto"/>
        </w:rPr>
        <w:t>Wynn Sunrise</w:t>
      </w:r>
      <w:r>
        <w:rPr>
          <w:rFonts w:ascii="Arial" w:cs="Arial" w:eastAsia="Arial" w:hAnsi="Arial"/>
          <w:sz w:val="22"/>
          <w:szCs w:val="22"/>
          <w:color w:val="auto"/>
        </w:rPr>
        <w:t>”), World Travel, LLC, a Nevada limited liability company (“</w:t>
      </w:r>
      <w:r>
        <w:rPr>
          <w:rFonts w:ascii="Arial" w:cs="Arial" w:eastAsia="Arial" w:hAnsi="Arial"/>
          <w:sz w:val="22"/>
          <w:szCs w:val="22"/>
          <w:u w:val="single" w:color="auto"/>
          <w:color w:val="auto"/>
        </w:rPr>
        <w:t>World Travel</w:t>
      </w:r>
      <w:r>
        <w:rPr>
          <w:rFonts w:ascii="Arial" w:cs="Arial" w:eastAsia="Arial" w:hAnsi="Arial"/>
          <w:sz w:val="22"/>
          <w:szCs w:val="22"/>
          <w:color w:val="auto"/>
        </w:rPr>
        <w:t>”), Kevyn, LLC, a Nevada limited liability company (“</w:t>
      </w:r>
      <w:r>
        <w:rPr>
          <w:rFonts w:ascii="Arial" w:cs="Arial" w:eastAsia="Arial" w:hAnsi="Arial"/>
          <w:sz w:val="22"/>
          <w:szCs w:val="22"/>
          <w:u w:val="single" w:color="auto"/>
          <w:color w:val="auto"/>
        </w:rPr>
        <w:t>Kevyn</w:t>
      </w:r>
      <w:r>
        <w:rPr>
          <w:rFonts w:ascii="Arial" w:cs="Arial" w:eastAsia="Arial" w:hAnsi="Arial"/>
          <w:sz w:val="22"/>
          <w:szCs w:val="22"/>
          <w:color w:val="auto"/>
        </w:rPr>
        <w:t>”), Las Vegas Jet, LLC, a Nevada limited liability company (“</w:t>
      </w:r>
      <w:r>
        <w:rPr>
          <w:rFonts w:ascii="Arial" w:cs="Arial" w:eastAsia="Arial" w:hAnsi="Arial"/>
          <w:sz w:val="22"/>
          <w:szCs w:val="22"/>
          <w:u w:val="single" w:color="auto"/>
          <w:color w:val="auto"/>
        </w:rPr>
        <w:t>Las Vegas Jet</w:t>
      </w:r>
      <w:r>
        <w:rPr>
          <w:rFonts w:ascii="Arial" w:cs="Arial" w:eastAsia="Arial" w:hAnsi="Arial"/>
          <w:sz w:val="22"/>
          <w:szCs w:val="22"/>
          <w:color w:val="auto"/>
        </w:rPr>
        <w:t>”), Wynn Resorts Holdings, LLC, a Nevada limited liability company (“</w:t>
      </w:r>
      <w:r>
        <w:rPr>
          <w:rFonts w:ascii="Arial" w:cs="Arial" w:eastAsia="Arial" w:hAnsi="Arial"/>
          <w:sz w:val="22"/>
          <w:szCs w:val="22"/>
          <w:u w:val="single" w:color="auto"/>
          <w:color w:val="auto"/>
        </w:rPr>
        <w:t>Wynn Resorts Holdings</w:t>
      </w:r>
      <w:r>
        <w:rPr>
          <w:rFonts w:ascii="Arial" w:cs="Arial" w:eastAsia="Arial" w:hAnsi="Arial"/>
          <w:sz w:val="22"/>
          <w:szCs w:val="22"/>
          <w:color w:val="auto"/>
        </w:rPr>
        <w:t>”), and Wynn Completion Guarantor, LLC, a Nevada limited liability company (“</w:t>
      </w:r>
      <w:r>
        <w:rPr>
          <w:rFonts w:ascii="Arial" w:cs="Arial" w:eastAsia="Arial" w:hAnsi="Arial"/>
          <w:sz w:val="22"/>
          <w:szCs w:val="22"/>
          <w:u w:val="single" w:color="auto"/>
          <w:color w:val="auto"/>
        </w:rPr>
        <w:t>Completion Guarantor</w:t>
      </w:r>
      <w:r>
        <w:rPr>
          <w:rFonts w:ascii="Arial" w:cs="Arial" w:eastAsia="Arial" w:hAnsi="Arial"/>
          <w:sz w:val="22"/>
          <w:szCs w:val="22"/>
          <w:color w:val="auto"/>
        </w:rPr>
        <w:t>” and together with Capital Corp., Show Performers, Wynn Golf, Wynn Sunrise, World Travel, Kevyn, Las Vegas Jet and Wynn Resorts Holdings, the “</w:t>
      </w:r>
      <w:r>
        <w:rPr>
          <w:rFonts w:ascii="Arial" w:cs="Arial" w:eastAsia="Arial" w:hAnsi="Arial"/>
          <w:sz w:val="22"/>
          <w:szCs w:val="22"/>
          <w:u w:val="single" w:color="auto"/>
          <w:color w:val="auto"/>
        </w:rPr>
        <w:t>Wynn Amendment Parties</w:t>
      </w:r>
      <w:r>
        <w:rPr>
          <w:rFonts w:ascii="Arial" w:cs="Arial" w:eastAsia="Arial" w:hAnsi="Arial"/>
          <w:sz w:val="22"/>
          <w:szCs w:val="22"/>
          <w:color w:val="auto"/>
        </w:rPr>
        <w:t>”), have executed certain Loan Documents (as defined in the Credit Agreement).</w:t>
      </w:r>
    </w:p>
    <w:p>
      <w:pPr>
        <w:spacing w:after="0" w:line="220" w:lineRule="exact"/>
        <w:rPr>
          <w:rFonts w:ascii="Arial" w:cs="Arial" w:eastAsia="Arial" w:hAnsi="Arial"/>
          <w:sz w:val="22"/>
          <w:szCs w:val="22"/>
          <w:color w:val="auto"/>
        </w:rPr>
      </w:pPr>
    </w:p>
    <w:p>
      <w:pPr>
        <w:jc w:val="both"/>
        <w:ind w:firstLine="728"/>
        <w:spacing w:after="0"/>
        <w:tabs>
          <w:tab w:leader="none" w:pos="167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has requested that the Lenders agree, subject to the conditions and on the terms set forth in this Third Amendment, to amend certain provisions of the Credit Agreement in order to, among other things, permit the Borrower to incur an incremental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5" w:name="page6"/>
    <w:bookmarkEnd w:id="5"/>
    <w:p>
      <w:pPr>
        <w:ind w:right="100"/>
        <w:spacing w:after="0" w:line="251" w:lineRule="auto"/>
        <w:rPr>
          <w:sz w:val="20"/>
          <w:szCs w:val="20"/>
          <w:color w:val="auto"/>
        </w:rPr>
      </w:pPr>
      <w:r>
        <w:rPr>
          <w:rFonts w:ascii="Arial" w:cs="Arial" w:eastAsia="Arial" w:hAnsi="Arial"/>
          <w:sz w:val="22"/>
          <w:szCs w:val="22"/>
          <w:color w:val="auto"/>
        </w:rPr>
        <w:t>loan facility in the amount of $150,000,000 and provide greater flexibility with respect to the required financial performance of the Borrower.</w:t>
      </w:r>
    </w:p>
    <w:p>
      <w:pPr>
        <w:spacing w:after="0" w:line="200" w:lineRule="exact"/>
        <w:rPr>
          <w:sz w:val="20"/>
          <w:szCs w:val="20"/>
          <w:color w:val="auto"/>
        </w:rPr>
      </w:pPr>
    </w:p>
    <w:p>
      <w:pPr>
        <w:ind w:left="1520" w:hanging="792"/>
        <w:spacing w:after="0"/>
        <w:tabs>
          <w:tab w:leader="none" w:pos="152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Lenders are willing to agree to such amendments, subject to the conditions and on the terms set forth below.</w:t>
      </w:r>
    </w:p>
    <w:p>
      <w:pPr>
        <w:spacing w:after="0" w:line="268" w:lineRule="exact"/>
        <w:rPr>
          <w:sz w:val="20"/>
          <w:szCs w:val="20"/>
          <w:color w:val="auto"/>
        </w:rPr>
      </w:pPr>
    </w:p>
    <w:p>
      <w:pPr>
        <w:ind w:right="20" w:firstLine="720"/>
        <w:spacing w:after="0" w:line="328" w:lineRule="auto"/>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 Borrower, the Administrative Agent on behalf of the Lenders and the Wynn Amendment Parties agree as follows:</w:t>
      </w:r>
    </w:p>
    <w:p>
      <w:pPr>
        <w:spacing w:after="0" w:line="132" w:lineRule="exact"/>
        <w:rPr>
          <w:sz w:val="20"/>
          <w:szCs w:val="20"/>
          <w:color w:val="auto"/>
        </w:rPr>
      </w:pPr>
    </w:p>
    <w:p>
      <w:pPr>
        <w:jc w:val="both"/>
        <w:ind w:right="20" w:firstLine="728"/>
        <w:spacing w:after="0"/>
        <w:tabs>
          <w:tab w:leader="none" w:pos="153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herein, capitalized terms used in this Third Amendment shall have the meanings given in the Credit Agreement and the rules of interpretation set forth in the Credit Agreement shall apply to this Third Amendment.</w:t>
      </w:r>
    </w:p>
    <w:p>
      <w:pPr>
        <w:spacing w:after="0" w:line="213" w:lineRule="exact"/>
        <w:rPr>
          <w:rFonts w:ascii="Arial" w:cs="Arial" w:eastAsia="Arial" w:hAnsi="Arial"/>
          <w:sz w:val="22"/>
          <w:szCs w:val="22"/>
          <w:color w:val="auto"/>
        </w:rPr>
      </w:pPr>
    </w:p>
    <w:p>
      <w:pPr>
        <w:ind w:left="1540" w:hanging="812"/>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sz w:val="20"/>
          <w:szCs w:val="20"/>
          <w:color w:val="auto"/>
        </w:rPr>
      </w:pPr>
    </w:p>
    <w:p>
      <w:pPr>
        <w:ind w:firstLine="728"/>
        <w:spacing w:after="0" w:line="251" w:lineRule="auto"/>
        <w:tabs>
          <w:tab w:leader="none" w:pos="156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definition of “Initial Phase II Calculation Date” in Section 1.1 of the Credit Agreement is hereby amended by replacing the word “first”, where such word appears therein, with the word “second”.</w:t>
      </w:r>
    </w:p>
    <w:p>
      <w:pPr>
        <w:spacing w:after="0" w:line="200" w:lineRule="exact"/>
        <w:rPr>
          <w:rFonts w:ascii="Arial" w:cs="Arial" w:eastAsia="Arial" w:hAnsi="Arial"/>
          <w:sz w:val="22"/>
          <w:szCs w:val="22"/>
          <w:color w:val="auto"/>
        </w:rPr>
      </w:pPr>
    </w:p>
    <w:p>
      <w:pPr>
        <w:jc w:val="both"/>
        <w:ind w:firstLine="728"/>
        <w:spacing w:after="0" w:line="328" w:lineRule="auto"/>
        <w:tabs>
          <w:tab w:leader="none" w:pos="1597" w:val="left"/>
        </w:tabs>
        <w:numPr>
          <w:ilvl w:val="0"/>
          <w:numId w:val="6"/>
        </w:numPr>
        <w:rPr>
          <w:rFonts w:ascii="Arial" w:cs="Arial" w:eastAsia="Arial" w:hAnsi="Arial"/>
          <w:sz w:val="19"/>
          <w:szCs w:val="19"/>
          <w:color w:val="auto"/>
        </w:rPr>
      </w:pPr>
      <w:r>
        <w:rPr>
          <w:rFonts w:ascii="Arial" w:cs="Arial" w:eastAsia="Arial" w:hAnsi="Arial"/>
          <w:sz w:val="19"/>
          <w:szCs w:val="19"/>
          <w:color w:val="auto"/>
        </w:rPr>
        <w:t>Section 1.3(b) of the Credit Agreement is hereby amended by replacing the phrase “ending on the Initial Phase II Calculation Date” in each place where it appears therein, with the phrase “beginning immediately after the Phase II Opening Date”.</w:t>
      </w:r>
    </w:p>
    <w:p>
      <w:pPr>
        <w:spacing w:after="0" w:line="132" w:lineRule="exact"/>
        <w:rPr>
          <w:rFonts w:ascii="Arial" w:cs="Arial" w:eastAsia="Arial" w:hAnsi="Arial"/>
          <w:sz w:val="19"/>
          <w:szCs w:val="19"/>
          <w:color w:val="auto"/>
        </w:rPr>
      </w:pPr>
    </w:p>
    <w:p>
      <w:pPr>
        <w:ind w:right="20" w:firstLine="728"/>
        <w:spacing w:after="0" w:line="328" w:lineRule="auto"/>
        <w:tabs>
          <w:tab w:leader="none" w:pos="1750" w:val="left"/>
        </w:tabs>
        <w:numPr>
          <w:ilvl w:val="0"/>
          <w:numId w:val="6"/>
        </w:numPr>
        <w:rPr>
          <w:rFonts w:ascii="Arial" w:cs="Arial" w:eastAsia="Arial" w:hAnsi="Arial"/>
          <w:sz w:val="19"/>
          <w:szCs w:val="19"/>
          <w:color w:val="auto"/>
        </w:rPr>
      </w:pPr>
      <w:r>
        <w:rPr>
          <w:rFonts w:ascii="Arial" w:cs="Arial" w:eastAsia="Arial" w:hAnsi="Arial"/>
          <w:sz w:val="19"/>
          <w:szCs w:val="19"/>
          <w:color w:val="auto"/>
        </w:rPr>
        <w:t>Section 2.26(a) of the Credit Agreement is hereby amended by deleting the parenthetical reading “(the “New Term Loan Commitments”)” and inserting the following new sentence immediately prior to the first sentence of Section 2.26(a):</w:t>
      </w:r>
    </w:p>
    <w:p>
      <w:pPr>
        <w:spacing w:after="0" w:line="132" w:lineRule="exact"/>
        <w:rPr>
          <w:sz w:val="20"/>
          <w:szCs w:val="20"/>
          <w:color w:val="auto"/>
        </w:rPr>
      </w:pPr>
    </w:p>
    <w:p>
      <w:pPr>
        <w:jc w:val="both"/>
        <w:ind w:left="1540" w:right="680"/>
        <w:spacing w:after="0" w:line="279" w:lineRule="auto"/>
        <w:rPr>
          <w:sz w:val="20"/>
          <w:szCs w:val="20"/>
          <w:color w:val="auto"/>
        </w:rPr>
      </w:pPr>
      <w:r>
        <w:rPr>
          <w:rFonts w:ascii="Arial" w:cs="Arial" w:eastAsia="Arial" w:hAnsi="Arial"/>
          <w:sz w:val="19"/>
          <w:szCs w:val="19"/>
          <w:color w:val="auto"/>
        </w:rPr>
        <w:t>“On or prior to December 31, 2008, the Borrower may, by written notice to the Administrative Agent, request the establishment of one or more new term loan commitments (any term loan commitments established pursuant to this Section 2.26 being referred to as “New Term Loan Commitments”) to be funded on or prior to December 31, 2008, in an amount not in excess of $150,000,000 in the aggregate and not less than $50,000,000 individually (or such lesser amount which shall be approved by the Administrative Agent) or an integral multiple of $5,000,000 in excess thereof.”</w:t>
      </w:r>
    </w:p>
    <w:p>
      <w:pPr>
        <w:spacing w:after="0" w:line="178" w:lineRule="exact"/>
        <w:rPr>
          <w:sz w:val="20"/>
          <w:szCs w:val="20"/>
          <w:color w:val="auto"/>
        </w:rPr>
      </w:pPr>
    </w:p>
    <w:p>
      <w:pPr>
        <w:ind w:right="20" w:firstLine="728"/>
        <w:spacing w:after="0" w:line="251" w:lineRule="auto"/>
        <w:tabs>
          <w:tab w:leader="none" w:pos="1631"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Section 2.26(d) of the Credit Agreement is hereby amended by replacing the words “first sentence”, where such words appear therein, with the words “first two sentences”.</w:t>
      </w:r>
    </w:p>
    <w:p>
      <w:pPr>
        <w:spacing w:after="0" w:line="200" w:lineRule="exact"/>
        <w:rPr>
          <w:rFonts w:ascii="Arial" w:cs="Arial" w:eastAsia="Arial" w:hAnsi="Arial"/>
          <w:sz w:val="22"/>
          <w:szCs w:val="22"/>
          <w:color w:val="auto"/>
        </w:rPr>
      </w:pPr>
    </w:p>
    <w:p>
      <w:pPr>
        <w:ind w:firstLine="728"/>
        <w:spacing w:after="0" w:line="251" w:lineRule="auto"/>
        <w:tabs>
          <w:tab w:leader="none" w:pos="1598"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Section 4.16 of the Credit Agreement is hereby amended by (i) replacing the word “extension”, where such word appears therein, with the word “extensions” and (ii) adding the</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following immediately after words “general corporate purposes”, where such words appear therein:</w:t>
      </w:r>
    </w:p>
    <w:p>
      <w:pPr>
        <w:spacing w:after="0" w:line="233" w:lineRule="exact"/>
        <w:rPr>
          <w:sz w:val="20"/>
          <w:szCs w:val="20"/>
          <w:color w:val="auto"/>
        </w:rPr>
      </w:pPr>
    </w:p>
    <w:p>
      <w:pPr>
        <w:ind w:left="1540" w:right="660"/>
        <w:spacing w:after="0" w:line="251" w:lineRule="auto"/>
        <w:rPr>
          <w:sz w:val="20"/>
          <w:szCs w:val="20"/>
          <w:color w:val="auto"/>
        </w:rPr>
      </w:pPr>
      <w:r>
        <w:rPr>
          <w:rFonts w:ascii="Arial" w:cs="Arial" w:eastAsia="Arial" w:hAnsi="Arial"/>
          <w:sz w:val="22"/>
          <w:szCs w:val="22"/>
          <w:color w:val="auto"/>
        </w:rPr>
        <w:t>“; provided that the proceeds of any New Term Loans made on or prior to December 31, 2008 shall be used for the payment of Project Costs”.</w:t>
      </w:r>
    </w:p>
    <w:p>
      <w:pPr>
        <w:spacing w:after="0" w:line="200" w:lineRule="exact"/>
        <w:rPr>
          <w:sz w:val="20"/>
          <w:szCs w:val="20"/>
          <w:color w:val="auto"/>
        </w:rPr>
      </w:pPr>
    </w:p>
    <w:p>
      <w:pPr>
        <w:ind w:right="20" w:firstLine="728"/>
        <w:spacing w:after="0" w:line="251" w:lineRule="auto"/>
        <w:tabs>
          <w:tab w:leader="none" w:pos="15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Section 7.1(b) of the Credit Agreement is hereby amended by replacing the required Consolidated Leverage Ratio set forth therein for the periods ending on or prior to June 30, 2010, with the following:</w:t>
      </w:r>
    </w:p>
    <w:p>
      <w:pPr>
        <w:spacing w:after="0" w:line="184" w:lineRule="exact"/>
        <w:rPr>
          <w:sz w:val="20"/>
          <w:szCs w:val="20"/>
          <w:color w:val="auto"/>
        </w:rPr>
      </w:pPr>
    </w:p>
    <w:tbl>
      <w:tblPr>
        <w:tblLayout w:type="fixed"/>
        <w:tblInd w:w="72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Arial" w:cs="Arial" w:eastAsia="Arial" w:hAnsi="Arial"/>
                <w:sz w:val="22"/>
                <w:szCs w:val="22"/>
                <w:b w:val="1"/>
                <w:bCs w:val="1"/>
                <w:color w:val="auto"/>
                <w:w w:val="87"/>
              </w:rPr>
              <w:t>Consolidated</w:t>
            </w:r>
          </w:p>
        </w:tc>
      </w:tr>
      <w:tr>
        <w:trPr>
          <w:trHeight w:val="271"/>
        </w:trPr>
        <w:tc>
          <w:tcPr>
            <w:tcW w:w="7260" w:type="dxa"/>
            <w:vAlign w:val="bottom"/>
            <w:tcBorders>
              <w:bottom w:val="single" w:sz="8" w:color="auto"/>
            </w:tcBorders>
          </w:tcPr>
          <w:p>
            <w:pPr>
              <w:ind w:left="2920"/>
              <w:spacing w:after="0"/>
              <w:rPr>
                <w:sz w:val="20"/>
                <w:szCs w:val="20"/>
                <w:color w:val="auto"/>
              </w:rPr>
            </w:pPr>
            <w:r>
              <w:rPr>
                <w:rFonts w:ascii="Arial" w:cs="Arial" w:eastAsia="Arial" w:hAnsi="Arial"/>
                <w:sz w:val="22"/>
                <w:szCs w:val="22"/>
                <w:b w:val="1"/>
                <w:bCs w:val="1"/>
                <w:color w:val="auto"/>
              </w:rPr>
              <w:t>Quarterly Date</w:t>
            </w:r>
          </w:p>
        </w:tc>
        <w:tc>
          <w:tcPr>
            <w:tcW w:w="420" w:type="dxa"/>
            <w:vAlign w:val="bottom"/>
          </w:tcPr>
          <w:p>
            <w:pPr>
              <w:spacing w:after="0"/>
              <w:rPr>
                <w:sz w:val="23"/>
                <w:szCs w:val="2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Leverage Ratio</w:t>
            </w:r>
          </w:p>
        </w:tc>
      </w:tr>
      <w:tr>
        <w:trPr>
          <w:trHeight w:val="215"/>
        </w:trPr>
        <w:tc>
          <w:tcPr>
            <w:tcW w:w="7260" w:type="dxa"/>
            <w:vAlign w:val="bottom"/>
          </w:tcPr>
          <w:p>
            <w:pPr>
              <w:spacing w:after="0" w:line="216" w:lineRule="exact"/>
              <w:rPr>
                <w:sz w:val="20"/>
                <w:szCs w:val="20"/>
                <w:color w:val="auto"/>
              </w:rPr>
            </w:pPr>
            <w:r>
              <w:rPr>
                <w:rFonts w:ascii="Arial" w:cs="Arial" w:eastAsia="Arial" w:hAnsi="Arial"/>
                <w:sz w:val="22"/>
                <w:szCs w:val="22"/>
                <w:color w:val="auto"/>
                <w:w w:val="94"/>
              </w:rPr>
              <w:t>Quarterly Dates from the Initial Phase II Calculation Date through and including</w:t>
            </w:r>
          </w:p>
        </w:tc>
        <w:tc>
          <w:tcPr>
            <w:tcW w:w="420" w:type="dxa"/>
            <w:vAlign w:val="bottom"/>
          </w:tcPr>
          <w:p>
            <w:pPr>
              <w:spacing w:after="0"/>
              <w:rPr>
                <w:sz w:val="18"/>
                <w:szCs w:val="18"/>
                <w:color w:val="auto"/>
              </w:rPr>
            </w:pPr>
          </w:p>
        </w:tc>
        <w:tc>
          <w:tcPr>
            <w:tcW w:w="2300" w:type="dxa"/>
            <w:vAlign w:val="bottom"/>
          </w:tcPr>
          <w:p>
            <w:pPr>
              <w:jc w:val="center"/>
              <w:spacing w:after="0" w:line="216" w:lineRule="exact"/>
              <w:rPr>
                <w:sz w:val="20"/>
                <w:szCs w:val="20"/>
                <w:color w:val="auto"/>
              </w:rPr>
            </w:pPr>
            <w:r>
              <w:rPr>
                <w:rFonts w:ascii="Arial" w:cs="Arial" w:eastAsia="Arial" w:hAnsi="Arial"/>
                <w:sz w:val="22"/>
                <w:szCs w:val="22"/>
                <w:color w:val="auto"/>
                <w:w w:val="88"/>
              </w:rPr>
              <w:t>8.25:1</w:t>
            </w: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rPr>
              <w:t>June 30, 2009</w:t>
            </w:r>
          </w:p>
        </w:tc>
        <w:tc>
          <w:tcPr>
            <w:tcW w:w="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w w:val="91"/>
              </w:rPr>
              <w:t>Quarterly Date ending on September 30, 2009 (if different than the Initial Phase II</w:t>
            </w:r>
          </w:p>
        </w:tc>
        <w:tc>
          <w:tcPr>
            <w:tcW w:w="2720" w:type="dxa"/>
            <w:vAlign w:val="bottom"/>
            <w:gridSpan w:val="2"/>
          </w:tcPr>
          <w:p>
            <w:pPr>
              <w:jc w:val="center"/>
              <w:ind w:left="312"/>
              <w:spacing w:after="0" w:line="243" w:lineRule="exact"/>
              <w:rPr>
                <w:sz w:val="20"/>
                <w:szCs w:val="20"/>
                <w:color w:val="auto"/>
              </w:rPr>
            </w:pPr>
            <w:r>
              <w:rPr>
                <w:rFonts w:ascii="Arial" w:cs="Arial" w:eastAsia="Arial" w:hAnsi="Arial"/>
                <w:sz w:val="22"/>
                <w:szCs w:val="22"/>
                <w:color w:val="auto"/>
                <w:w w:val="88"/>
              </w:rPr>
              <w:t>7.75:1</w:t>
            </w: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rPr>
              <w:t>Calculation Date)</w:t>
            </w:r>
          </w:p>
        </w:tc>
        <w:tc>
          <w:tcPr>
            <w:tcW w:w="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rPr>
              <w:t>Quarterly Date ending on December 31, 2009</w:t>
            </w:r>
          </w:p>
        </w:tc>
        <w:tc>
          <w:tcPr>
            <w:tcW w:w="2720" w:type="dxa"/>
            <w:vAlign w:val="bottom"/>
            <w:gridSpan w:val="2"/>
          </w:tcPr>
          <w:p>
            <w:pPr>
              <w:jc w:val="center"/>
              <w:ind w:left="312"/>
              <w:spacing w:after="0" w:line="243" w:lineRule="exact"/>
              <w:rPr>
                <w:sz w:val="20"/>
                <w:szCs w:val="20"/>
                <w:color w:val="auto"/>
              </w:rPr>
            </w:pPr>
            <w:r>
              <w:rPr>
                <w:rFonts w:ascii="Arial" w:cs="Arial" w:eastAsia="Arial" w:hAnsi="Arial"/>
                <w:sz w:val="22"/>
                <w:szCs w:val="22"/>
                <w:color w:val="auto"/>
                <w:w w:val="88"/>
              </w:rPr>
              <w:t>7.50:1</w:t>
            </w: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rPr>
              <w:t>Quarterly Date ending on March 31, 2010</w:t>
            </w:r>
          </w:p>
        </w:tc>
        <w:tc>
          <w:tcPr>
            <w:tcW w:w="2720" w:type="dxa"/>
            <w:vAlign w:val="bottom"/>
            <w:gridSpan w:val="2"/>
          </w:tcPr>
          <w:p>
            <w:pPr>
              <w:jc w:val="center"/>
              <w:ind w:left="312"/>
              <w:spacing w:after="0" w:line="243" w:lineRule="exact"/>
              <w:rPr>
                <w:sz w:val="20"/>
                <w:szCs w:val="20"/>
                <w:color w:val="auto"/>
              </w:rPr>
            </w:pPr>
            <w:r>
              <w:rPr>
                <w:rFonts w:ascii="Arial" w:cs="Arial" w:eastAsia="Arial" w:hAnsi="Arial"/>
                <w:sz w:val="22"/>
                <w:szCs w:val="22"/>
                <w:color w:val="auto"/>
                <w:w w:val="88"/>
              </w:rPr>
              <w:t>6.75:1</w:t>
            </w:r>
          </w:p>
        </w:tc>
      </w:tr>
      <w:tr>
        <w:trPr>
          <w:trHeight w:val="275"/>
        </w:trPr>
        <w:tc>
          <w:tcPr>
            <w:tcW w:w="7260" w:type="dxa"/>
            <w:vAlign w:val="bottom"/>
          </w:tcPr>
          <w:p>
            <w:pPr>
              <w:spacing w:after="0"/>
              <w:rPr>
                <w:sz w:val="20"/>
                <w:szCs w:val="20"/>
                <w:color w:val="auto"/>
              </w:rPr>
            </w:pPr>
            <w:r>
              <w:rPr>
                <w:rFonts w:ascii="Arial" w:cs="Arial" w:eastAsia="Arial" w:hAnsi="Arial"/>
                <w:sz w:val="22"/>
                <w:szCs w:val="22"/>
                <w:color w:val="auto"/>
              </w:rPr>
              <w:t>Quarterly Date ending on June 30, 2010</w:t>
            </w:r>
          </w:p>
        </w:tc>
        <w:tc>
          <w:tcPr>
            <w:tcW w:w="2720" w:type="dxa"/>
            <w:vAlign w:val="bottom"/>
            <w:gridSpan w:val="2"/>
          </w:tcPr>
          <w:p>
            <w:pPr>
              <w:jc w:val="center"/>
              <w:ind w:left="312"/>
              <w:spacing w:after="0"/>
              <w:rPr>
                <w:sz w:val="20"/>
                <w:szCs w:val="20"/>
                <w:color w:val="auto"/>
              </w:rPr>
            </w:pPr>
            <w:r>
              <w:rPr>
                <w:rFonts w:ascii="Arial" w:cs="Arial" w:eastAsia="Arial" w:hAnsi="Arial"/>
                <w:sz w:val="22"/>
                <w:szCs w:val="22"/>
                <w:color w:val="auto"/>
                <w:w w:val="88"/>
              </w:rPr>
              <w:t>6.25:1</w:t>
            </w:r>
          </w:p>
        </w:tc>
      </w:tr>
    </w:tbl>
    <w:p>
      <w:pPr>
        <w:spacing w:after="0" w:line="212" w:lineRule="exact"/>
        <w:rPr>
          <w:sz w:val="20"/>
          <w:szCs w:val="20"/>
          <w:color w:val="auto"/>
        </w:rPr>
      </w:pPr>
    </w:p>
    <w:p>
      <w:pPr>
        <w:jc w:val="both"/>
        <w:ind w:firstLine="728"/>
        <w:spacing w:after="0"/>
        <w:tabs>
          <w:tab w:leader="none" w:pos="1896"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Section 7.1(c) of the Credit Agreement is hereby amended by replacing the required Consolidated Interest Coverage Ratio for the periods ending on the Quarterly Dates from and after December 31, 2008 through and including September 30, 2009, with the following:</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Arial" w:cs="Arial" w:eastAsia="Arial" w:hAnsi="Arial"/>
                <w:sz w:val="22"/>
                <w:szCs w:val="22"/>
                <w:b w:val="1"/>
                <w:bCs w:val="1"/>
                <w:color w:val="auto"/>
                <w:w w:val="88"/>
              </w:rPr>
              <w:t>Consolidated Interest</w:t>
            </w:r>
          </w:p>
        </w:tc>
      </w:tr>
      <w:tr>
        <w:trPr>
          <w:trHeight w:val="271"/>
        </w:trPr>
        <w:tc>
          <w:tcPr>
            <w:tcW w:w="7260" w:type="dxa"/>
            <w:vAlign w:val="bottom"/>
            <w:tcBorders>
              <w:bottom w:val="single" w:sz="8" w:color="auto"/>
            </w:tcBorders>
          </w:tcPr>
          <w:p>
            <w:pPr>
              <w:ind w:left="2920"/>
              <w:spacing w:after="0"/>
              <w:rPr>
                <w:sz w:val="20"/>
                <w:szCs w:val="20"/>
                <w:color w:val="auto"/>
              </w:rPr>
            </w:pPr>
            <w:r>
              <w:rPr>
                <w:rFonts w:ascii="Arial" w:cs="Arial" w:eastAsia="Arial" w:hAnsi="Arial"/>
                <w:sz w:val="22"/>
                <w:szCs w:val="22"/>
                <w:b w:val="1"/>
                <w:bCs w:val="1"/>
                <w:color w:val="auto"/>
              </w:rPr>
              <w:t>Quarterly Date</w:t>
            </w:r>
          </w:p>
        </w:tc>
        <w:tc>
          <w:tcPr>
            <w:tcW w:w="420" w:type="dxa"/>
            <w:vAlign w:val="bottom"/>
          </w:tcPr>
          <w:p>
            <w:pPr>
              <w:spacing w:after="0"/>
              <w:rPr>
                <w:sz w:val="23"/>
                <w:szCs w:val="2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Coverage Ratio</w:t>
            </w:r>
          </w:p>
        </w:tc>
      </w:tr>
      <w:tr>
        <w:trPr>
          <w:trHeight w:val="215"/>
        </w:trPr>
        <w:tc>
          <w:tcPr>
            <w:tcW w:w="7260" w:type="dxa"/>
            <w:vAlign w:val="bottom"/>
          </w:tcPr>
          <w:p>
            <w:pPr>
              <w:spacing w:after="0" w:line="216" w:lineRule="exact"/>
              <w:rPr>
                <w:sz w:val="20"/>
                <w:szCs w:val="20"/>
                <w:color w:val="auto"/>
              </w:rPr>
            </w:pPr>
            <w:r>
              <w:rPr>
                <w:rFonts w:ascii="Arial" w:cs="Arial" w:eastAsia="Arial" w:hAnsi="Arial"/>
                <w:sz w:val="22"/>
                <w:szCs w:val="22"/>
                <w:color w:val="auto"/>
              </w:rPr>
              <w:t>Quarterly Date ending on December 31, 2008</w:t>
            </w:r>
          </w:p>
        </w:tc>
        <w:tc>
          <w:tcPr>
            <w:tcW w:w="420" w:type="dxa"/>
            <w:vAlign w:val="bottom"/>
          </w:tcPr>
          <w:p>
            <w:pPr>
              <w:spacing w:after="0"/>
              <w:rPr>
                <w:sz w:val="18"/>
                <w:szCs w:val="18"/>
                <w:color w:val="auto"/>
              </w:rPr>
            </w:pPr>
          </w:p>
        </w:tc>
        <w:tc>
          <w:tcPr>
            <w:tcW w:w="2300" w:type="dxa"/>
            <w:vAlign w:val="bottom"/>
          </w:tcPr>
          <w:p>
            <w:pPr>
              <w:jc w:val="center"/>
              <w:spacing w:after="0" w:line="216" w:lineRule="exact"/>
              <w:rPr>
                <w:sz w:val="20"/>
                <w:szCs w:val="20"/>
                <w:color w:val="auto"/>
              </w:rPr>
            </w:pPr>
            <w:r>
              <w:rPr>
                <w:rFonts w:ascii="Arial" w:cs="Arial" w:eastAsia="Arial" w:hAnsi="Arial"/>
                <w:sz w:val="22"/>
                <w:szCs w:val="22"/>
                <w:color w:val="auto"/>
                <w:w w:val="88"/>
              </w:rPr>
              <w:t>1.40:1</w:t>
            </w: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w w:val="96"/>
              </w:rPr>
              <w:t>Quarterly Dates from and after March 31, 2009 but prior to the Initial Phase II</w:t>
            </w:r>
          </w:p>
        </w:tc>
        <w:tc>
          <w:tcPr>
            <w:tcW w:w="2720" w:type="dxa"/>
            <w:vAlign w:val="bottom"/>
            <w:gridSpan w:val="2"/>
          </w:tcPr>
          <w:p>
            <w:pPr>
              <w:jc w:val="center"/>
              <w:ind w:left="312"/>
              <w:spacing w:after="0" w:line="243" w:lineRule="exact"/>
              <w:rPr>
                <w:sz w:val="20"/>
                <w:szCs w:val="20"/>
                <w:color w:val="auto"/>
              </w:rPr>
            </w:pPr>
            <w:r>
              <w:rPr>
                <w:rFonts w:ascii="Arial" w:cs="Arial" w:eastAsia="Arial" w:hAnsi="Arial"/>
                <w:sz w:val="22"/>
                <w:szCs w:val="22"/>
                <w:color w:val="auto"/>
                <w:w w:val="88"/>
              </w:rPr>
              <w:t>1.35:1</w:t>
            </w: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rPr>
              <w:t>Calculation Date</w:t>
            </w:r>
          </w:p>
        </w:tc>
        <w:tc>
          <w:tcPr>
            <w:tcW w:w="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43"/>
        </w:trPr>
        <w:tc>
          <w:tcPr>
            <w:tcW w:w="7260" w:type="dxa"/>
            <w:vAlign w:val="bottom"/>
          </w:tcPr>
          <w:p>
            <w:pPr>
              <w:spacing w:after="0" w:line="243" w:lineRule="exact"/>
              <w:rPr>
                <w:sz w:val="20"/>
                <w:szCs w:val="20"/>
                <w:color w:val="auto"/>
              </w:rPr>
            </w:pPr>
            <w:r>
              <w:rPr>
                <w:rFonts w:ascii="Arial" w:cs="Arial" w:eastAsia="Arial" w:hAnsi="Arial"/>
                <w:sz w:val="22"/>
                <w:szCs w:val="22"/>
                <w:color w:val="auto"/>
                <w:w w:val="94"/>
              </w:rPr>
              <w:t>Quarterly Dates from and after the Initial Phase II Calculation Date through and</w:t>
            </w:r>
          </w:p>
        </w:tc>
        <w:tc>
          <w:tcPr>
            <w:tcW w:w="2720" w:type="dxa"/>
            <w:vAlign w:val="bottom"/>
            <w:gridSpan w:val="2"/>
          </w:tcPr>
          <w:p>
            <w:pPr>
              <w:jc w:val="center"/>
              <w:ind w:left="312"/>
              <w:spacing w:after="0" w:line="243" w:lineRule="exact"/>
              <w:rPr>
                <w:sz w:val="20"/>
                <w:szCs w:val="20"/>
                <w:color w:val="auto"/>
              </w:rPr>
            </w:pPr>
            <w:r>
              <w:rPr>
                <w:rFonts w:ascii="Arial" w:cs="Arial" w:eastAsia="Arial" w:hAnsi="Arial"/>
                <w:sz w:val="22"/>
                <w:szCs w:val="22"/>
                <w:color w:val="auto"/>
                <w:w w:val="88"/>
              </w:rPr>
              <w:t>1.75:1</w:t>
            </w:r>
          </w:p>
        </w:tc>
      </w:tr>
      <w:tr>
        <w:trPr>
          <w:trHeight w:val="275"/>
        </w:trPr>
        <w:tc>
          <w:tcPr>
            <w:tcW w:w="7260" w:type="dxa"/>
            <w:vAlign w:val="bottom"/>
          </w:tcPr>
          <w:p>
            <w:pPr>
              <w:spacing w:after="0"/>
              <w:rPr>
                <w:sz w:val="20"/>
                <w:szCs w:val="20"/>
                <w:color w:val="auto"/>
              </w:rPr>
            </w:pPr>
            <w:r>
              <w:rPr>
                <w:rFonts w:ascii="Arial" w:cs="Arial" w:eastAsia="Arial" w:hAnsi="Arial"/>
                <w:sz w:val="22"/>
                <w:szCs w:val="22"/>
                <w:color w:val="auto"/>
              </w:rPr>
              <w:t>including September 30, 2009</w:t>
            </w:r>
          </w:p>
        </w:tc>
        <w:tc>
          <w:tcPr>
            <w:tcW w:w="420" w:type="dxa"/>
            <w:vAlign w:val="bottom"/>
          </w:tcPr>
          <w:p>
            <w:pPr>
              <w:spacing w:after="0"/>
              <w:rPr>
                <w:sz w:val="23"/>
                <w:szCs w:val="23"/>
                <w:color w:val="auto"/>
              </w:rPr>
            </w:pPr>
          </w:p>
        </w:tc>
        <w:tc>
          <w:tcPr>
            <w:tcW w:w="2300" w:type="dxa"/>
            <w:vAlign w:val="bottom"/>
          </w:tcPr>
          <w:p>
            <w:pPr>
              <w:spacing w:after="0"/>
              <w:rPr>
                <w:sz w:val="23"/>
                <w:szCs w:val="23"/>
                <w:color w:val="auto"/>
              </w:rPr>
            </w:pPr>
          </w:p>
        </w:tc>
      </w:tr>
    </w:tbl>
    <w:p>
      <w:pPr>
        <w:spacing w:after="0" w:line="212" w:lineRule="exact"/>
        <w:rPr>
          <w:sz w:val="20"/>
          <w:szCs w:val="20"/>
          <w:color w:val="auto"/>
        </w:rPr>
      </w:pPr>
    </w:p>
    <w:p>
      <w:pPr>
        <w:ind w:right="20" w:firstLine="728"/>
        <w:spacing w:after="0" w:line="274" w:lineRule="auto"/>
        <w:tabs>
          <w:tab w:leader="none" w:pos="1787"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To induce the Lenders and the Administrative Agent to agree to this Third Amendment, the Borrower represents to the Administrative Agent and the Lenders that as of the date hereof:</w:t>
      </w:r>
    </w:p>
    <w:p>
      <w:pPr>
        <w:spacing w:after="0" w:line="178" w:lineRule="exact"/>
        <w:rPr>
          <w:sz w:val="20"/>
          <w:szCs w:val="20"/>
          <w:color w:val="auto"/>
        </w:rPr>
      </w:pPr>
    </w:p>
    <w:p>
      <w:pPr>
        <w:jc w:val="both"/>
        <w:ind w:right="20" w:firstLine="728"/>
        <w:spacing w:after="0"/>
        <w:tabs>
          <w:tab w:leader="none" w:pos="1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each of the Borrower and each of the Wynn Amendment Parties has all power and authority to enter into this Third Amendment and to carry out the transactions contemplated hereby, and to perform its obligations hereunder or in respect hereof;</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7" w:name="page8"/>
    <w:bookmarkEnd w:id="7"/>
    <w:p>
      <w:pPr>
        <w:jc w:val="both"/>
        <w:ind w:firstLine="728"/>
        <w:spacing w:after="0"/>
        <w:tabs>
          <w:tab w:leader="none" w:pos="161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execution and delivery of this Third Amendment and the performance of the obligations of the Borrower and each of the Wynn Amendment Parties hereunder or in respect hereof have been duly authorized by all necessary action on the part of the Borrower and such Wynn Amendment Party;</w:t>
      </w:r>
    </w:p>
    <w:p>
      <w:pPr>
        <w:spacing w:after="0" w:line="213" w:lineRule="exact"/>
        <w:rPr>
          <w:rFonts w:ascii="Arial" w:cs="Arial" w:eastAsia="Arial" w:hAnsi="Arial"/>
          <w:sz w:val="22"/>
          <w:szCs w:val="22"/>
          <w:color w:val="auto"/>
        </w:rPr>
      </w:pPr>
    </w:p>
    <w:p>
      <w:pPr>
        <w:jc w:val="both"/>
        <w:ind w:firstLine="728"/>
        <w:spacing w:after="0" w:line="247" w:lineRule="auto"/>
        <w:tabs>
          <w:tab w:leader="none" w:pos="1643"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execution and delivery of this Third and the performance of the obligations of the Borrower and each of the Wynn Amendment Parties hereunder or in respect hereof do not and will not conflict with or violate (i) any provision of the articles of incorporation or bylaws (or similar constituent documents) of the Borrower or such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205" w:lineRule="exact"/>
        <w:rPr>
          <w:rFonts w:ascii="Arial" w:cs="Arial" w:eastAsia="Arial" w:hAnsi="Arial"/>
          <w:sz w:val="21"/>
          <w:szCs w:val="21"/>
          <w:color w:val="auto"/>
        </w:rPr>
      </w:pPr>
    </w:p>
    <w:p>
      <w:pPr>
        <w:jc w:val="both"/>
        <w:ind w:firstLine="728"/>
        <w:spacing w:after="0" w:line="235" w:lineRule="auto"/>
        <w:tabs>
          <w:tab w:leader="none" w:pos="15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Third Amendment has been duly executed and delivered by the Borrower and each of the Wynn Amendment Parties and the Credit Agreement and the other Loan Documents, as amended by this Third Amendment,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5" w:lineRule="exact"/>
        <w:rPr>
          <w:rFonts w:ascii="Arial" w:cs="Arial" w:eastAsia="Arial" w:hAnsi="Arial"/>
          <w:sz w:val="22"/>
          <w:szCs w:val="22"/>
          <w:color w:val="auto"/>
        </w:rPr>
      </w:pPr>
    </w:p>
    <w:p>
      <w:pPr>
        <w:ind w:firstLine="728"/>
        <w:spacing w:after="0" w:line="251" w:lineRule="auto"/>
        <w:tabs>
          <w:tab w:leader="none" w:pos="1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after giving effect to this Third Amendment, no event has occurred and is continuing or will result from the execution and delivery of this Third Amendment, that would constitute a Default or an Event of Default;</w:t>
      </w:r>
    </w:p>
    <w:p>
      <w:pPr>
        <w:spacing w:after="0" w:line="200" w:lineRule="exact"/>
        <w:rPr>
          <w:rFonts w:ascii="Arial" w:cs="Arial" w:eastAsia="Arial" w:hAnsi="Arial"/>
          <w:sz w:val="22"/>
          <w:szCs w:val="22"/>
          <w:color w:val="auto"/>
        </w:rPr>
      </w:pPr>
    </w:p>
    <w:p>
      <w:pPr>
        <w:ind w:right="20" w:firstLine="728"/>
        <w:spacing w:after="0" w:line="251" w:lineRule="auto"/>
        <w:tabs>
          <w:tab w:leader="none" w:pos="15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since the Amended and Restated Effective Date (as defined in the Credit Agreement), no event has occurred that has resulted, or could reasonably be expected to result, in a Material Adverse Effect; and</w:t>
      </w:r>
    </w:p>
    <w:p>
      <w:pPr>
        <w:spacing w:after="0" w:line="200" w:lineRule="exact"/>
        <w:rPr>
          <w:rFonts w:ascii="Arial" w:cs="Arial" w:eastAsia="Arial" w:hAnsi="Arial"/>
          <w:sz w:val="22"/>
          <w:szCs w:val="22"/>
          <w:color w:val="auto"/>
        </w:rPr>
      </w:pPr>
    </w:p>
    <w:p>
      <w:pPr>
        <w:jc w:val="both"/>
        <w:ind w:firstLine="728"/>
        <w:spacing w:after="0" w:line="287" w:lineRule="auto"/>
        <w:tabs>
          <w:tab w:leader="none" w:pos="1679" w:val="left"/>
        </w:tabs>
        <w:numPr>
          <w:ilvl w:val="0"/>
          <w:numId w:val="12"/>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Borrower or any of the Wynn Amendment Parties in or pursuant to the Loan Documents to which such entity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70" w:lineRule="exact"/>
        <w:rPr>
          <w:sz w:val="20"/>
          <w:szCs w:val="20"/>
          <w:color w:val="auto"/>
        </w:rPr>
      </w:pPr>
    </w:p>
    <w:p>
      <w:pPr>
        <w:jc w:val="both"/>
        <w:ind w:firstLine="728"/>
        <w:spacing w:after="0" w:line="297" w:lineRule="auto"/>
        <w:tabs>
          <w:tab w:leader="none" w:pos="170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Effectiveness of this Third Amendment</w:t>
      </w:r>
      <w:r>
        <w:rPr>
          <w:rFonts w:ascii="Arial" w:cs="Arial" w:eastAsia="Arial" w:hAnsi="Arial"/>
          <w:sz w:val="19"/>
          <w:szCs w:val="19"/>
          <w:color w:val="auto"/>
        </w:rPr>
        <w:t>. This Third Amendment shall be effective on the date (the “</w:t>
      </w:r>
      <w:r>
        <w:rPr>
          <w:rFonts w:ascii="Arial" w:cs="Arial" w:eastAsia="Arial" w:hAnsi="Arial"/>
          <w:sz w:val="19"/>
          <w:szCs w:val="19"/>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upon which (a) the Required Lenders shall have consented to this Third Amendment and (b) the Borrower, the Wynn Amendment Parties and the Administrative Agent, on behalf of the Lenders, shall have executed this Third Amendment.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604" w:right="219" w:bottom="1440" w:gutter="0" w:footer="0" w:header="0"/>
        </w:sectPr>
      </w:pPr>
    </w:p>
    <w:bookmarkStart w:id="8" w:name="page9"/>
    <w:bookmarkEnd w:id="8"/>
    <w:p>
      <w:pPr>
        <w:jc w:val="both"/>
        <w:ind w:firstLine="728"/>
        <w:spacing w:after="0" w:line="269" w:lineRule="auto"/>
        <w:tabs>
          <w:tab w:leader="none" w:pos="1787"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By executing this Third Amendment, each of the Wynn Amendment Parties (other than Wynn Resorts Holdings and Completion Guarantor) (a) consents to this Third Amendment, (b) acknowledges that notwithstanding the execution and delivery of this Third Amendment or any prior amendment, the obligations of each of the Wynn Amendment Parties under the Guarantee are not impaired or affected (except as provided for in this Third Amendment) and the Guarantee continues in full force and effect and (c) affirms and ratifies the Guarantee. By executing this Third Amendment, the Borrower and each of the Wynn Amendment Parties (other than Completion Guarantor) consents to this Third Amendment, (b) acknowledges that notwithstanding the execution and delivery of this Third Amendment or any prior amendment, the obligations of the Borrower and each of the Wynn Amendment Parties under the Security Documents to which it is a party (other than the Guarantee) are not impaired or affected (except as provided for in this Third Amendment) and such Security Documents continue in full force and effect and (c) affirms and ratifies such Security Documents. By executing this Third Amendment, Completion Guarantor</w:t>
      </w:r>
    </w:p>
    <w:p>
      <w:pPr>
        <w:jc w:val="both"/>
        <w:ind w:firstLine="8"/>
        <w:spacing w:after="0" w:line="233" w:lineRule="auto"/>
        <w:tabs>
          <w:tab w:leader="none" w:pos="299"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consents to this Third Amendment, (b) acknowledges that notwithstanding the execution and delivery of this Third Amendment or any prior amendment, the obligations of Completion Guarantor under the Completion Guaranty are not impaired or affected (except as provided for in this Third Amendment) and the Completion Guaranty continues in full force and effect and (c) affirms and ratifies the Completion Guaranty.</w:t>
      </w:r>
    </w:p>
    <w:p>
      <w:pPr>
        <w:spacing w:after="0" w:line="209" w:lineRule="exact"/>
        <w:rPr>
          <w:rFonts w:ascii="Arial" w:cs="Arial" w:eastAsia="Arial" w:hAnsi="Arial"/>
          <w:sz w:val="22"/>
          <w:szCs w:val="22"/>
          <w:color w:val="auto"/>
        </w:rPr>
      </w:pPr>
    </w:p>
    <w:p>
      <w:pPr>
        <w:ind w:left="1780" w:hanging="1052"/>
        <w:spacing w:after="0"/>
        <w:tabs>
          <w:tab w:leader="none" w:pos="1780"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w:t>
      </w:r>
      <w:r>
        <w:rPr>
          <w:rFonts w:ascii="Arial" w:cs="Arial" w:eastAsia="Arial" w:hAnsi="Arial"/>
          <w:sz w:val="21"/>
          <w:szCs w:val="21"/>
          <w:b w:val="1"/>
          <w:bCs w:val="1"/>
          <w:color w:val="auto"/>
        </w:rPr>
        <w:t>THIS THIRD AMENDMENT SHALL BE GOVERNED BY, AND CONSTRUED AND</w:t>
      </w:r>
    </w:p>
    <w:p>
      <w:pPr>
        <w:spacing w:after="0" w:line="25" w:lineRule="exact"/>
        <w:rPr>
          <w:rFonts w:ascii="Arial" w:cs="Arial" w:eastAsia="Arial" w:hAnsi="Arial"/>
          <w:sz w:val="21"/>
          <w:szCs w:val="21"/>
          <w:color w:val="auto"/>
        </w:rPr>
      </w:pPr>
    </w:p>
    <w:p>
      <w:pPr>
        <w:jc w:val="both"/>
        <w:spacing w:after="0" w:line="243" w:lineRule="auto"/>
        <w:rPr>
          <w:rFonts w:ascii="Arial" w:cs="Arial" w:eastAsia="Arial" w:hAnsi="Arial"/>
          <w:sz w:val="21"/>
          <w:szCs w:val="21"/>
          <w:color w:val="auto"/>
        </w:rPr>
      </w:pPr>
      <w:r>
        <w:rPr>
          <w:rFonts w:ascii="Arial" w:cs="Arial" w:eastAsia="Arial" w:hAnsi="Arial"/>
          <w:sz w:val="21"/>
          <w:szCs w:val="21"/>
          <w:b w:val="1"/>
          <w:bCs w:val="1"/>
          <w:color w:val="auto"/>
        </w:rPr>
        <w:t xml:space="preserve">INTERPRETED IN ACCORDANCE WITH, THE LAW OF THE STATE OF NEW YORK, WITHOUT REGARD TO THE CONFLICT OF LAW RULES THEREOF (OTHER THAN SECTIONS 5-1401 AND 5-1402 OF THE NEW YORK GENERAL OBLIGATIONS LAW). </w:t>
      </w:r>
      <w:r>
        <w:rPr>
          <w:rFonts w:ascii="Arial" w:cs="Arial" w:eastAsia="Arial" w:hAnsi="Arial"/>
          <w:sz w:val="21"/>
          <w:szCs w:val="21"/>
          <w:color w:val="auto"/>
        </w:rPr>
        <w:t>This Third Amendment may be executed in one or more counterparts and when signed by</w:t>
      </w:r>
      <w:r>
        <w:rPr>
          <w:rFonts w:ascii="Arial" w:cs="Arial" w:eastAsia="Arial" w:hAnsi="Arial"/>
          <w:sz w:val="21"/>
          <w:szCs w:val="21"/>
          <w:b w:val="1"/>
          <w:bCs w:val="1"/>
          <w:color w:val="auto"/>
        </w:rPr>
        <w:t xml:space="preserve"> </w:t>
      </w:r>
      <w:r>
        <w:rPr>
          <w:rFonts w:ascii="Arial" w:cs="Arial" w:eastAsia="Arial" w:hAnsi="Arial"/>
          <w:sz w:val="21"/>
          <w:szCs w:val="21"/>
          <w:color w:val="auto"/>
        </w:rPr>
        <w:t>all of the parties listed below shall constitute a single binding agreement. Delivery of an executed counterpart hereof by facsimile transmission shall be effective as delivery of a manually executed counterpart. Except as amended,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Third Amendment shall be deemed a “Loan Document” as defined in the Credit Agreement. Section 10.12 of the Credit Agreement shall apply to this Third Amendment and all past and future amendments to the Credit Agreement and other Loan Documents as if expressly set forth therein.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[REMAINDER OF PAGE INTENTIONALLY LEFT BLANK]</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9" w:name="page10"/>
    <w:bookmarkEnd w:id="9"/>
    <w:p>
      <w:pPr>
        <w:ind w:firstLine="720"/>
        <w:spacing w:after="0"/>
        <w:rPr>
          <w:sz w:val="20"/>
          <w:szCs w:val="20"/>
          <w:color w:val="auto"/>
        </w:rPr>
      </w:pPr>
      <w:r>
        <w:rPr>
          <w:rFonts w:ascii="Arial" w:cs="Arial" w:eastAsia="Arial" w:hAnsi="Arial"/>
          <w:sz w:val="22"/>
          <w:szCs w:val="22"/>
          <w:color w:val="auto"/>
        </w:rPr>
        <w:t>IN WITNESS WHEREOF, the parties have caused this Third Amendment to be duly executed by their officers or officers of their sole ultimate members thereunto duly authorized as of the day and year first above written, to be effective as of the Effective Date.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gridSpan w:val="5"/>
          </w:tcPr>
          <w:p>
            <w:pPr>
              <w:spacing w:after="0"/>
              <w:rPr>
                <w:sz w:val="20"/>
                <w:szCs w:val="20"/>
                <w:color w:val="auto"/>
              </w:rPr>
            </w:pPr>
            <w:r>
              <w:rPr>
                <w:rFonts w:ascii="Arial" w:cs="Arial" w:eastAsia="Arial" w:hAnsi="Arial"/>
                <w:sz w:val="22"/>
                <w:szCs w:val="22"/>
                <w:color w:val="auto"/>
              </w:rPr>
              <w:t>WYNN LAS VEGAS, LLC,</w:t>
            </w:r>
          </w:p>
        </w:tc>
        <w:tc>
          <w:tcPr>
            <w:tcW w:w="2400" w:type="dxa"/>
            <w:vAlign w:val="bottom"/>
          </w:tcPr>
          <w:p>
            <w:pPr>
              <w:spacing w:after="0"/>
              <w:rPr>
                <w:sz w:val="21"/>
                <w:szCs w:val="21"/>
                <w:color w:val="auto"/>
              </w:rPr>
            </w:pPr>
          </w:p>
        </w:tc>
        <w:tc>
          <w:tcPr>
            <w:tcW w:w="2320" w:type="dxa"/>
            <w:vAlign w:val="bottom"/>
            <w:gridSpan w:val="3"/>
          </w:tcPr>
          <w:p>
            <w:pPr>
              <w:ind w:left="440"/>
              <w:spacing w:after="0"/>
              <w:rPr>
                <w:sz w:val="20"/>
                <w:szCs w:val="20"/>
                <w:color w:val="auto"/>
              </w:rPr>
            </w:pPr>
            <w:r>
              <w:rPr>
                <w:rFonts w:ascii="Arial" w:cs="Arial" w:eastAsia="Arial" w:hAnsi="Arial"/>
                <w:sz w:val="22"/>
                <w:szCs w:val="22"/>
                <w:color w:val="auto"/>
                <w:w w:val="96"/>
              </w:rPr>
              <w:t>WYNN GOLF, LLC,</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275"/>
        </w:trPr>
        <w:tc>
          <w:tcPr>
            <w:tcW w:w="5080" w:type="dxa"/>
            <w:vAlign w:val="bottom"/>
            <w:gridSpan w:val="6"/>
          </w:tcPr>
          <w:p>
            <w:pPr>
              <w:spacing w:after="0"/>
              <w:rPr>
                <w:sz w:val="20"/>
                <w:szCs w:val="20"/>
                <w:color w:val="auto"/>
              </w:rPr>
            </w:pPr>
            <w:r>
              <w:rPr>
                <w:rFonts w:ascii="Arial" w:cs="Arial" w:eastAsia="Arial" w:hAnsi="Arial"/>
                <w:sz w:val="22"/>
                <w:szCs w:val="22"/>
                <w:color w:val="auto"/>
              </w:rPr>
              <w:t>a Nevada limited liability company</w:t>
            </w:r>
          </w:p>
        </w:tc>
        <w:tc>
          <w:tcPr>
            <w:tcW w:w="5900" w:type="dxa"/>
            <w:vAlign w:val="bottom"/>
            <w:gridSpan w:val="6"/>
          </w:tcPr>
          <w:p>
            <w:pPr>
              <w:ind w:left="440"/>
              <w:spacing w:after="0"/>
              <w:rPr>
                <w:sz w:val="20"/>
                <w:szCs w:val="20"/>
                <w:color w:val="auto"/>
              </w:rPr>
            </w:pPr>
            <w:r>
              <w:rPr>
                <w:rFonts w:ascii="Arial" w:cs="Arial" w:eastAsia="Arial" w:hAnsi="Arial"/>
                <w:sz w:val="22"/>
                <w:szCs w:val="22"/>
                <w:color w:val="auto"/>
              </w:rPr>
              <w:t>a Nevada limited liability company</w:t>
            </w:r>
          </w:p>
        </w:tc>
      </w:tr>
      <w:tr>
        <w:trPr>
          <w:trHeight w:val="428"/>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gridSpan w:val="5"/>
          </w:tcPr>
          <w:p>
            <w:pPr>
              <w:ind w:left="120"/>
              <w:spacing w:after="0"/>
              <w:rPr>
                <w:sz w:val="20"/>
                <w:szCs w:val="20"/>
                <w:color w:val="auto"/>
              </w:rPr>
            </w:pPr>
            <w:r>
              <w:rPr>
                <w:rFonts w:ascii="Arial" w:cs="Arial" w:eastAsia="Arial" w:hAnsi="Arial"/>
                <w:sz w:val="22"/>
                <w:szCs w:val="22"/>
                <w:color w:val="auto"/>
              </w:rPr>
              <w:t>Wynn Resorts Holdings, LLC,</w:t>
            </w:r>
          </w:p>
        </w:tc>
        <w:tc>
          <w:tcPr>
            <w:tcW w:w="1000" w:type="dxa"/>
            <w:vAlign w:val="bottom"/>
          </w:tcPr>
          <w:p>
            <w:pPr>
              <w:ind w:left="440"/>
              <w:spacing w:after="0"/>
              <w:rPr>
                <w:sz w:val="20"/>
                <w:szCs w:val="20"/>
                <w:color w:val="auto"/>
              </w:rPr>
            </w:pPr>
            <w:r>
              <w:rPr>
                <w:rFonts w:ascii="Arial" w:cs="Arial" w:eastAsia="Arial" w:hAnsi="Arial"/>
                <w:sz w:val="22"/>
                <w:szCs w:val="22"/>
                <w:color w:val="auto"/>
              </w:rPr>
              <w:t>By:</w:t>
            </w:r>
          </w:p>
        </w:tc>
        <w:tc>
          <w:tcPr>
            <w:tcW w:w="4900" w:type="dxa"/>
            <w:vAlign w:val="bottom"/>
            <w:gridSpan w:val="5"/>
          </w:tcPr>
          <w:p>
            <w:pPr>
              <w:ind w:left="240"/>
              <w:spacing w:after="0"/>
              <w:rPr>
                <w:sz w:val="20"/>
                <w:szCs w:val="20"/>
                <w:color w:val="auto"/>
              </w:rPr>
            </w:pPr>
            <w:r>
              <w:rPr>
                <w:rFonts w:ascii="Arial" w:cs="Arial" w:eastAsia="Arial" w:hAnsi="Arial"/>
                <w:sz w:val="22"/>
                <w:szCs w:val="22"/>
                <w:color w:val="auto"/>
              </w:rPr>
              <w:t>Wynn Las Vegas, LLC,</w:t>
            </w:r>
          </w:p>
        </w:tc>
      </w:tr>
      <w:tr>
        <w:trPr>
          <w:trHeight w:val="243"/>
        </w:trPr>
        <w:tc>
          <w:tcPr>
            <w:tcW w:w="460" w:type="dxa"/>
            <w:vAlign w:val="bottom"/>
          </w:tcPr>
          <w:p>
            <w:pPr>
              <w:spacing w:after="0"/>
              <w:rPr>
                <w:sz w:val="21"/>
                <w:szCs w:val="21"/>
                <w:color w:val="auto"/>
              </w:rPr>
            </w:pPr>
          </w:p>
        </w:tc>
        <w:tc>
          <w:tcPr>
            <w:tcW w:w="4620" w:type="dxa"/>
            <w:vAlign w:val="bottom"/>
            <w:gridSpan w:val="5"/>
          </w:tcPr>
          <w:p>
            <w:pPr>
              <w:ind w:left="120"/>
              <w:spacing w:after="0" w:line="243" w:lineRule="exact"/>
              <w:rPr>
                <w:sz w:val="20"/>
                <w:szCs w:val="20"/>
                <w:color w:val="auto"/>
              </w:rPr>
            </w:pPr>
            <w:r>
              <w:rPr>
                <w:rFonts w:ascii="Arial" w:cs="Arial" w:eastAsia="Arial" w:hAnsi="Arial"/>
                <w:sz w:val="22"/>
                <w:szCs w:val="22"/>
                <w:color w:val="auto"/>
              </w:rPr>
              <w:t>a Nevada limited liability company,</w:t>
            </w:r>
          </w:p>
        </w:tc>
        <w:tc>
          <w:tcPr>
            <w:tcW w:w="1000" w:type="dxa"/>
            <w:vAlign w:val="bottom"/>
          </w:tcPr>
          <w:p>
            <w:pPr>
              <w:spacing w:after="0"/>
              <w:rPr>
                <w:sz w:val="21"/>
                <w:szCs w:val="21"/>
                <w:color w:val="auto"/>
              </w:rPr>
            </w:pPr>
          </w:p>
        </w:tc>
        <w:tc>
          <w:tcPr>
            <w:tcW w:w="4900" w:type="dxa"/>
            <w:vAlign w:val="bottom"/>
            <w:gridSpan w:val="5"/>
          </w:tcPr>
          <w:p>
            <w:pPr>
              <w:ind w:left="2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460" w:type="dxa"/>
            <w:vAlign w:val="bottom"/>
          </w:tcPr>
          <w:p>
            <w:pPr>
              <w:spacing w:after="0"/>
              <w:rPr>
                <w:sz w:val="23"/>
                <w:szCs w:val="23"/>
                <w:color w:val="auto"/>
              </w:rPr>
            </w:pPr>
          </w:p>
        </w:tc>
        <w:tc>
          <w:tcPr>
            <w:tcW w:w="1500" w:type="dxa"/>
            <w:vAlign w:val="bottom"/>
            <w:gridSpan w:val="2"/>
          </w:tcPr>
          <w:p>
            <w:pPr>
              <w:ind w:left="120"/>
              <w:spacing w:after="0"/>
              <w:rPr>
                <w:sz w:val="20"/>
                <w:szCs w:val="20"/>
                <w:color w:val="auto"/>
              </w:rPr>
            </w:pPr>
            <w:r>
              <w:rPr>
                <w:rFonts w:ascii="Arial" w:cs="Arial" w:eastAsia="Arial" w:hAnsi="Arial"/>
                <w:sz w:val="22"/>
                <w:szCs w:val="22"/>
                <w:color w:val="auto"/>
                <w:w w:val="87"/>
              </w:rPr>
              <w:t>its sole member</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60" w:type="dxa"/>
            <w:vAlign w:val="bottom"/>
            <w:gridSpan w:val="3"/>
          </w:tcPr>
          <w:p>
            <w:pPr>
              <w:ind w:left="240"/>
              <w:spacing w:after="0"/>
              <w:rPr>
                <w:sz w:val="20"/>
                <w:szCs w:val="20"/>
                <w:color w:val="auto"/>
              </w:rPr>
            </w:pPr>
            <w:r>
              <w:rPr>
                <w:rFonts w:ascii="Arial" w:cs="Arial" w:eastAsia="Arial" w:hAnsi="Arial"/>
                <w:sz w:val="22"/>
                <w:szCs w:val="22"/>
                <w:color w:val="auto"/>
              </w:rPr>
              <w:t>its sole member</w:t>
            </w:r>
          </w:p>
        </w:tc>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28"/>
        </w:trPr>
        <w:tc>
          <w:tcPr>
            <w:tcW w:w="46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22"/>
                <w:szCs w:val="22"/>
                <w:color w:val="auto"/>
              </w:rPr>
              <w:t>By:</w:t>
            </w:r>
          </w:p>
        </w:tc>
        <w:tc>
          <w:tcPr>
            <w:tcW w:w="4040" w:type="dxa"/>
            <w:vAlign w:val="bottom"/>
            <w:gridSpan w:val="4"/>
          </w:tcPr>
          <w:p>
            <w:pPr>
              <w:ind w:left="120"/>
              <w:spacing w:after="0"/>
              <w:rPr>
                <w:sz w:val="20"/>
                <w:szCs w:val="20"/>
                <w:color w:val="auto"/>
              </w:rPr>
            </w:pPr>
            <w:r>
              <w:rPr>
                <w:rFonts w:ascii="Arial" w:cs="Arial" w:eastAsia="Arial" w:hAnsi="Arial"/>
                <w:sz w:val="22"/>
                <w:szCs w:val="22"/>
                <w:color w:val="auto"/>
              </w:rPr>
              <w:t>Wynn Resorts, Limited,</w:t>
            </w:r>
          </w:p>
        </w:tc>
        <w:tc>
          <w:tcPr>
            <w:tcW w:w="10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22"/>
                <w:szCs w:val="22"/>
                <w:color w:val="auto"/>
              </w:rPr>
              <w:t>By:</w:t>
            </w:r>
          </w:p>
        </w:tc>
        <w:tc>
          <w:tcPr>
            <w:tcW w:w="4220" w:type="dxa"/>
            <w:vAlign w:val="bottom"/>
            <w:gridSpan w:val="4"/>
          </w:tcPr>
          <w:p>
            <w:pPr>
              <w:ind w:left="120"/>
              <w:spacing w:after="0"/>
              <w:rPr>
                <w:sz w:val="20"/>
                <w:szCs w:val="20"/>
                <w:color w:val="auto"/>
              </w:rPr>
            </w:pPr>
            <w:r>
              <w:rPr>
                <w:rFonts w:ascii="Arial" w:cs="Arial" w:eastAsia="Arial" w:hAnsi="Arial"/>
                <w:sz w:val="22"/>
                <w:szCs w:val="22"/>
                <w:color w:val="auto"/>
              </w:rPr>
              <w:t>Wynn Resorts Holdings, LLC,</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40" w:type="dxa"/>
            <w:vAlign w:val="bottom"/>
            <w:gridSpan w:val="4"/>
          </w:tcPr>
          <w:p>
            <w:pPr>
              <w:ind w:left="120"/>
              <w:spacing w:after="0" w:line="243" w:lineRule="exact"/>
              <w:rPr>
                <w:sz w:val="20"/>
                <w:szCs w:val="20"/>
                <w:color w:val="auto"/>
              </w:rPr>
            </w:pPr>
            <w:r>
              <w:rPr>
                <w:rFonts w:ascii="Arial" w:cs="Arial" w:eastAsia="Arial" w:hAnsi="Arial"/>
                <w:sz w:val="22"/>
                <w:szCs w:val="22"/>
                <w:color w:val="auto"/>
              </w:rPr>
              <w:t>a Nevada corporation,</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gridSpan w:val="4"/>
          </w:tcPr>
          <w:p>
            <w:pPr>
              <w:ind w:left="12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40" w:type="dxa"/>
            <w:vAlign w:val="bottom"/>
            <w:gridSpan w:val="3"/>
          </w:tcPr>
          <w:p>
            <w:pPr>
              <w:ind w:left="120"/>
              <w:spacing w:after="0"/>
              <w:rPr>
                <w:sz w:val="20"/>
                <w:szCs w:val="20"/>
                <w:color w:val="auto"/>
              </w:rPr>
            </w:pPr>
            <w:r>
              <w:rPr>
                <w:rFonts w:ascii="Arial" w:cs="Arial" w:eastAsia="Arial" w:hAnsi="Arial"/>
                <w:sz w:val="22"/>
                <w:szCs w:val="22"/>
                <w:color w:val="auto"/>
                <w:w w:val="96"/>
              </w:rPr>
              <w:t>its sole member</w:t>
            </w:r>
          </w:p>
        </w:tc>
        <w:tc>
          <w:tcPr>
            <w:tcW w:w="2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20" w:type="dxa"/>
            <w:vAlign w:val="bottom"/>
            <w:gridSpan w:val="4"/>
          </w:tcPr>
          <w:p>
            <w:pPr>
              <w:ind w:left="120"/>
              <w:spacing w:after="0"/>
              <w:rPr>
                <w:sz w:val="20"/>
                <w:szCs w:val="20"/>
                <w:color w:val="auto"/>
              </w:rPr>
            </w:pPr>
            <w:r>
              <w:rPr>
                <w:rFonts w:ascii="Arial" w:cs="Arial" w:eastAsia="Arial" w:hAnsi="Arial"/>
                <w:sz w:val="22"/>
                <w:szCs w:val="22"/>
                <w:color w:val="auto"/>
              </w:rPr>
              <w:t>its sole member</w:t>
            </w:r>
          </w:p>
        </w:tc>
      </w:tr>
      <w:tr>
        <w:trPr>
          <w:trHeight w:val="449"/>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22"/>
                <w:szCs w:val="22"/>
                <w:color w:val="auto"/>
              </w:rPr>
              <w:t>By:</w:t>
            </w:r>
          </w:p>
        </w:tc>
        <w:tc>
          <w:tcPr>
            <w:tcW w:w="3580" w:type="dxa"/>
            <w:vAlign w:val="bottom"/>
            <w:gridSpan w:val="3"/>
          </w:tcPr>
          <w:p>
            <w:pPr>
              <w:ind w:left="40"/>
              <w:spacing w:after="0"/>
              <w:rPr>
                <w:sz w:val="20"/>
                <w:szCs w:val="20"/>
                <w:color w:val="auto"/>
              </w:rPr>
            </w:pPr>
            <w:r>
              <w:rPr>
                <w:rFonts w:ascii="Arial" w:cs="Arial" w:eastAsia="Arial" w:hAnsi="Arial"/>
                <w:sz w:val="22"/>
                <w:szCs w:val="22"/>
                <w:color w:val="auto"/>
              </w:rPr>
              <w:t>Wynn Resorts, Limited,</w:t>
            </w:r>
          </w:p>
        </w:tc>
      </w:tr>
      <w:tr>
        <w:trPr>
          <w:trHeight w:val="215"/>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ind w:left="120"/>
              <w:spacing w:after="0" w:line="216" w:lineRule="exact"/>
              <w:rPr>
                <w:sz w:val="20"/>
                <w:szCs w:val="20"/>
                <w:color w:val="auto"/>
              </w:rPr>
            </w:pPr>
            <w:r>
              <w:rPr>
                <w:rFonts w:ascii="Arial" w:cs="Arial" w:eastAsia="Arial" w:hAnsi="Arial"/>
                <w:sz w:val="22"/>
                <w:szCs w:val="22"/>
                <w:color w:val="auto"/>
              </w:rPr>
              <w:t>Name:</w:t>
            </w:r>
          </w:p>
        </w:tc>
        <w:tc>
          <w:tcPr>
            <w:tcW w:w="380" w:type="dxa"/>
            <w:vAlign w:val="bottom"/>
          </w:tcPr>
          <w:p>
            <w:pPr>
              <w:spacing w:after="0"/>
              <w:rPr>
                <w:sz w:val="18"/>
                <w:szCs w:val="18"/>
                <w:color w:val="auto"/>
              </w:rPr>
            </w:pPr>
          </w:p>
        </w:tc>
        <w:tc>
          <w:tcPr>
            <w:tcW w:w="2740" w:type="dxa"/>
            <w:vAlign w:val="bottom"/>
            <w:gridSpan w:val="2"/>
          </w:tcPr>
          <w:p>
            <w:pPr>
              <w:spacing w:after="0" w:line="216" w:lineRule="exact"/>
              <w:rPr>
                <w:sz w:val="20"/>
                <w:szCs w:val="20"/>
                <w:color w:val="auto"/>
              </w:rPr>
            </w:pPr>
            <w:r>
              <w:rPr>
                <w:rFonts w:ascii="Arial" w:cs="Arial" w:eastAsia="Arial" w:hAnsi="Arial"/>
                <w:sz w:val="22"/>
                <w:szCs w:val="22"/>
                <w:color w:val="auto"/>
              </w:rPr>
              <w:t>Matt Maddox</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gridSpan w:val="3"/>
          </w:tcPr>
          <w:p>
            <w:pPr>
              <w:ind w:left="40"/>
              <w:spacing w:after="0" w:line="216" w:lineRule="exact"/>
              <w:rPr>
                <w:sz w:val="20"/>
                <w:szCs w:val="20"/>
                <w:color w:val="auto"/>
              </w:rPr>
            </w:pPr>
            <w:r>
              <w:rPr>
                <w:rFonts w:ascii="Arial" w:cs="Arial" w:eastAsia="Arial" w:hAnsi="Arial"/>
                <w:sz w:val="22"/>
                <w:szCs w:val="22"/>
                <w:color w:val="auto"/>
              </w:rPr>
              <w:t>a Nevada corporation,</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ind w:left="120"/>
              <w:spacing w:after="0" w:line="243" w:lineRule="exact"/>
              <w:rPr>
                <w:sz w:val="20"/>
                <w:szCs w:val="20"/>
                <w:color w:val="auto"/>
              </w:rPr>
            </w:pPr>
            <w:r>
              <w:rPr>
                <w:rFonts w:ascii="Arial" w:cs="Arial" w:eastAsia="Arial" w:hAnsi="Arial"/>
                <w:sz w:val="22"/>
                <w:szCs w:val="22"/>
                <w:color w:val="auto"/>
              </w:rPr>
              <w:t>Title:</w:t>
            </w:r>
          </w:p>
        </w:tc>
        <w:tc>
          <w:tcPr>
            <w:tcW w:w="380" w:type="dxa"/>
            <w:vAlign w:val="bottom"/>
          </w:tcPr>
          <w:p>
            <w:pPr>
              <w:spacing w:after="0"/>
              <w:rPr>
                <w:sz w:val="21"/>
                <w:szCs w:val="21"/>
                <w:color w:val="auto"/>
              </w:rPr>
            </w:pPr>
          </w:p>
        </w:tc>
        <w:tc>
          <w:tcPr>
            <w:tcW w:w="2740" w:type="dxa"/>
            <w:vAlign w:val="bottom"/>
            <w:gridSpan w:val="2"/>
          </w:tcPr>
          <w:p>
            <w:pPr>
              <w:spacing w:after="0" w:line="243" w:lineRule="exact"/>
              <w:rPr>
                <w:sz w:val="20"/>
                <w:szCs w:val="20"/>
                <w:color w:val="auto"/>
              </w:rPr>
            </w:pPr>
            <w:r>
              <w:rPr>
                <w:rFonts w:ascii="Arial" w:cs="Arial" w:eastAsia="Arial" w:hAnsi="Arial"/>
                <w:sz w:val="22"/>
                <w:szCs w:val="22"/>
                <w:color w:val="auto"/>
              </w:rPr>
              <w:t>Chief Financial Officer and</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8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its sole member</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Arial" w:cs="Arial" w:eastAsia="Arial" w:hAnsi="Arial"/>
                <w:sz w:val="22"/>
                <w:szCs w:val="22"/>
                <w:color w:val="auto"/>
              </w:rPr>
              <w:t>Treasurer</w:t>
            </w: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49"/>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By:</w:t>
            </w: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ind w:left="40"/>
              <w:spacing w:after="0" w:line="216" w:lineRule="exact"/>
              <w:rPr>
                <w:sz w:val="20"/>
                <w:szCs w:val="20"/>
                <w:color w:val="auto"/>
              </w:rPr>
            </w:pPr>
            <w:r>
              <w:rPr>
                <w:rFonts w:ascii="Arial" w:cs="Arial" w:eastAsia="Arial" w:hAnsi="Arial"/>
                <w:sz w:val="22"/>
                <w:szCs w:val="22"/>
                <w:color w:val="auto"/>
              </w:rPr>
              <w:t>Name:</w:t>
            </w:r>
          </w:p>
        </w:tc>
        <w:tc>
          <w:tcPr>
            <w:tcW w:w="2740" w:type="dxa"/>
            <w:vAlign w:val="bottom"/>
            <w:gridSpan w:val="2"/>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ind w:left="40"/>
              <w:spacing w:after="0" w:line="243" w:lineRule="exact"/>
              <w:rPr>
                <w:sz w:val="20"/>
                <w:szCs w:val="20"/>
                <w:color w:val="auto"/>
              </w:rPr>
            </w:pPr>
            <w:r>
              <w:rPr>
                <w:rFonts w:ascii="Arial" w:cs="Arial" w:eastAsia="Arial" w:hAnsi="Arial"/>
                <w:sz w:val="22"/>
                <w:szCs w:val="22"/>
                <w:color w:val="auto"/>
              </w:rPr>
              <w:t>Title:</w:t>
            </w:r>
          </w:p>
        </w:tc>
        <w:tc>
          <w:tcPr>
            <w:tcW w:w="2740" w:type="dxa"/>
            <w:vAlign w:val="bottom"/>
            <w:gridSpan w:val="2"/>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Arial" w:cs="Arial" w:eastAsia="Arial" w:hAnsi="Arial"/>
                <w:sz w:val="22"/>
                <w:szCs w:val="22"/>
                <w:color w:val="auto"/>
              </w:rPr>
              <w:t>Treasurer</w:t>
            </w:r>
          </w:p>
        </w:tc>
      </w:tr>
      <w:tr>
        <w:trPr>
          <w:trHeight w:val="428"/>
        </w:trPr>
        <w:tc>
          <w:tcPr>
            <w:tcW w:w="2680" w:type="dxa"/>
            <w:vAlign w:val="bottom"/>
            <w:gridSpan w:val="5"/>
          </w:tcPr>
          <w:p>
            <w:pPr>
              <w:spacing w:after="0"/>
              <w:rPr>
                <w:sz w:val="20"/>
                <w:szCs w:val="20"/>
                <w:color w:val="auto"/>
              </w:rPr>
            </w:pPr>
            <w:r>
              <w:rPr>
                <w:rFonts w:ascii="Arial" w:cs="Arial" w:eastAsia="Arial" w:hAnsi="Arial"/>
                <w:sz w:val="22"/>
                <w:szCs w:val="22"/>
                <w:color w:val="auto"/>
              </w:rPr>
              <w:t>WYNN SUNRISE, LLC,</w:t>
            </w:r>
          </w:p>
        </w:tc>
        <w:tc>
          <w:tcPr>
            <w:tcW w:w="2400" w:type="dxa"/>
            <w:vAlign w:val="bottom"/>
          </w:tcPr>
          <w:p>
            <w:pPr>
              <w:spacing w:after="0"/>
              <w:rPr>
                <w:sz w:val="24"/>
                <w:szCs w:val="24"/>
                <w:color w:val="auto"/>
              </w:rPr>
            </w:pPr>
          </w:p>
        </w:tc>
        <w:tc>
          <w:tcPr>
            <w:tcW w:w="3160" w:type="dxa"/>
            <w:vAlign w:val="bottom"/>
            <w:gridSpan w:val="4"/>
          </w:tcPr>
          <w:p>
            <w:pPr>
              <w:ind w:left="440"/>
              <w:spacing w:after="0"/>
              <w:rPr>
                <w:sz w:val="20"/>
                <w:szCs w:val="20"/>
                <w:color w:val="auto"/>
              </w:rPr>
            </w:pPr>
            <w:r>
              <w:rPr>
                <w:rFonts w:ascii="Arial" w:cs="Arial" w:eastAsia="Arial" w:hAnsi="Arial"/>
                <w:sz w:val="22"/>
                <w:szCs w:val="22"/>
                <w:color w:val="auto"/>
              </w:rPr>
              <w:t>WORLD TRAVEL, LLC,</w:t>
            </w: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5"/>
        </w:trPr>
        <w:tc>
          <w:tcPr>
            <w:tcW w:w="5080" w:type="dxa"/>
            <w:vAlign w:val="bottom"/>
            <w:gridSpan w:val="6"/>
          </w:tcPr>
          <w:p>
            <w:pPr>
              <w:spacing w:after="0"/>
              <w:rPr>
                <w:sz w:val="20"/>
                <w:szCs w:val="20"/>
                <w:color w:val="auto"/>
              </w:rPr>
            </w:pPr>
            <w:r>
              <w:rPr>
                <w:rFonts w:ascii="Arial" w:cs="Arial" w:eastAsia="Arial" w:hAnsi="Arial"/>
                <w:sz w:val="22"/>
                <w:szCs w:val="22"/>
                <w:color w:val="auto"/>
              </w:rPr>
              <w:t>a Nevada limited liability company</w:t>
            </w:r>
          </w:p>
        </w:tc>
        <w:tc>
          <w:tcPr>
            <w:tcW w:w="5900" w:type="dxa"/>
            <w:vAlign w:val="bottom"/>
            <w:gridSpan w:val="6"/>
          </w:tcPr>
          <w:p>
            <w:pPr>
              <w:ind w:left="440"/>
              <w:spacing w:after="0"/>
              <w:rPr>
                <w:sz w:val="20"/>
                <w:szCs w:val="20"/>
                <w:color w:val="auto"/>
              </w:rPr>
            </w:pPr>
            <w:r>
              <w:rPr>
                <w:rFonts w:ascii="Arial" w:cs="Arial" w:eastAsia="Arial" w:hAnsi="Arial"/>
                <w:sz w:val="22"/>
                <w:szCs w:val="22"/>
                <w:color w:val="auto"/>
              </w:rPr>
              <w:t>a Nevada limited liability company</w:t>
            </w:r>
          </w:p>
        </w:tc>
      </w:tr>
      <w:tr>
        <w:trPr>
          <w:trHeight w:val="428"/>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2220" w:type="dxa"/>
            <w:vAlign w:val="bottom"/>
            <w:gridSpan w:val="4"/>
          </w:tcPr>
          <w:p>
            <w:pPr>
              <w:ind w:left="120"/>
              <w:spacing w:after="0"/>
              <w:rPr>
                <w:sz w:val="20"/>
                <w:szCs w:val="20"/>
                <w:color w:val="auto"/>
              </w:rPr>
            </w:pPr>
            <w:r>
              <w:rPr>
                <w:rFonts w:ascii="Arial" w:cs="Arial" w:eastAsia="Arial" w:hAnsi="Arial"/>
                <w:sz w:val="22"/>
                <w:szCs w:val="22"/>
                <w:color w:val="auto"/>
                <w:w w:val="92"/>
              </w:rPr>
              <w:t>Wynn Las Vegas, LLC,</w:t>
            </w:r>
          </w:p>
        </w:tc>
        <w:tc>
          <w:tcPr>
            <w:tcW w:w="240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Arial" w:cs="Arial" w:eastAsia="Arial" w:hAnsi="Arial"/>
                <w:sz w:val="22"/>
                <w:szCs w:val="22"/>
                <w:color w:val="auto"/>
              </w:rPr>
              <w:t>By:</w:t>
            </w:r>
          </w:p>
        </w:tc>
        <w:tc>
          <w:tcPr>
            <w:tcW w:w="4900" w:type="dxa"/>
            <w:vAlign w:val="bottom"/>
            <w:gridSpan w:val="5"/>
          </w:tcPr>
          <w:p>
            <w:pPr>
              <w:ind w:left="240"/>
              <w:spacing w:after="0"/>
              <w:rPr>
                <w:sz w:val="20"/>
                <w:szCs w:val="20"/>
                <w:color w:val="auto"/>
              </w:rPr>
            </w:pPr>
            <w:r>
              <w:rPr>
                <w:rFonts w:ascii="Arial" w:cs="Arial" w:eastAsia="Arial" w:hAnsi="Arial"/>
                <w:sz w:val="22"/>
                <w:szCs w:val="22"/>
                <w:color w:val="auto"/>
              </w:rPr>
              <w:t>Wynn Las Vegas, LLC,</w:t>
            </w:r>
          </w:p>
        </w:tc>
      </w:tr>
      <w:tr>
        <w:trPr>
          <w:trHeight w:val="243"/>
        </w:trPr>
        <w:tc>
          <w:tcPr>
            <w:tcW w:w="460" w:type="dxa"/>
            <w:vAlign w:val="bottom"/>
          </w:tcPr>
          <w:p>
            <w:pPr>
              <w:spacing w:after="0"/>
              <w:rPr>
                <w:sz w:val="21"/>
                <w:szCs w:val="21"/>
                <w:color w:val="auto"/>
              </w:rPr>
            </w:pPr>
          </w:p>
        </w:tc>
        <w:tc>
          <w:tcPr>
            <w:tcW w:w="4620" w:type="dxa"/>
            <w:vAlign w:val="bottom"/>
            <w:gridSpan w:val="5"/>
          </w:tcPr>
          <w:p>
            <w:pPr>
              <w:ind w:left="120"/>
              <w:spacing w:after="0" w:line="243" w:lineRule="exact"/>
              <w:rPr>
                <w:sz w:val="20"/>
                <w:szCs w:val="20"/>
                <w:color w:val="auto"/>
              </w:rPr>
            </w:pPr>
            <w:r>
              <w:rPr>
                <w:rFonts w:ascii="Arial" w:cs="Arial" w:eastAsia="Arial" w:hAnsi="Arial"/>
                <w:sz w:val="22"/>
                <w:szCs w:val="22"/>
                <w:color w:val="auto"/>
              </w:rPr>
              <w:t>a Nevada limited liability company,</w:t>
            </w:r>
          </w:p>
        </w:tc>
        <w:tc>
          <w:tcPr>
            <w:tcW w:w="1000" w:type="dxa"/>
            <w:vAlign w:val="bottom"/>
          </w:tcPr>
          <w:p>
            <w:pPr>
              <w:spacing w:after="0"/>
              <w:rPr>
                <w:sz w:val="21"/>
                <w:szCs w:val="21"/>
                <w:color w:val="auto"/>
              </w:rPr>
            </w:pPr>
          </w:p>
        </w:tc>
        <w:tc>
          <w:tcPr>
            <w:tcW w:w="4900" w:type="dxa"/>
            <w:vAlign w:val="bottom"/>
            <w:gridSpan w:val="5"/>
          </w:tcPr>
          <w:p>
            <w:pPr>
              <w:ind w:left="2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460" w:type="dxa"/>
            <w:vAlign w:val="bottom"/>
          </w:tcPr>
          <w:p>
            <w:pPr>
              <w:spacing w:after="0"/>
              <w:rPr>
                <w:sz w:val="23"/>
                <w:szCs w:val="23"/>
                <w:color w:val="auto"/>
              </w:rPr>
            </w:pPr>
          </w:p>
        </w:tc>
        <w:tc>
          <w:tcPr>
            <w:tcW w:w="1500" w:type="dxa"/>
            <w:vAlign w:val="bottom"/>
            <w:gridSpan w:val="2"/>
          </w:tcPr>
          <w:p>
            <w:pPr>
              <w:ind w:left="120"/>
              <w:spacing w:after="0"/>
              <w:rPr>
                <w:sz w:val="20"/>
                <w:szCs w:val="20"/>
                <w:color w:val="auto"/>
              </w:rPr>
            </w:pPr>
            <w:r>
              <w:rPr>
                <w:rFonts w:ascii="Arial" w:cs="Arial" w:eastAsia="Arial" w:hAnsi="Arial"/>
                <w:sz w:val="22"/>
                <w:szCs w:val="22"/>
                <w:color w:val="auto"/>
                <w:w w:val="87"/>
              </w:rPr>
              <w:t>its sole member</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60" w:type="dxa"/>
            <w:vAlign w:val="bottom"/>
            <w:gridSpan w:val="3"/>
          </w:tcPr>
          <w:p>
            <w:pPr>
              <w:ind w:left="240"/>
              <w:spacing w:after="0"/>
              <w:rPr>
                <w:sz w:val="20"/>
                <w:szCs w:val="20"/>
                <w:color w:val="auto"/>
              </w:rPr>
            </w:pPr>
            <w:r>
              <w:rPr>
                <w:rFonts w:ascii="Arial" w:cs="Arial" w:eastAsia="Arial" w:hAnsi="Arial"/>
                <w:sz w:val="22"/>
                <w:szCs w:val="22"/>
                <w:color w:val="auto"/>
              </w:rPr>
              <w:t>its sole member</w:t>
            </w:r>
          </w:p>
        </w:tc>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28"/>
        </w:trPr>
        <w:tc>
          <w:tcPr>
            <w:tcW w:w="46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22"/>
                <w:szCs w:val="22"/>
                <w:color w:val="auto"/>
              </w:rPr>
              <w:t>By:</w:t>
            </w:r>
          </w:p>
        </w:tc>
        <w:tc>
          <w:tcPr>
            <w:tcW w:w="4040" w:type="dxa"/>
            <w:vAlign w:val="bottom"/>
            <w:gridSpan w:val="4"/>
          </w:tcPr>
          <w:p>
            <w:pPr>
              <w:ind w:left="120"/>
              <w:spacing w:after="0"/>
              <w:rPr>
                <w:sz w:val="20"/>
                <w:szCs w:val="20"/>
                <w:color w:val="auto"/>
              </w:rPr>
            </w:pPr>
            <w:r>
              <w:rPr>
                <w:rFonts w:ascii="Arial" w:cs="Arial" w:eastAsia="Arial" w:hAnsi="Arial"/>
                <w:sz w:val="22"/>
                <w:szCs w:val="22"/>
                <w:color w:val="auto"/>
              </w:rPr>
              <w:t>Wynn Resorts Holdings, LLC,</w:t>
            </w:r>
          </w:p>
        </w:tc>
        <w:tc>
          <w:tcPr>
            <w:tcW w:w="10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22"/>
                <w:szCs w:val="22"/>
                <w:color w:val="auto"/>
              </w:rPr>
              <w:t>By:</w:t>
            </w:r>
          </w:p>
        </w:tc>
        <w:tc>
          <w:tcPr>
            <w:tcW w:w="4220" w:type="dxa"/>
            <w:vAlign w:val="bottom"/>
            <w:gridSpan w:val="4"/>
          </w:tcPr>
          <w:p>
            <w:pPr>
              <w:ind w:left="120"/>
              <w:spacing w:after="0"/>
              <w:rPr>
                <w:sz w:val="20"/>
                <w:szCs w:val="20"/>
                <w:color w:val="auto"/>
              </w:rPr>
            </w:pPr>
            <w:r>
              <w:rPr>
                <w:rFonts w:ascii="Arial" w:cs="Arial" w:eastAsia="Arial" w:hAnsi="Arial"/>
                <w:sz w:val="22"/>
                <w:szCs w:val="22"/>
                <w:color w:val="auto"/>
              </w:rPr>
              <w:t>Wynn Resorts Holdings, LLC,</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40" w:type="dxa"/>
            <w:vAlign w:val="bottom"/>
            <w:gridSpan w:val="4"/>
          </w:tcPr>
          <w:p>
            <w:pPr>
              <w:ind w:left="120"/>
              <w:spacing w:after="0" w:line="243" w:lineRule="exact"/>
              <w:rPr>
                <w:sz w:val="20"/>
                <w:szCs w:val="20"/>
                <w:color w:val="auto"/>
              </w:rPr>
            </w:pPr>
            <w:r>
              <w:rPr>
                <w:rFonts w:ascii="Arial" w:cs="Arial" w:eastAsia="Arial" w:hAnsi="Arial"/>
                <w:sz w:val="22"/>
                <w:szCs w:val="22"/>
                <w:color w:val="auto"/>
              </w:rPr>
              <w:t>a Nevada limited liability company,</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gridSpan w:val="4"/>
          </w:tcPr>
          <w:p>
            <w:pPr>
              <w:ind w:left="12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40" w:type="dxa"/>
            <w:vAlign w:val="bottom"/>
            <w:gridSpan w:val="3"/>
          </w:tcPr>
          <w:p>
            <w:pPr>
              <w:ind w:left="120"/>
              <w:spacing w:after="0"/>
              <w:rPr>
                <w:sz w:val="20"/>
                <w:szCs w:val="20"/>
                <w:color w:val="auto"/>
              </w:rPr>
            </w:pPr>
            <w:r>
              <w:rPr>
                <w:rFonts w:ascii="Arial" w:cs="Arial" w:eastAsia="Arial" w:hAnsi="Arial"/>
                <w:sz w:val="22"/>
                <w:szCs w:val="22"/>
                <w:color w:val="auto"/>
                <w:w w:val="96"/>
              </w:rPr>
              <w:t>its sole member</w:t>
            </w:r>
          </w:p>
        </w:tc>
        <w:tc>
          <w:tcPr>
            <w:tcW w:w="2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20" w:type="dxa"/>
            <w:vAlign w:val="bottom"/>
            <w:gridSpan w:val="4"/>
          </w:tcPr>
          <w:p>
            <w:pPr>
              <w:ind w:left="120"/>
              <w:spacing w:after="0"/>
              <w:rPr>
                <w:sz w:val="20"/>
                <w:szCs w:val="20"/>
                <w:color w:val="auto"/>
              </w:rPr>
            </w:pPr>
            <w:r>
              <w:rPr>
                <w:rFonts w:ascii="Arial" w:cs="Arial" w:eastAsia="Arial" w:hAnsi="Arial"/>
                <w:sz w:val="22"/>
                <w:szCs w:val="22"/>
                <w:color w:val="auto"/>
              </w:rPr>
              <w:t>its sole member</w:t>
            </w:r>
          </w:p>
        </w:tc>
      </w:tr>
      <w:tr>
        <w:trPr>
          <w:trHeight w:val="428"/>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22"/>
                <w:szCs w:val="22"/>
                <w:color w:val="auto"/>
              </w:rPr>
              <w:t>By:</w:t>
            </w:r>
          </w:p>
        </w:tc>
        <w:tc>
          <w:tcPr>
            <w:tcW w:w="3120" w:type="dxa"/>
            <w:vAlign w:val="bottom"/>
            <w:gridSpan w:val="3"/>
          </w:tcPr>
          <w:p>
            <w:pPr>
              <w:ind w:left="20"/>
              <w:spacing w:after="0"/>
              <w:rPr>
                <w:sz w:val="20"/>
                <w:szCs w:val="20"/>
                <w:color w:val="auto"/>
              </w:rPr>
            </w:pPr>
            <w:r>
              <w:rPr>
                <w:rFonts w:ascii="Arial" w:cs="Arial" w:eastAsia="Arial" w:hAnsi="Arial"/>
                <w:sz w:val="22"/>
                <w:szCs w:val="22"/>
                <w:color w:val="auto"/>
              </w:rPr>
              <w:t>Wynn Resorts, Limited,</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22"/>
                <w:szCs w:val="22"/>
                <w:color w:val="auto"/>
              </w:rPr>
              <w:t>By:</w:t>
            </w:r>
          </w:p>
        </w:tc>
        <w:tc>
          <w:tcPr>
            <w:tcW w:w="3580" w:type="dxa"/>
            <w:vAlign w:val="bottom"/>
            <w:gridSpan w:val="3"/>
          </w:tcPr>
          <w:p>
            <w:pPr>
              <w:ind w:left="40"/>
              <w:spacing w:after="0"/>
              <w:rPr>
                <w:sz w:val="20"/>
                <w:szCs w:val="20"/>
                <w:color w:val="auto"/>
              </w:rPr>
            </w:pPr>
            <w:r>
              <w:rPr>
                <w:rFonts w:ascii="Arial" w:cs="Arial" w:eastAsia="Arial" w:hAnsi="Arial"/>
                <w:sz w:val="22"/>
                <w:szCs w:val="22"/>
                <w:color w:val="auto"/>
              </w:rPr>
              <w:t>Wynn Resorts, Limited,</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12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8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a Nevada corporation,</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120" w:type="dxa"/>
            <w:vAlign w:val="bottom"/>
            <w:gridSpan w:val="3"/>
          </w:tcPr>
          <w:p>
            <w:pPr>
              <w:ind w:left="20"/>
              <w:spacing w:after="0"/>
              <w:rPr>
                <w:sz w:val="20"/>
                <w:szCs w:val="20"/>
                <w:color w:val="auto"/>
              </w:rPr>
            </w:pPr>
            <w:r>
              <w:rPr>
                <w:rFonts w:ascii="Arial" w:cs="Arial" w:eastAsia="Arial" w:hAnsi="Arial"/>
                <w:sz w:val="22"/>
                <w:szCs w:val="22"/>
                <w:color w:val="auto"/>
              </w:rPr>
              <w:t>its sole member</w:t>
            </w: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580" w:type="dxa"/>
            <w:vAlign w:val="bottom"/>
            <w:gridSpan w:val="3"/>
          </w:tcPr>
          <w:p>
            <w:pPr>
              <w:ind w:left="40"/>
              <w:spacing w:after="0"/>
              <w:rPr>
                <w:sz w:val="20"/>
                <w:szCs w:val="20"/>
                <w:color w:val="auto"/>
              </w:rPr>
            </w:pPr>
            <w:r>
              <w:rPr>
                <w:rFonts w:ascii="Arial" w:cs="Arial" w:eastAsia="Arial" w:hAnsi="Arial"/>
                <w:sz w:val="22"/>
                <w:szCs w:val="22"/>
                <w:color w:val="auto"/>
              </w:rPr>
              <w:t>its sole member</w:t>
            </w:r>
          </w:p>
        </w:tc>
      </w:tr>
      <w:tr>
        <w:trPr>
          <w:trHeight w:val="449"/>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22"/>
                <w:szCs w:val="22"/>
                <w:color w:val="auto"/>
              </w:rPr>
              <w:t>By:</w:t>
            </w:r>
          </w:p>
        </w:tc>
        <w:tc>
          <w:tcPr>
            <w:tcW w:w="2400" w:type="dxa"/>
            <w:vAlign w:val="bottom"/>
          </w:tcPr>
          <w:p>
            <w:pPr>
              <w:spacing w:after="0"/>
              <w:rPr>
                <w:sz w:val="20"/>
                <w:szCs w:val="20"/>
                <w:color w:val="auto"/>
              </w:rPr>
            </w:pPr>
            <w:r>
              <w:rPr>
                <w:rFonts w:ascii="Arial" w:cs="Arial" w:eastAsia="Arial" w:hAnsi="Arial"/>
                <w:sz w:val="22"/>
                <w:szCs w:val="22"/>
                <w:color w:val="auto"/>
              </w:rPr>
              <w:t>/s/ Matt Maddox</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By:</w:t>
            </w:r>
          </w:p>
        </w:tc>
        <w:tc>
          <w:tcPr>
            <w:tcW w:w="2740" w:type="dxa"/>
            <w:vAlign w:val="bottom"/>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Name:</w:t>
            </w:r>
          </w:p>
        </w:tc>
        <w:tc>
          <w:tcPr>
            <w:tcW w:w="24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Matt Maddox</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ind w:left="40"/>
              <w:spacing w:after="0" w:line="216"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18"/>
                <w:szCs w:val="18"/>
                <w:color w:val="auto"/>
              </w:rPr>
            </w:pPr>
          </w:p>
        </w:tc>
        <w:tc>
          <w:tcPr>
            <w:tcW w:w="27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Title:</w:t>
            </w:r>
          </w:p>
        </w:tc>
        <w:tc>
          <w:tcPr>
            <w:tcW w:w="2400" w:type="dxa"/>
            <w:vAlign w:val="bottom"/>
          </w:tcPr>
          <w:p>
            <w:pPr>
              <w:spacing w:after="0" w:line="243" w:lineRule="exact"/>
              <w:rPr>
                <w:sz w:val="20"/>
                <w:szCs w:val="20"/>
                <w:color w:val="auto"/>
              </w:rPr>
            </w:pPr>
            <w:r>
              <w:rPr>
                <w:rFonts w:ascii="Arial" w:cs="Arial" w:eastAsia="Arial" w:hAnsi="Arial"/>
                <w:sz w:val="22"/>
                <w:szCs w:val="22"/>
                <w:color w:val="auto"/>
                <w:w w:val="91"/>
              </w:rPr>
              <w:t>Chief Financial Officer and</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ind w:left="40"/>
              <w:spacing w:after="0" w:line="243" w:lineRule="exact"/>
              <w:rPr>
                <w:sz w:val="20"/>
                <w:szCs w:val="20"/>
                <w:color w:val="auto"/>
              </w:rPr>
            </w:pPr>
            <w:r>
              <w:rPr>
                <w:rFonts w:ascii="Arial" w:cs="Arial" w:eastAsia="Arial" w:hAnsi="Arial"/>
                <w:sz w:val="22"/>
                <w:szCs w:val="22"/>
                <w:color w:val="auto"/>
              </w:rPr>
              <w:t>Title:</w:t>
            </w:r>
          </w:p>
        </w:tc>
        <w:tc>
          <w:tcPr>
            <w:tcW w:w="2740" w:type="dxa"/>
            <w:vAlign w:val="bottom"/>
            <w:gridSpan w:val="2"/>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tcPr>
          <w:p>
            <w:pPr>
              <w:spacing w:after="0"/>
              <w:rPr>
                <w:sz w:val="20"/>
                <w:szCs w:val="20"/>
                <w:color w:val="auto"/>
              </w:rPr>
            </w:pPr>
            <w:r>
              <w:rPr>
                <w:rFonts w:ascii="Arial" w:cs="Arial" w:eastAsia="Arial" w:hAnsi="Arial"/>
                <w:sz w:val="22"/>
                <w:szCs w:val="22"/>
                <w:color w:val="auto"/>
              </w:rPr>
              <w:t>Treasurer</w:t>
            </w: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[Signature Page to Third Amendment to</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1" w:right="39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LAS VEGAS JET,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WWYNN SHOW PERFORMERS, LLC,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sectPr>
          <w:pgSz w:w="11900" w:h="16838" w:orient="portrait"/>
          <w:cols w:equalWidth="0" w:num="2">
            <w:col w:w="4800" w:space="720"/>
            <w:col w:w="5460"/>
          </w:cols>
          <w:pgMar w:left="240" w:top="1036" w:right="679" w:bottom="1440" w:gutter="0" w:footer="0" w:header="0"/>
        </w:sect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4">
            <w:col w:w="320" w:space="260"/>
            <w:col w:w="4220" w:space="720"/>
            <w:col w:w="320" w:space="480"/>
            <w:col w:w="4660"/>
          </w:cols>
          <w:pgMar w:left="240" w:top="1036" w:right="679" w:bottom="1440" w:gutter="0" w:footer="0" w:header="0"/>
          <w:type w:val="continuous"/>
        </w:sectPr>
      </w:pPr>
    </w:p>
    <w:p>
      <w:pPr>
        <w:ind w:left="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Holdings, LLC,</w:t>
      </w:r>
    </w:p>
    <w:p>
      <w:pPr>
        <w:spacing w:after="0" w:line="35" w:lineRule="exact"/>
        <w:rPr>
          <w:sz w:val="20"/>
          <w:szCs w:val="20"/>
          <w:color w:val="auto"/>
        </w:rPr>
      </w:pPr>
    </w:p>
    <w:p>
      <w:pPr>
        <w:sectPr>
          <w:pgSz w:w="11900" w:h="16838" w:orient="portrait"/>
          <w:cols w:equalWidth="0" w:num="4">
            <w:col w:w="900" w:space="260"/>
            <w:col w:w="4440" w:space="720"/>
            <w:col w:w="300" w:space="260"/>
            <w:col w:w="4100"/>
          </w:cols>
          <w:pgMar w:left="240" w:top="1036" w:right="679" w:bottom="1440" w:gutter="0" w:footer="0" w:header="0"/>
          <w:type w:val="continuous"/>
        </w:sectPr>
      </w:pPr>
    </w:p>
    <w:tbl>
      <w:tblPr>
        <w:tblLayout w:type="fixed"/>
        <w:tblInd w:w="1160" w:type="dxa"/>
        <w:tblCellMar>
          <w:top w:w="0" w:type="dxa"/>
          <w:left w:w="0" w:type="dxa"/>
          <w:bottom w:w="0" w:type="dxa"/>
          <w:right w:w="0" w:type="dxa"/>
        </w:tblCellMar>
      </w:tblPr>
      <w:tr>
        <w:trPr>
          <w:trHeight w:val="233"/>
        </w:trPr>
        <w:tc>
          <w:tcPr>
            <w:tcW w:w="3920" w:type="dxa"/>
            <w:vAlign w:val="bottom"/>
            <w:gridSpan w:val="3"/>
          </w:tcPr>
          <w:p>
            <w:pPr>
              <w:spacing w:after="0" w:line="233" w:lineRule="exact"/>
              <w:rPr>
                <w:sz w:val="20"/>
                <w:szCs w:val="20"/>
                <w:color w:val="auto"/>
              </w:rPr>
            </w:pPr>
            <w:r>
              <w:rPr>
                <w:rFonts w:ascii="Arial" w:cs="Arial" w:eastAsia="Arial" w:hAnsi="Arial"/>
                <w:sz w:val="22"/>
                <w:szCs w:val="22"/>
                <w:color w:val="auto"/>
              </w:rPr>
              <w:t>a Nevada limited liability company,</w:t>
            </w:r>
          </w:p>
        </w:tc>
        <w:tc>
          <w:tcPr>
            <w:tcW w:w="5900" w:type="dxa"/>
            <w:vAlign w:val="bottom"/>
            <w:gridSpan w:val="3"/>
          </w:tcPr>
          <w:p>
            <w:pPr>
              <w:ind w:left="1800"/>
              <w:spacing w:after="0" w:line="23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1500" w:type="dxa"/>
            <w:vAlign w:val="bottom"/>
            <w:gridSpan w:val="2"/>
          </w:tcPr>
          <w:p>
            <w:pPr>
              <w:spacing w:after="0"/>
              <w:rPr>
                <w:sz w:val="20"/>
                <w:szCs w:val="20"/>
                <w:color w:val="auto"/>
              </w:rPr>
            </w:pPr>
            <w:r>
              <w:rPr>
                <w:rFonts w:ascii="Arial" w:cs="Arial" w:eastAsia="Arial" w:hAnsi="Arial"/>
                <w:sz w:val="22"/>
                <w:szCs w:val="22"/>
                <w:color w:val="auto"/>
                <w:w w:val="95"/>
              </w:rPr>
              <w:t>its sole member</w:t>
            </w:r>
          </w:p>
        </w:tc>
        <w:tc>
          <w:tcPr>
            <w:tcW w:w="2420" w:type="dxa"/>
            <w:vAlign w:val="bottom"/>
          </w:tcPr>
          <w:p>
            <w:pPr>
              <w:spacing w:after="0"/>
              <w:rPr>
                <w:sz w:val="23"/>
                <w:szCs w:val="23"/>
                <w:color w:val="auto"/>
              </w:rPr>
            </w:pPr>
          </w:p>
        </w:tc>
        <w:tc>
          <w:tcPr>
            <w:tcW w:w="5900" w:type="dxa"/>
            <w:vAlign w:val="bottom"/>
            <w:gridSpan w:val="3"/>
          </w:tcPr>
          <w:p>
            <w:pPr>
              <w:ind w:left="1800"/>
              <w:spacing w:after="0"/>
              <w:rPr>
                <w:sz w:val="20"/>
                <w:szCs w:val="20"/>
                <w:color w:val="auto"/>
              </w:rPr>
            </w:pPr>
            <w:r>
              <w:rPr>
                <w:rFonts w:ascii="Arial" w:cs="Arial" w:eastAsia="Arial" w:hAnsi="Arial"/>
                <w:sz w:val="22"/>
                <w:szCs w:val="22"/>
                <w:color w:val="auto"/>
              </w:rPr>
              <w:t>its sole member</w:t>
            </w:r>
          </w:p>
        </w:tc>
      </w:tr>
      <w:tr>
        <w:trPr>
          <w:trHeight w:val="428"/>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gridSpan w:val="2"/>
          </w:tcPr>
          <w:p>
            <w:pPr>
              <w:ind w:left="240"/>
              <w:spacing w:after="0"/>
              <w:rPr>
                <w:sz w:val="20"/>
                <w:szCs w:val="20"/>
                <w:color w:val="auto"/>
              </w:rPr>
            </w:pPr>
            <w:r>
              <w:rPr>
                <w:rFonts w:ascii="Arial" w:cs="Arial" w:eastAsia="Arial" w:hAnsi="Arial"/>
                <w:sz w:val="22"/>
                <w:szCs w:val="22"/>
                <w:color w:val="auto"/>
              </w:rPr>
              <w:t>Wynn Resorts, Limited,</w:t>
            </w:r>
          </w:p>
        </w:tc>
        <w:tc>
          <w:tcPr>
            <w:tcW w:w="5900" w:type="dxa"/>
            <w:vAlign w:val="bottom"/>
            <w:gridSpan w:val="3"/>
          </w:tcPr>
          <w:p>
            <w:pPr>
              <w:ind w:left="1800"/>
              <w:spacing w:after="0"/>
              <w:rPr>
                <w:sz w:val="20"/>
                <w:szCs w:val="20"/>
                <w:color w:val="auto"/>
              </w:rPr>
            </w:pPr>
            <w:r>
              <w:rPr>
                <w:rFonts w:ascii="Arial" w:cs="Arial" w:eastAsia="Arial" w:hAnsi="Arial"/>
                <w:sz w:val="22"/>
                <w:szCs w:val="22"/>
                <w:color w:val="auto"/>
              </w:rPr>
              <w:t>By:   Wynn Resorts, Limited,</w:t>
            </w:r>
          </w:p>
        </w:tc>
      </w:tr>
      <w:tr>
        <w:trPr>
          <w:trHeight w:val="243"/>
        </w:trPr>
        <w:tc>
          <w:tcPr>
            <w:tcW w:w="580" w:type="dxa"/>
            <w:vAlign w:val="bottom"/>
          </w:tcPr>
          <w:p>
            <w:pPr>
              <w:spacing w:after="0"/>
              <w:rPr>
                <w:sz w:val="21"/>
                <w:szCs w:val="21"/>
                <w:color w:val="auto"/>
              </w:rPr>
            </w:pPr>
          </w:p>
        </w:tc>
        <w:tc>
          <w:tcPr>
            <w:tcW w:w="334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a Nevada corporation,</w:t>
            </w:r>
          </w:p>
        </w:tc>
        <w:tc>
          <w:tcPr>
            <w:tcW w:w="5900" w:type="dxa"/>
            <w:vAlign w:val="bottom"/>
            <w:gridSpan w:val="3"/>
          </w:tcPr>
          <w:p>
            <w:pPr>
              <w:ind w:left="2360"/>
              <w:spacing w:after="0" w:line="243" w:lineRule="exact"/>
              <w:rPr>
                <w:sz w:val="20"/>
                <w:szCs w:val="20"/>
                <w:color w:val="auto"/>
              </w:rPr>
            </w:pPr>
            <w:r>
              <w:rPr>
                <w:rFonts w:ascii="Arial" w:cs="Arial" w:eastAsia="Arial" w:hAnsi="Arial"/>
                <w:sz w:val="22"/>
                <w:szCs w:val="22"/>
                <w:color w:val="auto"/>
              </w:rPr>
              <w:t>a Nevada corporation,</w:t>
            </w:r>
          </w:p>
        </w:tc>
      </w:tr>
      <w:tr>
        <w:trPr>
          <w:trHeight w:val="275"/>
        </w:trPr>
        <w:tc>
          <w:tcPr>
            <w:tcW w:w="580" w:type="dxa"/>
            <w:vAlign w:val="bottom"/>
          </w:tcPr>
          <w:p>
            <w:pPr>
              <w:spacing w:after="0"/>
              <w:rPr>
                <w:sz w:val="23"/>
                <w:szCs w:val="23"/>
                <w:color w:val="auto"/>
              </w:rPr>
            </w:pPr>
          </w:p>
        </w:tc>
        <w:tc>
          <w:tcPr>
            <w:tcW w:w="3340" w:type="dxa"/>
            <w:vAlign w:val="bottom"/>
            <w:gridSpan w:val="2"/>
          </w:tcPr>
          <w:p>
            <w:pPr>
              <w:ind w:left="240"/>
              <w:spacing w:after="0"/>
              <w:rPr>
                <w:sz w:val="20"/>
                <w:szCs w:val="20"/>
                <w:color w:val="auto"/>
              </w:rPr>
            </w:pPr>
            <w:r>
              <w:rPr>
                <w:rFonts w:ascii="Arial" w:cs="Arial" w:eastAsia="Arial" w:hAnsi="Arial"/>
                <w:sz w:val="22"/>
                <w:szCs w:val="22"/>
                <w:color w:val="auto"/>
              </w:rPr>
              <w:t>its sole member</w:t>
            </w:r>
          </w:p>
        </w:tc>
        <w:tc>
          <w:tcPr>
            <w:tcW w:w="5900" w:type="dxa"/>
            <w:vAlign w:val="bottom"/>
            <w:gridSpan w:val="3"/>
          </w:tcPr>
          <w:p>
            <w:pPr>
              <w:ind w:left="2360"/>
              <w:spacing w:after="0"/>
              <w:rPr>
                <w:sz w:val="20"/>
                <w:szCs w:val="20"/>
                <w:color w:val="auto"/>
              </w:rPr>
            </w:pPr>
            <w:r>
              <w:rPr>
                <w:rFonts w:ascii="Arial" w:cs="Arial" w:eastAsia="Arial" w:hAnsi="Arial"/>
                <w:sz w:val="22"/>
                <w:szCs w:val="22"/>
                <w:color w:val="auto"/>
              </w:rPr>
              <w:t>its sole member</w:t>
            </w:r>
          </w:p>
        </w:tc>
      </w:tr>
      <w:tr>
        <w:trPr>
          <w:trHeight w:val="449"/>
        </w:trPr>
        <w:tc>
          <w:tcPr>
            <w:tcW w:w="5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22"/>
                <w:szCs w:val="22"/>
                <w:color w:val="auto"/>
              </w:rPr>
              <w:t>By:</w:t>
            </w:r>
          </w:p>
        </w:tc>
        <w:tc>
          <w:tcPr>
            <w:tcW w:w="2420" w:type="dxa"/>
            <w:vAlign w:val="bottom"/>
          </w:tcPr>
          <w:p>
            <w:pPr>
              <w:spacing w:after="0"/>
              <w:rPr>
                <w:sz w:val="20"/>
                <w:szCs w:val="20"/>
                <w:color w:val="auto"/>
              </w:rPr>
            </w:pPr>
            <w:r>
              <w:rPr>
                <w:rFonts w:ascii="Arial" w:cs="Arial" w:eastAsia="Arial" w:hAnsi="Arial"/>
                <w:sz w:val="22"/>
                <w:szCs w:val="22"/>
                <w:color w:val="auto"/>
              </w:rPr>
              <w:t>/s/ Matt Maddox</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/s/ Matt Maddox</w:t>
            </w:r>
          </w:p>
        </w:tc>
      </w:tr>
      <w:tr>
        <w:trPr>
          <w:trHeight w:val="215"/>
        </w:trPr>
        <w:tc>
          <w:tcPr>
            <w:tcW w:w="580" w:type="dxa"/>
            <w:vAlign w:val="bottom"/>
          </w:tcPr>
          <w:p>
            <w:pPr>
              <w:spacing w:after="0"/>
              <w:rPr>
                <w:sz w:val="18"/>
                <w:szCs w:val="18"/>
                <w:color w:val="auto"/>
              </w:rPr>
            </w:pPr>
          </w:p>
        </w:tc>
        <w:tc>
          <w:tcPr>
            <w:tcW w:w="920" w:type="dxa"/>
            <w:vAlign w:val="bottom"/>
          </w:tcPr>
          <w:p>
            <w:pPr>
              <w:ind w:left="240"/>
              <w:spacing w:after="0" w:line="216" w:lineRule="exact"/>
              <w:rPr>
                <w:sz w:val="20"/>
                <w:szCs w:val="20"/>
                <w:color w:val="auto"/>
              </w:rPr>
            </w:pPr>
            <w:r>
              <w:rPr>
                <w:rFonts w:ascii="Arial" w:cs="Arial" w:eastAsia="Arial" w:hAnsi="Arial"/>
                <w:sz w:val="22"/>
                <w:szCs w:val="22"/>
                <w:color w:val="auto"/>
              </w:rPr>
              <w:t>Name:</w:t>
            </w:r>
          </w:p>
        </w:tc>
        <w:tc>
          <w:tcPr>
            <w:tcW w:w="24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Matt Maddox</w:t>
            </w:r>
          </w:p>
        </w:tc>
        <w:tc>
          <w:tcPr>
            <w:tcW w:w="3060" w:type="dxa"/>
            <w:vAlign w:val="bottom"/>
          </w:tcPr>
          <w:p>
            <w:pPr>
              <w:ind w:left="2360"/>
              <w:spacing w:after="0" w:line="216" w:lineRule="exact"/>
              <w:rPr>
                <w:sz w:val="20"/>
                <w:szCs w:val="20"/>
                <w:color w:val="auto"/>
              </w:rPr>
            </w:pPr>
            <w:r>
              <w:rPr>
                <w:rFonts w:ascii="Arial" w:cs="Arial" w:eastAsia="Arial" w:hAnsi="Arial"/>
                <w:sz w:val="22"/>
                <w:szCs w:val="22"/>
                <w:color w:val="auto"/>
              </w:rPr>
              <w:t>Name:</w:t>
            </w:r>
          </w:p>
        </w:tc>
        <w:tc>
          <w:tcPr>
            <w:tcW w:w="100" w:type="dxa"/>
            <w:vAlign w:val="bottom"/>
          </w:tcPr>
          <w:p>
            <w:pPr>
              <w:spacing w:after="0"/>
              <w:rPr>
                <w:sz w:val="18"/>
                <w:szCs w:val="18"/>
                <w:color w:val="auto"/>
              </w:rPr>
            </w:pPr>
          </w:p>
        </w:tc>
        <w:tc>
          <w:tcPr>
            <w:tcW w:w="27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580" w:type="dxa"/>
            <w:vAlign w:val="bottom"/>
          </w:tcPr>
          <w:p>
            <w:pPr>
              <w:spacing w:after="0"/>
              <w:rPr>
                <w:sz w:val="21"/>
                <w:szCs w:val="21"/>
                <w:color w:val="auto"/>
              </w:rPr>
            </w:pPr>
          </w:p>
        </w:tc>
        <w:tc>
          <w:tcPr>
            <w:tcW w:w="920" w:type="dxa"/>
            <w:vAlign w:val="bottom"/>
          </w:tcPr>
          <w:p>
            <w:pPr>
              <w:ind w:left="240"/>
              <w:spacing w:after="0" w:line="243" w:lineRule="exact"/>
              <w:rPr>
                <w:sz w:val="20"/>
                <w:szCs w:val="20"/>
                <w:color w:val="auto"/>
              </w:rPr>
            </w:pPr>
            <w:r>
              <w:rPr>
                <w:rFonts w:ascii="Arial" w:cs="Arial" w:eastAsia="Arial" w:hAnsi="Arial"/>
                <w:sz w:val="22"/>
                <w:szCs w:val="22"/>
                <w:color w:val="auto"/>
              </w:rPr>
              <w:t>Title:</w:t>
            </w:r>
          </w:p>
        </w:tc>
        <w:tc>
          <w:tcPr>
            <w:tcW w:w="2420" w:type="dxa"/>
            <w:vAlign w:val="bottom"/>
          </w:tcPr>
          <w:p>
            <w:pPr>
              <w:spacing w:after="0" w:line="243" w:lineRule="exact"/>
              <w:rPr>
                <w:sz w:val="20"/>
                <w:szCs w:val="20"/>
                <w:color w:val="auto"/>
              </w:rPr>
            </w:pPr>
            <w:r>
              <w:rPr>
                <w:rFonts w:ascii="Arial" w:cs="Arial" w:eastAsia="Arial" w:hAnsi="Arial"/>
                <w:sz w:val="22"/>
                <w:szCs w:val="22"/>
                <w:color w:val="auto"/>
                <w:w w:val="92"/>
              </w:rPr>
              <w:t>Chief Financial Officer and</w:t>
            </w:r>
          </w:p>
        </w:tc>
        <w:tc>
          <w:tcPr>
            <w:tcW w:w="3060" w:type="dxa"/>
            <w:vAlign w:val="bottom"/>
          </w:tcPr>
          <w:p>
            <w:pPr>
              <w:ind w:left="2360"/>
              <w:spacing w:after="0" w:line="243" w:lineRule="exact"/>
              <w:rPr>
                <w:sz w:val="20"/>
                <w:szCs w:val="20"/>
                <w:color w:val="auto"/>
              </w:rPr>
            </w:pPr>
            <w:r>
              <w:rPr>
                <w:rFonts w:ascii="Arial" w:cs="Arial" w:eastAsia="Arial" w:hAnsi="Arial"/>
                <w:sz w:val="22"/>
                <w:szCs w:val="22"/>
                <w:color w:val="auto"/>
              </w:rPr>
              <w:t>Title:</w:t>
            </w:r>
          </w:p>
        </w:tc>
        <w:tc>
          <w:tcPr>
            <w:tcW w:w="284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2"/>
                <w:szCs w:val="22"/>
                <w:color w:val="auto"/>
              </w:rPr>
              <w:t>Treasurer</w:t>
            </w:r>
          </w:p>
        </w:tc>
        <w:tc>
          <w:tcPr>
            <w:tcW w:w="3060" w:type="dxa"/>
            <w:vAlign w:val="bottom"/>
          </w:tcPr>
          <w:p>
            <w:pPr>
              <w:spacing w:after="0"/>
              <w:rPr>
                <w:sz w:val="23"/>
                <w:szCs w:val="23"/>
                <w:color w:val="auto"/>
              </w:rPr>
            </w:pP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Treasurer</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Arial" w:cs="Arial" w:eastAsia="Arial" w:hAnsi="Arial"/>
                <w:sz w:val="22"/>
                <w:szCs w:val="22"/>
                <w:color w:val="auto"/>
              </w:rPr>
              <w:t>KEVYN, LLC,</w:t>
            </w:r>
          </w:p>
        </w:tc>
        <w:tc>
          <w:tcPr>
            <w:tcW w:w="2920" w:type="dxa"/>
            <w:vAlign w:val="bottom"/>
          </w:tcPr>
          <w:p>
            <w:pPr>
              <w:spacing w:after="0"/>
              <w:rPr>
                <w:sz w:val="21"/>
                <w:szCs w:val="21"/>
                <w:color w:val="auto"/>
              </w:rPr>
            </w:pPr>
          </w:p>
        </w:tc>
        <w:tc>
          <w:tcPr>
            <w:tcW w:w="4680" w:type="dxa"/>
            <w:vAlign w:val="bottom"/>
            <w:gridSpan w:val="3"/>
          </w:tcPr>
          <w:p>
            <w:pPr>
              <w:ind w:left="640"/>
              <w:spacing w:after="0"/>
              <w:rPr>
                <w:sz w:val="20"/>
                <w:szCs w:val="20"/>
                <w:color w:val="auto"/>
              </w:rPr>
            </w:pPr>
            <w:r>
              <w:rPr>
                <w:rFonts w:ascii="Arial" w:cs="Arial" w:eastAsia="Arial" w:hAnsi="Arial"/>
                <w:sz w:val="22"/>
                <w:szCs w:val="22"/>
                <w:color w:val="auto"/>
              </w:rPr>
              <w:t>WYNN LAS VEGAS CAPITAL CORP.,</w:t>
            </w:r>
          </w:p>
        </w:tc>
      </w:tr>
      <w:tr>
        <w:trPr>
          <w:trHeight w:val="275"/>
        </w:trPr>
        <w:tc>
          <w:tcPr>
            <w:tcW w:w="4880" w:type="dxa"/>
            <w:vAlign w:val="bottom"/>
            <w:gridSpan w:val="2"/>
          </w:tcPr>
          <w:p>
            <w:pPr>
              <w:spacing w:after="0"/>
              <w:rPr>
                <w:sz w:val="20"/>
                <w:szCs w:val="20"/>
                <w:color w:val="auto"/>
              </w:rPr>
            </w:pPr>
            <w:r>
              <w:rPr>
                <w:rFonts w:ascii="Arial" w:cs="Arial" w:eastAsia="Arial" w:hAnsi="Arial"/>
                <w:sz w:val="22"/>
                <w:szCs w:val="22"/>
                <w:color w:val="auto"/>
              </w:rPr>
              <w:t>a Nevada limited liability company</w:t>
            </w:r>
          </w:p>
        </w:tc>
        <w:tc>
          <w:tcPr>
            <w:tcW w:w="4680" w:type="dxa"/>
            <w:vAlign w:val="bottom"/>
            <w:gridSpan w:val="3"/>
          </w:tcPr>
          <w:p>
            <w:pPr>
              <w:ind w:left="640"/>
              <w:spacing w:after="0"/>
              <w:rPr>
                <w:sz w:val="20"/>
                <w:szCs w:val="20"/>
                <w:color w:val="auto"/>
              </w:rPr>
            </w:pPr>
            <w:r>
              <w:rPr>
                <w:rFonts w:ascii="Arial" w:cs="Arial" w:eastAsia="Arial" w:hAnsi="Arial"/>
                <w:sz w:val="22"/>
                <w:szCs w:val="22"/>
                <w:color w:val="auto"/>
              </w:rPr>
              <w:t>a Nevada corporation</w:t>
            </w:r>
          </w:p>
        </w:tc>
      </w:tr>
      <w:tr>
        <w:trPr>
          <w:trHeight w:val="409"/>
        </w:trPr>
        <w:tc>
          <w:tcPr>
            <w:tcW w:w="4880" w:type="dxa"/>
            <w:vAlign w:val="bottom"/>
            <w:gridSpan w:val="2"/>
          </w:tcPr>
          <w:p>
            <w:pPr>
              <w:spacing w:after="0"/>
              <w:rPr>
                <w:sz w:val="20"/>
                <w:szCs w:val="20"/>
                <w:color w:val="auto"/>
              </w:rPr>
            </w:pPr>
            <w:r>
              <w:rPr>
                <w:rFonts w:ascii="Arial" w:cs="Arial" w:eastAsia="Arial" w:hAnsi="Arial"/>
                <w:sz w:val="22"/>
                <w:szCs w:val="22"/>
                <w:color w:val="auto"/>
              </w:rPr>
              <w:t>By:   Wynn Las Vegas, LLC,</w:t>
            </w:r>
          </w:p>
        </w:tc>
        <w:tc>
          <w:tcPr>
            <w:tcW w:w="1440" w:type="dxa"/>
            <w:vAlign w:val="bottom"/>
          </w:tcPr>
          <w:p>
            <w:pPr>
              <w:ind w:left="640"/>
              <w:spacing w:after="0"/>
              <w:rPr>
                <w:sz w:val="20"/>
                <w:szCs w:val="20"/>
                <w:color w:val="auto"/>
              </w:rPr>
            </w:pPr>
            <w:r>
              <w:rPr>
                <w:rFonts w:ascii="Arial" w:cs="Arial" w:eastAsia="Arial" w:hAnsi="Arial"/>
                <w:sz w:val="22"/>
                <w:szCs w:val="22"/>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Matt Maddox__________</w:t>
            </w:r>
          </w:p>
        </w:tc>
        <w:tc>
          <w:tcPr>
            <w:tcW w:w="720" w:type="dxa"/>
            <w:vAlign w:val="bottom"/>
          </w:tcPr>
          <w:p>
            <w:pPr>
              <w:spacing w:after="0"/>
              <w:rPr>
                <w:sz w:val="24"/>
                <w:szCs w:val="24"/>
                <w:color w:val="auto"/>
              </w:rPr>
            </w:pPr>
          </w:p>
        </w:tc>
      </w:tr>
      <w:tr>
        <w:trPr>
          <w:trHeight w:val="269"/>
        </w:trPr>
        <w:tc>
          <w:tcPr>
            <w:tcW w:w="4880" w:type="dxa"/>
            <w:vAlign w:val="bottom"/>
            <w:gridSpan w:val="2"/>
          </w:tcPr>
          <w:p>
            <w:pPr>
              <w:ind w:left="580"/>
              <w:spacing w:after="0"/>
              <w:rPr>
                <w:sz w:val="20"/>
                <w:szCs w:val="20"/>
                <w:color w:val="auto"/>
              </w:rPr>
            </w:pPr>
            <w:r>
              <w:rPr>
                <w:rFonts w:ascii="Arial" w:cs="Arial" w:eastAsia="Arial" w:hAnsi="Arial"/>
                <w:sz w:val="22"/>
                <w:szCs w:val="22"/>
                <w:color w:val="auto"/>
              </w:rPr>
              <w:t>a Nevada limited liability company,</w:t>
            </w:r>
          </w:p>
        </w:tc>
        <w:tc>
          <w:tcPr>
            <w:tcW w:w="1440" w:type="dxa"/>
            <w:vAlign w:val="bottom"/>
          </w:tcPr>
          <w:p>
            <w:pPr>
              <w:ind w:left="640"/>
              <w:spacing w:after="0"/>
              <w:rPr>
                <w:sz w:val="20"/>
                <w:szCs w:val="20"/>
                <w:color w:val="auto"/>
              </w:rPr>
            </w:pPr>
            <w:r>
              <w:rPr>
                <w:rFonts w:ascii="Arial" w:cs="Arial" w:eastAsia="Arial" w:hAnsi="Arial"/>
                <w:sz w:val="22"/>
                <w:szCs w:val="22"/>
                <w:color w:val="auto"/>
              </w:rPr>
              <w:t>Name:</w:t>
            </w:r>
          </w:p>
        </w:tc>
        <w:tc>
          <w:tcPr>
            <w:tcW w:w="3240" w:type="dxa"/>
            <w:vAlign w:val="bottom"/>
            <w:gridSpan w:val="2"/>
          </w:tcPr>
          <w:p>
            <w:pPr>
              <w:spacing w:after="0"/>
              <w:rPr>
                <w:sz w:val="20"/>
                <w:szCs w:val="20"/>
                <w:color w:val="auto"/>
              </w:rPr>
            </w:pPr>
            <w:r>
              <w:rPr>
                <w:rFonts w:ascii="Arial" w:cs="Arial" w:eastAsia="Arial" w:hAnsi="Arial"/>
                <w:sz w:val="22"/>
                <w:szCs w:val="22"/>
                <w:color w:val="auto"/>
              </w:rPr>
              <w:t>Matt Maddox</w:t>
            </w:r>
          </w:p>
        </w:tc>
      </w:tr>
      <w:tr>
        <w:trPr>
          <w:trHeight w:val="275"/>
        </w:trPr>
        <w:tc>
          <w:tcPr>
            <w:tcW w:w="1960" w:type="dxa"/>
            <w:vAlign w:val="bottom"/>
          </w:tcPr>
          <w:p>
            <w:pPr>
              <w:ind w:left="580"/>
              <w:spacing w:after="0"/>
              <w:rPr>
                <w:sz w:val="20"/>
                <w:szCs w:val="20"/>
                <w:color w:val="auto"/>
              </w:rPr>
            </w:pPr>
            <w:r>
              <w:rPr>
                <w:rFonts w:ascii="Arial" w:cs="Arial" w:eastAsia="Arial" w:hAnsi="Arial"/>
                <w:sz w:val="22"/>
                <w:szCs w:val="22"/>
                <w:color w:val="auto"/>
                <w:w w:val="87"/>
              </w:rPr>
              <w:t>its sole member</w:t>
            </w:r>
          </w:p>
        </w:tc>
        <w:tc>
          <w:tcPr>
            <w:tcW w:w="2920" w:type="dxa"/>
            <w:vAlign w:val="bottom"/>
          </w:tcPr>
          <w:p>
            <w:pPr>
              <w:spacing w:after="0"/>
              <w:rPr>
                <w:sz w:val="23"/>
                <w:szCs w:val="23"/>
                <w:color w:val="auto"/>
              </w:rPr>
            </w:pPr>
          </w:p>
        </w:tc>
        <w:tc>
          <w:tcPr>
            <w:tcW w:w="1440" w:type="dxa"/>
            <w:vAlign w:val="bottom"/>
          </w:tcPr>
          <w:p>
            <w:pPr>
              <w:ind w:left="640"/>
              <w:spacing w:after="0"/>
              <w:rPr>
                <w:sz w:val="20"/>
                <w:szCs w:val="20"/>
                <w:color w:val="auto"/>
              </w:rPr>
            </w:pPr>
            <w:r>
              <w:rPr>
                <w:rFonts w:ascii="Arial" w:cs="Arial" w:eastAsia="Arial" w:hAnsi="Arial"/>
                <w:sz w:val="22"/>
                <w:szCs w:val="22"/>
                <w:color w:val="auto"/>
              </w:rPr>
              <w:t>Title:</w:t>
            </w:r>
          </w:p>
        </w:tc>
        <w:tc>
          <w:tcPr>
            <w:tcW w:w="3240" w:type="dxa"/>
            <w:vAlign w:val="bottom"/>
            <w:gridSpan w:val="2"/>
          </w:tcPr>
          <w:p>
            <w:pPr>
              <w:spacing w:after="0"/>
              <w:rPr>
                <w:sz w:val="20"/>
                <w:szCs w:val="20"/>
                <w:color w:val="auto"/>
              </w:rPr>
            </w:pPr>
            <w:r>
              <w:rPr>
                <w:rFonts w:ascii="Arial" w:cs="Arial" w:eastAsia="Arial" w:hAnsi="Arial"/>
                <w:sz w:val="22"/>
                <w:szCs w:val="22"/>
                <w:color w:val="auto"/>
                <w:w w:val="89"/>
              </w:rPr>
              <w:t>Chief Financial Officer and Treasurer</w:t>
            </w:r>
          </w:p>
        </w:tc>
      </w:tr>
      <w:tr>
        <w:trPr>
          <w:trHeight w:val="428"/>
        </w:trPr>
        <w:tc>
          <w:tcPr>
            <w:tcW w:w="4880" w:type="dxa"/>
            <w:vAlign w:val="bottom"/>
            <w:gridSpan w:val="2"/>
          </w:tcPr>
          <w:p>
            <w:pPr>
              <w:ind w:left="580"/>
              <w:spacing w:after="0"/>
              <w:rPr>
                <w:sz w:val="20"/>
                <w:szCs w:val="20"/>
                <w:color w:val="auto"/>
              </w:rPr>
            </w:pPr>
            <w:r>
              <w:rPr>
                <w:rFonts w:ascii="Arial" w:cs="Arial" w:eastAsia="Arial" w:hAnsi="Arial"/>
                <w:sz w:val="22"/>
                <w:szCs w:val="22"/>
                <w:color w:val="auto"/>
              </w:rPr>
              <w:t>By:   Wynn Resorts Holdings, LLC,</w:t>
            </w:r>
          </w:p>
        </w:tc>
        <w:tc>
          <w:tcPr>
            <w:tcW w:w="1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488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a Nevada limited liability company,</w:t>
            </w:r>
          </w:p>
        </w:tc>
        <w:tc>
          <w:tcPr>
            <w:tcW w:w="14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4880" w:type="dxa"/>
            <w:vAlign w:val="bottom"/>
            <w:gridSpan w:val="2"/>
          </w:tcPr>
          <w:p>
            <w:pPr>
              <w:ind w:left="1160"/>
              <w:spacing w:after="0"/>
              <w:rPr>
                <w:sz w:val="20"/>
                <w:szCs w:val="20"/>
                <w:color w:val="auto"/>
              </w:rPr>
            </w:pPr>
            <w:r>
              <w:rPr>
                <w:rFonts w:ascii="Arial" w:cs="Arial" w:eastAsia="Arial" w:hAnsi="Arial"/>
                <w:sz w:val="22"/>
                <w:szCs w:val="22"/>
                <w:color w:val="auto"/>
              </w:rPr>
              <w:t>its sole member</w:t>
            </w:r>
          </w:p>
        </w:tc>
        <w:tc>
          <w:tcPr>
            <w:tcW w:w="14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28"/>
        </w:trPr>
        <w:tc>
          <w:tcPr>
            <w:tcW w:w="1960" w:type="dxa"/>
            <w:vAlign w:val="bottom"/>
          </w:tcPr>
          <w:p>
            <w:pPr>
              <w:ind w:left="1160"/>
              <w:spacing w:after="0"/>
              <w:rPr>
                <w:sz w:val="20"/>
                <w:szCs w:val="20"/>
                <w:color w:val="auto"/>
              </w:rPr>
            </w:pPr>
            <w:r>
              <w:rPr>
                <w:rFonts w:ascii="Arial" w:cs="Arial" w:eastAsia="Arial" w:hAnsi="Arial"/>
                <w:sz w:val="22"/>
                <w:szCs w:val="22"/>
                <w:color w:val="auto"/>
              </w:rPr>
              <w:t>By:</w:t>
            </w:r>
          </w:p>
        </w:tc>
        <w:tc>
          <w:tcPr>
            <w:tcW w:w="2920" w:type="dxa"/>
            <w:vAlign w:val="bottom"/>
          </w:tcPr>
          <w:p>
            <w:pPr>
              <w:ind w:left="20"/>
              <w:spacing w:after="0"/>
              <w:rPr>
                <w:sz w:val="20"/>
                <w:szCs w:val="20"/>
                <w:color w:val="auto"/>
              </w:rPr>
            </w:pPr>
            <w:r>
              <w:rPr>
                <w:rFonts w:ascii="Arial" w:cs="Arial" w:eastAsia="Arial" w:hAnsi="Arial"/>
                <w:sz w:val="22"/>
                <w:szCs w:val="22"/>
                <w:color w:val="auto"/>
              </w:rPr>
              <w:t>Wynn Resorts, Limited,</w:t>
            </w:r>
          </w:p>
        </w:tc>
        <w:tc>
          <w:tcPr>
            <w:tcW w:w="1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1960" w:type="dxa"/>
            <w:vAlign w:val="bottom"/>
          </w:tcPr>
          <w:p>
            <w:pPr>
              <w:spacing w:after="0"/>
              <w:rPr>
                <w:sz w:val="21"/>
                <w:szCs w:val="21"/>
                <w:color w:val="auto"/>
              </w:rPr>
            </w:pPr>
          </w:p>
        </w:tc>
        <w:tc>
          <w:tcPr>
            <w:tcW w:w="2920" w:type="dxa"/>
            <w:vAlign w:val="bottom"/>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14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5"/>
        </w:trPr>
        <w:tc>
          <w:tcPr>
            <w:tcW w:w="1960" w:type="dxa"/>
            <w:vAlign w:val="bottom"/>
          </w:tcPr>
          <w:p>
            <w:pPr>
              <w:spacing w:after="0"/>
              <w:rPr>
                <w:sz w:val="23"/>
                <w:szCs w:val="23"/>
                <w:color w:val="auto"/>
              </w:rPr>
            </w:pPr>
          </w:p>
        </w:tc>
        <w:tc>
          <w:tcPr>
            <w:tcW w:w="2920" w:type="dxa"/>
            <w:vAlign w:val="bottom"/>
          </w:tcPr>
          <w:p>
            <w:pPr>
              <w:ind w:left="20"/>
              <w:spacing w:after="0"/>
              <w:rPr>
                <w:sz w:val="20"/>
                <w:szCs w:val="20"/>
                <w:color w:val="auto"/>
              </w:rPr>
            </w:pPr>
            <w:r>
              <w:rPr>
                <w:rFonts w:ascii="Arial" w:cs="Arial" w:eastAsia="Arial" w:hAnsi="Arial"/>
                <w:sz w:val="22"/>
                <w:szCs w:val="22"/>
                <w:color w:val="auto"/>
              </w:rPr>
              <w:t>its sole member</w:t>
            </w:r>
          </w:p>
        </w:tc>
        <w:tc>
          <w:tcPr>
            <w:tcW w:w="14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459"/>
        </w:trPr>
        <w:tc>
          <w:tcPr>
            <w:tcW w:w="1960" w:type="dxa"/>
            <w:vAlign w:val="bottom"/>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22"/>
                <w:szCs w:val="22"/>
                <w:color w:val="auto"/>
                <w:w w:val="91"/>
              </w:rPr>
              <w:t>By:/s/ Matt Maddox</w:t>
            </w:r>
          </w:p>
        </w:tc>
        <w:tc>
          <w:tcPr>
            <w:tcW w:w="1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-5715</wp:posOffset>
            </wp:positionV>
            <wp:extent cx="1526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1980"/>
        <w:spacing w:after="0" w:line="230" w:lineRule="auto"/>
        <w:rPr>
          <w:sz w:val="20"/>
          <w:szCs w:val="20"/>
          <w:color w:val="auto"/>
        </w:rPr>
      </w:pPr>
      <w:r>
        <w:rPr>
          <w:rFonts w:ascii="Arial" w:cs="Arial" w:eastAsia="Arial" w:hAnsi="Arial"/>
          <w:sz w:val="22"/>
          <w:szCs w:val="22"/>
          <w:color w:val="auto"/>
        </w:rPr>
        <w:t>Name: Matt Maddox</w:t>
      </w:r>
    </w:p>
    <w:p>
      <w:pPr>
        <w:ind w:left="1980"/>
        <w:spacing w:after="0" w:line="231" w:lineRule="auto"/>
        <w:tabs>
          <w:tab w:leader="none" w:pos="2640" w:val="left"/>
        </w:tabs>
        <w:rPr>
          <w:sz w:val="20"/>
          <w:szCs w:val="20"/>
          <w:color w:val="auto"/>
        </w:rPr>
      </w:pPr>
      <w:r>
        <w:rPr>
          <w:rFonts w:ascii="Arial" w:cs="Arial" w:eastAsia="Arial" w:hAnsi="Arial"/>
          <w:sz w:val="22"/>
          <w:szCs w:val="22"/>
          <w:color w:val="auto"/>
        </w:rPr>
        <w:t>Title:</w:t>
        <w:tab/>
        <w:t>Chief Financial Officer and</w:t>
      </w:r>
    </w:p>
    <w:p>
      <w:pPr>
        <w:ind w:left="266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[Signature Page to Third Amendment to</w:t>
      </w:r>
    </w:p>
    <w:p>
      <w:pPr>
        <w:spacing w:after="0" w:line="2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036" w:right="6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Wynn Resorts, Limited,</w:t>
      </w:r>
    </w:p>
    <w:p>
      <w:pPr>
        <w:ind w:left="580"/>
        <w:spacing w:after="0" w:line="238" w:lineRule="auto"/>
        <w:rPr>
          <w:sz w:val="20"/>
          <w:szCs w:val="20"/>
          <w:color w:val="auto"/>
        </w:rPr>
      </w:pPr>
      <w:r>
        <w:rPr>
          <w:rFonts w:ascii="Arial" w:cs="Arial" w:eastAsia="Arial" w:hAnsi="Arial"/>
          <w:sz w:val="22"/>
          <w:szCs w:val="22"/>
          <w:color w:val="auto"/>
        </w:rPr>
        <w:t>a Nevada corporation,</w:t>
      </w:r>
    </w:p>
    <w:p>
      <w:pPr>
        <w:ind w:left="580"/>
        <w:spacing w:after="0"/>
        <w:rPr>
          <w:sz w:val="20"/>
          <w:szCs w:val="20"/>
          <w:color w:val="auto"/>
        </w:rPr>
      </w:pPr>
      <w:r>
        <w:rPr>
          <w:rFonts w:ascii="Arial" w:cs="Arial" w:eastAsia="Arial" w:hAnsi="Arial"/>
          <w:sz w:val="22"/>
          <w:szCs w:val="22"/>
          <w:color w:val="auto"/>
        </w:rPr>
        <w:t>its sole member</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Matt Maddox_________________</w:t>
            </w:r>
          </w:p>
        </w:tc>
      </w:tr>
      <w:tr>
        <w:trPr>
          <w:trHeight w:val="242"/>
        </w:trPr>
        <w:tc>
          <w:tcPr>
            <w:tcW w:w="76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3280" w:type="dxa"/>
            <w:vAlign w:val="bottom"/>
          </w:tcPr>
          <w:p>
            <w:pPr>
              <w:spacing w:after="0" w:line="242" w:lineRule="exact"/>
              <w:rPr>
                <w:sz w:val="20"/>
                <w:szCs w:val="20"/>
                <w:color w:val="auto"/>
              </w:rPr>
            </w:pPr>
            <w:r>
              <w:rPr>
                <w:rFonts w:ascii="Arial" w:cs="Arial" w:eastAsia="Arial" w:hAnsi="Arial"/>
                <w:sz w:val="22"/>
                <w:szCs w:val="22"/>
                <w:color w:val="auto"/>
              </w:rPr>
              <w:t>Matt Maddox</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280" w:type="dxa"/>
            <w:vAlign w:val="bottom"/>
          </w:tcPr>
          <w:p>
            <w:pPr>
              <w:spacing w:after="0"/>
              <w:rPr>
                <w:sz w:val="20"/>
                <w:szCs w:val="20"/>
                <w:color w:val="auto"/>
              </w:rPr>
            </w:pPr>
            <w:r>
              <w:rPr>
                <w:rFonts w:ascii="Arial" w:cs="Arial" w:eastAsia="Arial" w:hAnsi="Arial"/>
                <w:sz w:val="22"/>
                <w:szCs w:val="22"/>
                <w:color w:val="auto"/>
                <w:w w:val="90"/>
              </w:rPr>
              <w:t>Chief Financial Officer and Treasurer</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WYNN COMPLETION GUARANTOR,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Wynn Las Vegas, LLC,</w:t>
      </w:r>
    </w:p>
    <w:p>
      <w:pPr>
        <w:ind w:left="620"/>
        <w:spacing w:after="0" w:line="238" w:lineRule="auto"/>
        <w:rPr>
          <w:sz w:val="20"/>
          <w:szCs w:val="20"/>
          <w:color w:val="auto"/>
        </w:rPr>
      </w:pPr>
      <w:r>
        <w:rPr>
          <w:rFonts w:ascii="Arial" w:cs="Arial" w:eastAsia="Arial" w:hAnsi="Arial"/>
          <w:sz w:val="22"/>
          <w:szCs w:val="22"/>
          <w:color w:val="auto"/>
        </w:rPr>
        <w:t>a Nevada limited liability company,</w:t>
      </w:r>
    </w:p>
    <w:p>
      <w:pPr>
        <w:ind w:left="6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2"/>
          <w:szCs w:val="22"/>
          <w:color w:val="auto"/>
        </w:rPr>
        <w:t>By:</w:t>
        <w:tab/>
        <w:t>Wynn Resorts Holdings, LLC,</w:t>
      </w:r>
    </w:p>
    <w:p>
      <w:pPr>
        <w:ind w:left="1220"/>
        <w:spacing w:after="0" w:line="238" w:lineRule="auto"/>
        <w:rPr>
          <w:sz w:val="20"/>
          <w:szCs w:val="20"/>
          <w:color w:val="auto"/>
        </w:rPr>
      </w:pPr>
      <w:r>
        <w:rPr>
          <w:rFonts w:ascii="Arial" w:cs="Arial" w:eastAsia="Arial" w:hAnsi="Arial"/>
          <w:sz w:val="22"/>
          <w:szCs w:val="22"/>
          <w:color w:val="auto"/>
        </w:rPr>
        <w:t>a Nevada limited liability company,</w:t>
      </w:r>
    </w:p>
    <w:p>
      <w:pPr>
        <w:ind w:left="1220"/>
        <w:spacing w:after="0"/>
        <w:rPr>
          <w:sz w:val="20"/>
          <w:szCs w:val="20"/>
          <w:color w:val="auto"/>
        </w:rPr>
      </w:pPr>
      <w:r>
        <w:rPr>
          <w:rFonts w:ascii="Arial" w:cs="Arial" w:eastAsia="Arial" w:hAnsi="Arial"/>
          <w:sz w:val="22"/>
          <w:szCs w:val="22"/>
          <w:color w:val="auto"/>
        </w:rPr>
        <w:t>its sole member</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180" w:type="dxa"/>
            <w:vAlign w:val="bottom"/>
            <w:gridSpan w:val="2"/>
          </w:tcPr>
          <w:p>
            <w:pPr>
              <w:ind w:left="240"/>
              <w:spacing w:after="0"/>
              <w:rPr>
                <w:sz w:val="20"/>
                <w:szCs w:val="20"/>
                <w:color w:val="auto"/>
              </w:rPr>
            </w:pPr>
            <w:r>
              <w:rPr>
                <w:rFonts w:ascii="Arial" w:cs="Arial" w:eastAsia="Arial" w:hAnsi="Arial"/>
                <w:sz w:val="22"/>
                <w:szCs w:val="22"/>
                <w:color w:val="auto"/>
              </w:rPr>
              <w:t>Wynn Resorts, Limited,</w:t>
            </w:r>
          </w:p>
        </w:tc>
      </w:tr>
      <w:tr>
        <w:trPr>
          <w:trHeight w:val="243"/>
        </w:trPr>
        <w:tc>
          <w:tcPr>
            <w:tcW w:w="540" w:type="dxa"/>
            <w:vAlign w:val="bottom"/>
          </w:tcPr>
          <w:p>
            <w:pPr>
              <w:spacing w:after="0"/>
              <w:rPr>
                <w:sz w:val="21"/>
                <w:szCs w:val="21"/>
                <w:color w:val="auto"/>
              </w:rPr>
            </w:pPr>
          </w:p>
        </w:tc>
        <w:tc>
          <w:tcPr>
            <w:tcW w:w="31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a Nevada corporation,</w:t>
            </w:r>
          </w:p>
        </w:tc>
      </w:tr>
      <w:tr>
        <w:trPr>
          <w:trHeight w:val="275"/>
        </w:trPr>
        <w:tc>
          <w:tcPr>
            <w:tcW w:w="540" w:type="dxa"/>
            <w:vAlign w:val="bottom"/>
          </w:tcPr>
          <w:p>
            <w:pPr>
              <w:spacing w:after="0"/>
              <w:rPr>
                <w:sz w:val="23"/>
                <w:szCs w:val="23"/>
                <w:color w:val="auto"/>
              </w:rPr>
            </w:pPr>
          </w:p>
        </w:tc>
        <w:tc>
          <w:tcPr>
            <w:tcW w:w="3180" w:type="dxa"/>
            <w:vAlign w:val="bottom"/>
            <w:gridSpan w:val="2"/>
          </w:tcPr>
          <w:p>
            <w:pPr>
              <w:ind w:left="240"/>
              <w:spacing w:after="0"/>
              <w:rPr>
                <w:sz w:val="20"/>
                <w:szCs w:val="20"/>
                <w:color w:val="auto"/>
              </w:rPr>
            </w:pPr>
            <w:r>
              <w:rPr>
                <w:rFonts w:ascii="Arial" w:cs="Arial" w:eastAsia="Arial" w:hAnsi="Arial"/>
                <w:sz w:val="22"/>
                <w:szCs w:val="22"/>
                <w:color w:val="auto"/>
              </w:rPr>
              <w:t>its sole member</w:t>
            </w:r>
          </w:p>
        </w:tc>
      </w:tr>
      <w:tr>
        <w:trPr>
          <w:trHeight w:val="449"/>
        </w:trPr>
        <w:tc>
          <w:tcPr>
            <w:tcW w:w="54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22"/>
                <w:szCs w:val="22"/>
                <w:color w:val="auto"/>
              </w:rPr>
              <w:t>By:</w:t>
            </w:r>
          </w:p>
        </w:tc>
        <w:tc>
          <w:tcPr>
            <w:tcW w:w="2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540" w:type="dxa"/>
            <w:vAlign w:val="bottom"/>
          </w:tcPr>
          <w:p>
            <w:pPr>
              <w:spacing w:after="0"/>
              <w:rPr>
                <w:sz w:val="18"/>
                <w:szCs w:val="18"/>
                <w:color w:val="auto"/>
              </w:rPr>
            </w:pPr>
          </w:p>
        </w:tc>
        <w:tc>
          <w:tcPr>
            <w:tcW w:w="1000" w:type="dxa"/>
            <w:vAlign w:val="bottom"/>
          </w:tcPr>
          <w:p>
            <w:pPr>
              <w:ind w:left="240"/>
              <w:spacing w:after="0" w:line="216" w:lineRule="exact"/>
              <w:rPr>
                <w:sz w:val="20"/>
                <w:szCs w:val="20"/>
                <w:color w:val="auto"/>
              </w:rPr>
            </w:pPr>
            <w:r>
              <w:rPr>
                <w:rFonts w:ascii="Arial" w:cs="Arial" w:eastAsia="Arial" w:hAnsi="Arial"/>
                <w:sz w:val="22"/>
                <w:szCs w:val="22"/>
                <w:color w:val="auto"/>
              </w:rPr>
              <w:t>Name:</w:t>
            </w:r>
          </w:p>
        </w:tc>
        <w:tc>
          <w:tcPr>
            <w:tcW w:w="218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540" w:type="dxa"/>
            <w:vAlign w:val="bottom"/>
          </w:tcPr>
          <w:p>
            <w:pPr>
              <w:spacing w:after="0"/>
              <w:rPr>
                <w:sz w:val="21"/>
                <w:szCs w:val="21"/>
                <w:color w:val="auto"/>
              </w:rPr>
            </w:pP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Title:</w:t>
            </w:r>
          </w:p>
        </w:tc>
        <w:tc>
          <w:tcPr>
            <w:tcW w:w="2180" w:type="dxa"/>
            <w:vAlign w:val="bottom"/>
          </w:tcPr>
          <w:p>
            <w:pPr>
              <w:spacing w:after="0" w:line="243" w:lineRule="exact"/>
              <w:rPr>
                <w:sz w:val="20"/>
                <w:szCs w:val="20"/>
                <w:color w:val="auto"/>
              </w:rPr>
            </w:pPr>
            <w:r>
              <w:rPr>
                <w:rFonts w:ascii="Arial" w:cs="Arial" w:eastAsia="Arial" w:hAnsi="Arial"/>
                <w:sz w:val="22"/>
                <w:szCs w:val="22"/>
                <w:color w:val="auto"/>
                <w:w w:val="99"/>
              </w:rPr>
              <w:t>Chief Financial Officer</w:t>
            </w:r>
          </w:p>
        </w:tc>
      </w:tr>
      <w:tr>
        <w:trPr>
          <w:trHeight w:val="275"/>
        </w:trPr>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80" w:type="dxa"/>
            <w:vAlign w:val="bottom"/>
          </w:tcPr>
          <w:p>
            <w:pPr>
              <w:spacing w:after="0"/>
              <w:rPr>
                <w:sz w:val="20"/>
                <w:szCs w:val="20"/>
                <w:color w:val="auto"/>
              </w:rPr>
            </w:pPr>
            <w:r>
              <w:rPr>
                <w:rFonts w:ascii="Arial" w:cs="Arial" w:eastAsia="Arial" w:hAnsi="Arial"/>
                <w:sz w:val="22"/>
                <w:szCs w:val="22"/>
                <w:color w:val="auto"/>
              </w:rPr>
              <w:t>and Treasurer</w:t>
            </w:r>
          </w:p>
        </w:tc>
      </w:tr>
    </w:tbl>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Third Amendment to</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DEUTSCHE BANK TRUST COMPANY</w:t>
      </w:r>
    </w:p>
    <w:p>
      <w:pPr>
        <w:spacing w:after="0" w:line="238" w:lineRule="auto"/>
        <w:rPr>
          <w:sz w:val="20"/>
          <w:szCs w:val="20"/>
          <w:color w:val="auto"/>
        </w:rPr>
      </w:pPr>
      <w:r>
        <w:rPr>
          <w:rFonts w:ascii="Arial" w:cs="Arial" w:eastAsia="Arial" w:hAnsi="Arial"/>
          <w:sz w:val="22"/>
          <w:szCs w:val="22"/>
          <w:color w:val="auto"/>
        </w:rPr>
        <w:t>AMERICAS, as Administrative Agent on</w:t>
      </w:r>
    </w:p>
    <w:p>
      <w:pPr>
        <w:spacing w:after="0"/>
        <w:rPr>
          <w:sz w:val="20"/>
          <w:szCs w:val="20"/>
          <w:color w:val="auto"/>
        </w:rPr>
      </w:pPr>
      <w:r>
        <w:rPr>
          <w:rFonts w:ascii="Arial" w:cs="Arial" w:eastAsia="Arial" w:hAnsi="Arial"/>
          <w:sz w:val="22"/>
          <w:szCs w:val="22"/>
          <w:color w:val="auto"/>
        </w:rPr>
        <w:t>behalf of the Lenders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 Kay Coyle</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260" w:type="dxa"/>
            <w:vAlign w:val="bottom"/>
          </w:tcPr>
          <w:p>
            <w:pPr>
              <w:spacing w:after="0" w:line="216" w:lineRule="exact"/>
              <w:rPr>
                <w:sz w:val="20"/>
                <w:szCs w:val="20"/>
                <w:color w:val="auto"/>
              </w:rPr>
            </w:pPr>
            <w:r>
              <w:rPr>
                <w:rFonts w:ascii="Arial" w:cs="Arial" w:eastAsia="Arial" w:hAnsi="Arial"/>
                <w:sz w:val="22"/>
                <w:szCs w:val="22"/>
                <w:color w:val="auto"/>
              </w:rPr>
              <w:t>Mary Kay Coyle</w:t>
            </w: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260" w:type="dxa"/>
            <w:vAlign w:val="bottom"/>
          </w:tcPr>
          <w:p>
            <w:pPr>
              <w:spacing w:after="0"/>
              <w:rPr>
                <w:sz w:val="20"/>
                <w:szCs w:val="20"/>
                <w:color w:val="auto"/>
              </w:rPr>
            </w:pPr>
            <w:r>
              <w:rPr>
                <w:rFonts w:ascii="Arial" w:cs="Arial" w:eastAsia="Arial" w:hAnsi="Arial"/>
                <w:sz w:val="22"/>
                <w:szCs w:val="22"/>
                <w:color w:val="auto"/>
              </w:rPr>
              <w:t>Managing Director</w:t>
            </w:r>
          </w:p>
        </w:tc>
      </w:tr>
      <w:tr>
        <w:trPr>
          <w:trHeight w:val="449"/>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Erin Morrissey</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260" w:type="dxa"/>
            <w:vAlign w:val="bottom"/>
          </w:tcPr>
          <w:p>
            <w:pPr>
              <w:spacing w:after="0" w:line="216" w:lineRule="exact"/>
              <w:rPr>
                <w:sz w:val="20"/>
                <w:szCs w:val="20"/>
                <w:color w:val="auto"/>
              </w:rPr>
            </w:pPr>
            <w:r>
              <w:rPr>
                <w:rFonts w:ascii="Arial" w:cs="Arial" w:eastAsia="Arial" w:hAnsi="Arial"/>
                <w:sz w:val="22"/>
                <w:szCs w:val="22"/>
                <w:color w:val="auto"/>
              </w:rPr>
              <w:t>Erin Morrissey</w:t>
            </w: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Third Amendment to</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Wynn Las Vegas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upperLetter"/>
      <w:start w:val="4"/>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5"/>
    </w:lvl>
  </w:abstractNum>
  <w:abstractNum w:abstractNumId="8">
    <w:nsid w:val="66EF438D"/>
    <w:multiLevelType w:val="hybridMultilevel"/>
    <w:lvl w:ilvl="0">
      <w:lvlJc w:val="left"/>
      <w:lvlText w:val="(%1)"/>
      <w:numFmt w:val="lowerLetter"/>
      <w:start w:val="6"/>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4"/>
    </w:lvl>
  </w:abstractNum>
  <w:abstractNum w:abstractNumId="13">
    <w:nsid w:val="7FDCC233"/>
    <w:multiLevelType w:val="hybridMultilevel"/>
    <w:lvl w:ilvl="0">
      <w:lvlJc w:val="left"/>
      <w:lvlText w:val="%1"/>
      <w:numFmt w:val="lowerLetter"/>
      <w:start w:val="1"/>
    </w:lvl>
    <w:lvl w:ilvl="1">
      <w:lvlJc w:val="left"/>
      <w:lvlText w:val="%2."/>
      <w:numFmt w:val="decimal"/>
      <w:start w:val="5"/>
    </w:lvl>
  </w:abstractNum>
  <w:abstractNum w:abstractNumId="14">
    <w:nsid w:val="1BEFD79F"/>
    <w:multiLevelType w:val="hybridMultilevel"/>
    <w:lvl w:ilvl="0">
      <w:lvlJc w:val="left"/>
      <w:lvlText w:val="(%1)"/>
      <w:numFmt w:val="lowerLetter"/>
      <w:start w:val="1"/>
    </w:lvl>
    <w:lvl w:ilvl="1">
      <w:lvlJc w:val="left"/>
      <w:lvlText w:val="%2."/>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2019-12-11T15:52:32Z</dcterms:created>
  <dcterms:modified xsi:type="dcterms:W3CDTF">2019-12-11T15:52:32Z</dcterms:modified>
</cp:coreProperties>
</file>