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80"/>
        <w:spacing w:after="0" w:line="238" w:lineRule="auto"/>
        <w:rPr>
          <w:sz w:val="20"/>
          <w:szCs w:val="20"/>
          <w:color w:val="auto"/>
        </w:rPr>
      </w:pPr>
      <w:r>
        <w:rPr>
          <w:rFonts w:ascii="Arial" w:cs="Arial" w:eastAsia="Arial" w:hAnsi="Arial"/>
          <w:sz w:val="18"/>
          <w:szCs w:val="18"/>
          <w:color w:val="CC062A"/>
        </w:rPr>
        <w:t>The information in this prospectus supplement is not complete and may be changed. This prospectus supplement and the accompanying prospectus are not an offer to sell these securities and are not soliciting an offer to buy these securities in any jurisdiction where the offer or sale is not permitted.</w:t>
      </w:r>
    </w:p>
    <w:p>
      <w:pPr>
        <w:spacing w:after="0" w:line="1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ind w:left="8700"/>
        <w:spacing w:after="0"/>
        <w:rPr>
          <w:sz w:val="20"/>
          <w:szCs w:val="20"/>
          <w:color w:val="auto"/>
        </w:rPr>
      </w:pPr>
      <w:r>
        <w:rPr>
          <w:rFonts w:ascii="Arial" w:cs="Arial" w:eastAsia="Arial" w:hAnsi="Arial"/>
          <w:sz w:val="16"/>
          <w:szCs w:val="16"/>
          <w:b w:val="1"/>
          <w:bCs w:val="1"/>
          <w:color w:val="auto"/>
        </w:rPr>
        <w:t>Registration Number 333-146360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CC062A"/>
        </w:rPr>
        <w:t>Subject to completion, dated March 17, 2009</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99275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159"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7,000,000 Shares</w:t>
      </w:r>
    </w:p>
    <w:p>
      <w:pPr>
        <w:spacing w:after="0" w:line="5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239" w:lineRule="exact"/>
        <w:rPr>
          <w:sz w:val="24"/>
          <w:szCs w:val="24"/>
          <w:color w:val="auto"/>
        </w:rPr>
      </w:pPr>
    </w:p>
    <w:p>
      <w:pPr>
        <w:jc w:val="both"/>
        <w:ind w:right="100"/>
        <w:spacing w:after="0" w:line="238" w:lineRule="auto"/>
        <w:rPr>
          <w:sz w:val="20"/>
          <w:szCs w:val="20"/>
          <w:color w:val="auto"/>
        </w:rPr>
      </w:pPr>
      <w:r>
        <w:rPr>
          <w:rFonts w:ascii="Arial" w:cs="Arial" w:eastAsia="Arial" w:hAnsi="Arial"/>
          <w:sz w:val="18"/>
          <w:szCs w:val="18"/>
          <w:color w:val="auto"/>
        </w:rPr>
        <w:t>This is a public offering of common stock of Wynn Resorts, Limited. We are offering 7,000,000 shares of our common stock. Our common stock is quoted on the Nasdaq Global Select Market under the symbol “WYNN.” On March 16, 2009, the last reported sale price of our common stock was $19.65 per share.</w:t>
      </w:r>
    </w:p>
    <w:p>
      <w:pPr>
        <w:spacing w:after="0" w:line="118" w:lineRule="exact"/>
        <w:rPr>
          <w:sz w:val="24"/>
          <w:szCs w:val="24"/>
          <w:color w:val="auto"/>
        </w:rPr>
      </w:pPr>
    </w:p>
    <w:p>
      <w:pPr>
        <w:ind w:right="420"/>
        <w:spacing w:after="0" w:line="261" w:lineRule="auto"/>
        <w:rPr>
          <w:sz w:val="20"/>
          <w:szCs w:val="20"/>
          <w:color w:val="auto"/>
        </w:rPr>
      </w:pPr>
      <w:r>
        <w:rPr>
          <w:rFonts w:ascii="Arial" w:cs="Arial" w:eastAsia="Arial" w:hAnsi="Arial"/>
          <w:sz w:val="22"/>
          <w:szCs w:val="22"/>
          <w:b w:val="1"/>
          <w:bCs w:val="1"/>
          <w:color w:val="auto"/>
        </w:rPr>
        <w:t>Investing in our common stock involves risks that are described beginning on page S-2 and in our periodic reports filed with the Securities and Exchange Commission.</w:t>
      </w:r>
    </w:p>
    <w:p>
      <w:pPr>
        <w:spacing w:after="0" w:line="112" w:lineRule="exact"/>
        <w:rPr>
          <w:sz w:val="24"/>
          <w:szCs w:val="24"/>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None of the Securities and Exchange Commission, the Nevada Gaming Commission, the Nevada State Gaming Control Board,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90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w w:val="94"/>
              </w:rPr>
              <w:t>Per Share</w:t>
            </w:r>
          </w:p>
        </w:tc>
        <w:tc>
          <w:tcPr>
            <w:tcW w:w="1780" w:type="dxa"/>
            <w:vAlign w:val="bottom"/>
            <w:gridSpan w:val="2"/>
          </w:tcPr>
          <w:p>
            <w:pPr>
              <w:ind w:left="1080"/>
              <w:spacing w:after="0"/>
              <w:rPr>
                <w:sz w:val="20"/>
                <w:szCs w:val="20"/>
                <w:color w:val="auto"/>
              </w:rPr>
            </w:pPr>
            <w:r>
              <w:rPr>
                <w:rFonts w:ascii="Arial" w:cs="Arial" w:eastAsia="Arial" w:hAnsi="Arial"/>
                <w:sz w:val="14"/>
                <w:szCs w:val="14"/>
                <w:b w:val="1"/>
                <w:bCs w:val="1"/>
                <w:color w:val="auto"/>
              </w:rPr>
              <w:t>Total</w:t>
            </w:r>
          </w:p>
        </w:tc>
      </w:tr>
      <w:tr>
        <w:trPr>
          <w:trHeight w:val="20"/>
        </w:trPr>
        <w:tc>
          <w:tcPr>
            <w:tcW w:w="9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67"/>
        </w:trPr>
        <w:tc>
          <w:tcPr>
            <w:tcW w:w="9000" w:type="dxa"/>
            <w:vAlign w:val="bottom"/>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6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ind w:left="1080"/>
              <w:spacing w:after="0" w:line="202" w:lineRule="exact"/>
              <w:rPr>
                <w:sz w:val="20"/>
                <w:szCs w:val="20"/>
                <w:color w:val="auto"/>
              </w:rPr>
            </w:pPr>
            <w:r>
              <w:rPr>
                <w:rFonts w:ascii="Arial" w:cs="Arial" w:eastAsia="Arial" w:hAnsi="Arial"/>
                <w:sz w:val="18"/>
                <w:szCs w:val="18"/>
                <w:color w:val="auto"/>
              </w:rPr>
              <w:t>$</w:t>
            </w:r>
          </w:p>
        </w:tc>
      </w:tr>
      <w:tr>
        <w:trPr>
          <w:trHeight w:val="211"/>
        </w:trPr>
        <w:tc>
          <w:tcPr>
            <w:tcW w:w="9000" w:type="dxa"/>
            <w:vAlign w:val="bottom"/>
          </w:tcPr>
          <w:p>
            <w:pPr>
              <w:spacing w:after="0"/>
              <w:rPr>
                <w:sz w:val="20"/>
                <w:szCs w:val="20"/>
                <w:color w:val="auto"/>
              </w:rPr>
            </w:pPr>
            <w:r>
              <w:rPr>
                <w:rFonts w:ascii="Arial" w:cs="Arial" w:eastAsia="Arial" w:hAnsi="Arial"/>
                <w:sz w:val="18"/>
                <w:szCs w:val="18"/>
                <w:color w:val="auto"/>
              </w:rPr>
              <w:t>Proceeds to Wynn Resorts, Limited (before expenses)</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080"/>
              <w:spacing w:after="0"/>
              <w:rPr>
                <w:sz w:val="20"/>
                <w:szCs w:val="20"/>
                <w:color w:val="auto"/>
              </w:rPr>
            </w:pPr>
            <w:r>
              <w:rPr>
                <w:rFonts w:ascii="Arial" w:cs="Arial" w:eastAsia="Arial" w:hAnsi="Arial"/>
                <w:sz w:val="18"/>
                <w:szCs w:val="18"/>
                <w:color w:val="auto"/>
              </w:rPr>
              <w:t>$</w:t>
            </w:r>
          </w:p>
        </w:tc>
      </w:tr>
    </w:tbl>
    <w:p>
      <w:pPr>
        <w:spacing w:after="0" w:line="154" w:lineRule="exact"/>
        <w:rPr>
          <w:sz w:val="24"/>
          <w:szCs w:val="24"/>
          <w:color w:val="auto"/>
        </w:rPr>
      </w:pPr>
    </w:p>
    <w:p>
      <w:pPr>
        <w:ind w:right="40"/>
        <w:spacing w:after="0" w:line="264" w:lineRule="auto"/>
        <w:rPr>
          <w:sz w:val="20"/>
          <w:szCs w:val="20"/>
          <w:color w:val="auto"/>
        </w:rPr>
      </w:pPr>
      <w:r>
        <w:rPr>
          <w:rFonts w:ascii="Arial" w:cs="Arial" w:eastAsia="Arial" w:hAnsi="Arial"/>
          <w:sz w:val="16"/>
          <w:szCs w:val="16"/>
          <w:color w:val="auto"/>
        </w:rPr>
        <w:t>We have granted to the underwriters an option to purchase up to 1,050,000 additional shares of common stock on the same terms and conditions as set forth above if the underwriters sell more than 7,000,000 shares of common stock in this offering. The underwriters can exercise this right at any time and from time to time, in whole or in part, within 30 days after the offering. The underwriters expect to deliver the shares of common stock</w:t>
      </w:r>
    </w:p>
    <w:p>
      <w:pPr>
        <w:spacing w:after="0" w:line="1" w:lineRule="exact"/>
        <w:rPr>
          <w:sz w:val="24"/>
          <w:szCs w:val="24"/>
          <w:color w:val="auto"/>
        </w:rPr>
      </w:pPr>
    </w:p>
    <w:p>
      <w:pPr>
        <w:spacing w:after="0"/>
        <w:tabs>
          <w:tab w:leader="none" w:pos="2840" w:val="left"/>
        </w:tabs>
        <w:rPr>
          <w:sz w:val="20"/>
          <w:szCs w:val="20"/>
          <w:color w:val="auto"/>
        </w:rPr>
      </w:pPr>
      <w:r>
        <w:rPr>
          <w:rFonts w:ascii="Arial" w:cs="Arial" w:eastAsia="Arial" w:hAnsi="Arial"/>
          <w:sz w:val="18"/>
          <w:szCs w:val="18"/>
          <w:color w:val="auto"/>
        </w:rPr>
        <w:t>to investors on or about</w:t>
      </w:r>
      <w:r>
        <w:rPr>
          <w:sz w:val="20"/>
          <w:szCs w:val="20"/>
          <w:color w:val="auto"/>
        </w:rPr>
        <w:tab/>
      </w:r>
      <w:r>
        <w:rPr>
          <w:rFonts w:ascii="Arial" w:cs="Arial" w:eastAsia="Arial" w:hAnsi="Arial"/>
          <w:sz w:val="16"/>
          <w:szCs w:val="16"/>
          <w:color w:val="auto"/>
        </w:rPr>
        <w:t>, 2009.</w:t>
      </w:r>
    </w:p>
    <w:p>
      <w:pPr>
        <w:spacing w:after="0" w:line="153" w:lineRule="exact"/>
        <w:rPr>
          <w:sz w:val="24"/>
          <w:szCs w:val="24"/>
          <w:color w:val="auto"/>
        </w:rPr>
      </w:pPr>
    </w:p>
    <w:p>
      <w:pPr>
        <w:spacing w:after="0"/>
        <w:tabs>
          <w:tab w:leader="none" w:pos="7680" w:val="left"/>
          <w:tab w:leader="none" w:pos="10360" w:val="left"/>
        </w:tabs>
        <w:rPr>
          <w:sz w:val="20"/>
          <w:szCs w:val="20"/>
          <w:color w:val="auto"/>
        </w:rPr>
      </w:pPr>
      <w:r>
        <w:rPr>
          <w:rFonts w:ascii="Arial" w:cs="Arial" w:eastAsia="Arial" w:hAnsi="Arial"/>
          <w:sz w:val="18"/>
          <w:szCs w:val="18"/>
          <w:color w:val="auto"/>
        </w:rPr>
        <w:t>In connection with this offering, we have agreed to pay the underwriters aggregate fees of $</w:t>
      </w:r>
      <w:r>
        <w:rPr>
          <w:sz w:val="20"/>
          <w:szCs w:val="20"/>
          <w:color w:val="auto"/>
        </w:rPr>
        <w:tab/>
      </w:r>
      <w:r>
        <w:rPr>
          <w:rFonts w:ascii="Arial" w:cs="Arial" w:eastAsia="Arial" w:hAnsi="Arial"/>
          <w:sz w:val="18"/>
          <w:szCs w:val="18"/>
          <w:color w:val="auto"/>
        </w:rPr>
        <w:t>, plus up to an additional $</w:t>
      </w:r>
      <w:r>
        <w:rPr>
          <w:sz w:val="20"/>
          <w:szCs w:val="20"/>
          <w:color w:val="auto"/>
        </w:rPr>
        <w:tab/>
      </w:r>
      <w:r>
        <w:rPr>
          <w:rFonts w:ascii="Arial" w:cs="Arial" w:eastAsia="Arial" w:hAnsi="Arial"/>
          <w:sz w:val="16"/>
          <w:szCs w:val="16"/>
          <w:color w:val="auto"/>
        </w:rPr>
        <w:t>if the</w:t>
      </w:r>
    </w:p>
    <w:p>
      <w:pPr>
        <w:ind w:right="160"/>
        <w:spacing w:after="0" w:line="239" w:lineRule="auto"/>
        <w:rPr>
          <w:sz w:val="20"/>
          <w:szCs w:val="20"/>
          <w:color w:val="auto"/>
        </w:rPr>
      </w:pPr>
      <w:r>
        <w:rPr>
          <w:rFonts w:ascii="Arial" w:cs="Arial" w:eastAsia="Arial" w:hAnsi="Arial"/>
          <w:sz w:val="18"/>
          <w:szCs w:val="18"/>
          <w:color w:val="auto"/>
        </w:rPr>
        <w:t>underwriters exercise their option to purchase additional shares. In addition, we have agreed to pay to Moelis &amp; Company, our financial advisor in connection with this transaction, a fee of $ .</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00" w:type="dxa"/>
            <w:vAlign w:val="bottom"/>
            <w:gridSpan w:val="2"/>
          </w:tcPr>
          <w:p>
            <w:pPr>
              <w:jc w:val="center"/>
              <w:ind w:right="4338"/>
              <w:spacing w:after="0"/>
              <w:rPr>
                <w:sz w:val="20"/>
                <w:szCs w:val="20"/>
                <w:color w:val="auto"/>
              </w:rPr>
            </w:pPr>
            <w:r>
              <w:rPr>
                <w:rFonts w:ascii="Arial" w:cs="Arial" w:eastAsia="Arial" w:hAnsi="Arial"/>
                <w:sz w:val="18"/>
                <w:szCs w:val="18"/>
                <w:i w:val="1"/>
                <w:iCs w:val="1"/>
                <w:color w:val="auto"/>
                <w:w w:val="97"/>
              </w:rPr>
              <w:t>Joint Book-Running Managers</w:t>
            </w:r>
          </w:p>
        </w:tc>
      </w:tr>
      <w:tr>
        <w:trPr>
          <w:trHeight w:val="584"/>
        </w:trPr>
        <w:tc>
          <w:tcPr>
            <w:tcW w:w="4020" w:type="dxa"/>
            <w:vAlign w:val="bottom"/>
          </w:tcPr>
          <w:p>
            <w:pPr>
              <w:spacing w:after="0"/>
              <w:rPr>
                <w:sz w:val="20"/>
                <w:szCs w:val="20"/>
                <w:color w:val="auto"/>
              </w:rPr>
            </w:pPr>
            <w:r>
              <w:rPr>
                <w:rFonts w:ascii="Arial" w:cs="Arial" w:eastAsia="Arial" w:hAnsi="Arial"/>
                <w:sz w:val="32"/>
                <w:szCs w:val="32"/>
                <w:b w:val="1"/>
                <w:bCs w:val="1"/>
                <w:color w:val="auto"/>
              </w:rPr>
              <w:t>Deutsche Bank Securities</w:t>
            </w:r>
          </w:p>
        </w:tc>
        <w:tc>
          <w:tcPr>
            <w:tcW w:w="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tcPr>
          <w:p>
            <w:pPr>
              <w:ind w:left="1580"/>
              <w:spacing w:after="0"/>
              <w:rPr>
                <w:sz w:val="20"/>
                <w:szCs w:val="20"/>
                <w:color w:val="auto"/>
              </w:rPr>
            </w:pPr>
            <w:r>
              <w:rPr>
                <w:rFonts w:ascii="Arial" w:cs="Arial" w:eastAsia="Arial" w:hAnsi="Arial"/>
                <w:sz w:val="32"/>
                <w:szCs w:val="32"/>
                <w:b w:val="1"/>
                <w:bCs w:val="1"/>
                <w:color w:val="auto"/>
              </w:rPr>
              <w:t>Merrill Lynch &amp; Co.</w:t>
            </w:r>
          </w:p>
        </w:tc>
      </w:tr>
      <w:tr>
        <w:trPr>
          <w:trHeight w:val="161"/>
        </w:trPr>
        <w:tc>
          <w:tcPr>
            <w:tcW w:w="4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4520" w:type="dxa"/>
            <w:vAlign w:val="bottom"/>
          </w:tcPr>
          <w:p>
            <w:pPr>
              <w:spacing w:after="0"/>
              <w:rPr>
                <w:sz w:val="13"/>
                <w:szCs w:val="13"/>
                <w:color w:val="auto"/>
              </w:rPr>
            </w:pPr>
          </w:p>
        </w:tc>
      </w:tr>
      <w:tr>
        <w:trPr>
          <w:trHeight w:val="468"/>
        </w:trPr>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00" w:type="dxa"/>
            <w:vAlign w:val="bottom"/>
            <w:gridSpan w:val="2"/>
          </w:tcPr>
          <w:p>
            <w:pPr>
              <w:jc w:val="center"/>
              <w:ind w:right="4358"/>
              <w:spacing w:after="0"/>
              <w:rPr>
                <w:sz w:val="20"/>
                <w:szCs w:val="20"/>
                <w:color w:val="auto"/>
              </w:rPr>
            </w:pPr>
            <w:r>
              <w:rPr>
                <w:rFonts w:ascii="Arial" w:cs="Arial" w:eastAsia="Arial" w:hAnsi="Arial"/>
                <w:sz w:val="32"/>
                <w:szCs w:val="32"/>
                <w:b w:val="1"/>
                <w:bCs w:val="1"/>
                <w:color w:val="auto"/>
                <w:w w:val="98"/>
              </w:rPr>
              <w:t>J.P.Morgan</w:t>
            </w:r>
          </w:p>
        </w:tc>
      </w:tr>
      <w:tr>
        <w:trPr>
          <w:trHeight w:val="469"/>
        </w:trPr>
        <w:tc>
          <w:tcPr>
            <w:tcW w:w="4020" w:type="dxa"/>
            <w:vAlign w:val="bottom"/>
          </w:tcPr>
          <w:p>
            <w:pPr>
              <w:ind w:left="20"/>
              <w:spacing w:after="0"/>
              <w:rPr>
                <w:sz w:val="20"/>
                <w:szCs w:val="20"/>
                <w:color w:val="auto"/>
              </w:rPr>
            </w:pPr>
            <w:r>
              <w:rPr>
                <w:rFonts w:ascii="Arial" w:cs="Arial" w:eastAsia="Arial" w:hAnsi="Arial"/>
                <w:sz w:val="18"/>
                <w:szCs w:val="18"/>
                <w:color w:val="auto"/>
              </w:rPr>
              <w:t>The date of this prospectus supplement is March</w:t>
            </w:r>
          </w:p>
        </w:tc>
        <w:tc>
          <w:tcPr>
            <w:tcW w:w="2880" w:type="dxa"/>
            <w:vAlign w:val="bottom"/>
            <w:gridSpan w:val="2"/>
          </w:tcPr>
          <w:p>
            <w:pPr>
              <w:jc w:val="right"/>
              <w:ind w:right="2235"/>
              <w:spacing w:after="0"/>
              <w:rPr>
                <w:sz w:val="20"/>
                <w:szCs w:val="20"/>
                <w:color w:val="auto"/>
              </w:rPr>
            </w:pPr>
            <w:r>
              <w:rPr>
                <w:rFonts w:ascii="Arial" w:cs="Arial" w:eastAsia="Arial" w:hAnsi="Arial"/>
                <w:sz w:val="18"/>
                <w:szCs w:val="18"/>
                <w:color w:val="auto"/>
                <w:w w:val="99"/>
              </w:rPr>
              <w:t>, 2009</w:t>
            </w:r>
          </w:p>
        </w:tc>
        <w:tc>
          <w:tcPr>
            <w:tcW w:w="4520" w:type="dxa"/>
            <w:vAlign w:val="bottom"/>
          </w:tcPr>
          <w:p>
            <w:pPr>
              <w:spacing w:after="0"/>
              <w:rPr>
                <w:sz w:val="24"/>
                <w:szCs w:val="24"/>
                <w:color w:val="auto"/>
              </w:rPr>
            </w:pPr>
          </w:p>
        </w:tc>
      </w:tr>
    </w:tbl>
    <w:p>
      <w:pPr>
        <w:sectPr>
          <w:pgSz w:w="11900" w:h="16838" w:orient="portrait"/>
          <w:cols w:equalWidth="0" w:num="1">
            <w:col w:w="11420"/>
          </w:cols>
          <w:pgMar w:left="240" w:top="251" w:right="239" w:bottom="1440" w:gutter="0" w:footer="0" w:header="0"/>
        </w:sectPr>
      </w:pPr>
    </w:p>
    <w:bookmarkStart w:id="1" w:name="page2"/>
    <w:bookmarkEnd w:id="1"/>
    <w:p>
      <w:pPr>
        <w:ind w:right="26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prospectus supplement is a supplement to the accompanying prospectus that is also a part of this document. The accompanying prospectus is part of a registration statement that we filed with the Securities and Exchange Commission (the “SEC”) using a shelf registration process. Under the shelf registration process, from time to time, we may offer shares of common stock. In the accompanying prospectus, we provide you with a general description of the shares of our common stock that we may offer under the prospectus. In this prospectus supplement, we provide you with specific information about the terms of this offering. Both this prospectus supplement and the prospectus include, or incorporate by reference, important information about us, our common stock and other information you should know before investing. This prospectus supplement also adds to, updates and changes information contained in the prospectus. If any specific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prospectus, as well as the additional information described under “Where You Can Find More Information” in the accompanying prospectus before investing in our common stock.</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80"/>
          </w:cols>
          <w:pgMar w:left="240" w:top="291"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62"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Before deciding to invest in our common stock, you should carefully consider each of the following risk factors and all of the other information set forth in this prospectus supplement and in the accompanying prospectus and incorporated in this prospectus supplement and in the accompanying prospectus by reference, including in Item 1A and the section entitled “Management’s Discussion and Analysis of Financial Condition and Results of Operations” in our Annual Report on Form 10-K for the year ended December 31, 2008.</w:t>
      </w:r>
    </w:p>
    <w:p>
      <w:pPr>
        <w:spacing w:after="0" w:line="134"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The risks and uncertainties described below and incorporated by reference herein are not the only ones we face. Additional risks and uncertainties not presently known to us or that we currently deem immaterial may also impair our business operations. If any of these risks actually occurs, our business, financial condition, cash flow and results of operations could be materially adversely affected. In that case, the value of our common stock could decline substantially.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Offering</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The price of our common stock may fluctuate significantly, which may make it difficult for you to resell the common stock issuable when you want or at prices you find attractive.</w:t>
      </w:r>
    </w:p>
    <w:p>
      <w:pPr>
        <w:spacing w:after="0" w:line="134"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The price of shares of our common stock on the Nasdaq Global Select Market constantly changes. We expect that the market price of our common stock will continue to fluctuate. Holders of our common stock will be subject to the risk of volatility and depressed prices of our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76" w:lineRule="exact"/>
        <w:rPr>
          <w:rFonts w:ascii="Arial" w:cs="Arial" w:eastAsia="Arial" w:hAnsi="Arial"/>
          <w:sz w:val="18"/>
          <w:szCs w:val="18"/>
          <w:color w:val="auto"/>
        </w:rPr>
      </w:pPr>
    </w:p>
    <w:p>
      <w:pPr>
        <w:ind w:left="780" w:right="560" w:hanging="326"/>
        <w:spacing w:after="0" w:line="23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 reaction to adverse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76" w:lineRule="exact"/>
        <w:rPr>
          <w:rFonts w:ascii="Arial" w:cs="Arial" w:eastAsia="Arial" w:hAnsi="Arial"/>
          <w:sz w:val="18"/>
          <w:szCs w:val="18"/>
          <w:color w:val="auto"/>
        </w:rPr>
      </w:pPr>
    </w:p>
    <w:p>
      <w:pPr>
        <w:ind w:left="780" w:right="360" w:hanging="326"/>
        <w:spacing w:after="0" w:line="23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Macau with anticipated cash flows generated at Wynn Macau;</w:t>
      </w:r>
    </w:p>
    <w:p>
      <w:pPr>
        <w:spacing w:after="0" w:line="73"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 and travel-related visa restrictions);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269" w:right="259" w:bottom="1440" w:gutter="0" w:footer="0" w:header="0"/>
        </w:sectPr>
      </w:pPr>
    </w:p>
    <w:bookmarkStart w:id="3" w:name="page4"/>
    <w:bookmarkEnd w:id="3"/>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may have on the travel and leisure industry;</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legal proceedings; and</w:t>
      </w:r>
    </w:p>
    <w:p>
      <w:pPr>
        <w:spacing w:after="0" w:line="76"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described under “Risk Factors,” “Forward-Looking Statements” and “Management’s Discussion and Analysis of Financial Condition and Results of Operations” in our Annual Report on Form 10-K and otherwise in our filings with the SEC.</w:t>
      </w:r>
    </w:p>
    <w:p>
      <w:pPr>
        <w:spacing w:after="0" w:line="155"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154"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Recently, the volatility has reached unprecedented levels. In some cases, the markets have produced downward pressure on stock prices and credit availability for certain issuers without regard to those issuers’ underlying financial strength. Such continued volatility could materially and adversely affect our ability to access capital, as well as our business, financial condition and results of operations, and the market price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cause the market price of our common stock to decline.</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 of the date of this prospectus, our officers and directors beneficially own 50.6 million shares of common stock. We and Stephen A. Wynn, our Chairman of the Board and Chief Executive Officer and one of our principal stockholders, and Aruze USA, Inc., another of our principal stockholders, have agreed with the underwriters, subject to certain exceptions, not to directly or indirectly offer, sell, pledge, contract to sell, sell any option or contract to purchase, purchase any option or contract to sell, grant any option, right or warrant to purchase, lend or otherwise transfer or dispose of any shares of our common stock or securities convertible into or exchangeable for shares of our common stock, or enter into any hedging transaction relating to the common stock, during the period from the date of this prospectus until 45 days after the date of this prospectus, except with the prior written consent of Deutsche Bank Securities Inc. and Merrill Lynch, Pierce, Fenner &amp; Smith Incorporated, as representatives of the several underwriters. Upon the expiration of the 45-day lockup period, Stephen A. Wynn and Aruze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291" w:right="259" w:bottom="1440" w:gutter="0" w:footer="0" w:header="0"/>
        </w:sectPr>
      </w:pPr>
    </w:p>
    <w:bookmarkStart w:id="4" w:name="page5"/>
    <w:bookmarkEnd w:id="4"/>
    <w:p>
      <w:pPr>
        <w:jc w:val="both"/>
        <w:ind w:right="1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USA, Inc. will be able to sell these shares into the public market. In addition, as of March 15, 2009, there were 2.8 million shares of our common stock reserved and subject to issuance upon exercise of outstanding vested and unvested options and 918,500 unvested restricted shares had been issued.</w:t>
      </w:r>
    </w:p>
    <w:p>
      <w:pPr>
        <w:spacing w:after="0" w:line="154"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cannot predict the effect, if any, that the future issuance or market sales of shares of our common stock will have on the market price of our common stock prevailing from time to time. Sales of substantial amounts of our common stock, or the perception that such sales are likely to occur, could materially adversely affect the prevailing market price for our common stock and could impair our future ability to raise capital through an offering of equity or equity-linked securities.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20"/>
          </w:cols>
          <w:pgMar w:left="240" w:top="291"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8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intend to use the proceeds from the sale of the common stock in this offering for general corporate purposes, including repayment of any of our debt or debt of our subsidiaries.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60"/>
          </w:cols>
          <w:pgMar w:left="240" w:top="269" w:right="29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RANGE OF COMMON STOCK AND DIVIDEND POLICY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9"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Our common stock began trading on the Nasdaq under the symbol “WYNN” on October 25, 2002, at a price of $13.00 per share. Our common stock currently trades on the Nasdaq Global Select Market. The following table sets forth the high and low sale prices for the indicated periods as reported on the Nasdaq Global Select Market.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jc w:val="right"/>
              <w:ind w:right="5592"/>
              <w:spacing w:after="0" w:line="202" w:lineRule="exact"/>
              <w:rPr>
                <w:sz w:val="20"/>
                <w:szCs w:val="20"/>
                <w:color w:val="auto"/>
              </w:rPr>
            </w:pPr>
            <w:r>
              <w:rPr>
                <w:rFonts w:ascii="Arial" w:cs="Arial" w:eastAsia="Arial" w:hAnsi="Arial"/>
                <w:sz w:val="18"/>
                <w:szCs w:val="18"/>
                <w:b w:val="1"/>
                <w:bCs w:val="1"/>
                <w:color w:val="auto"/>
                <w:w w:val="89"/>
              </w:rPr>
              <w:t>2007</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114.60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107.98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168.80</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Fourth Quarter</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176.14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110.50</w:t>
            </w:r>
          </w:p>
        </w:tc>
        <w:tc>
          <w:tcPr>
            <w:tcW w:w="0" w:type="dxa"/>
            <w:vAlign w:val="bottom"/>
          </w:tcPr>
          <w:p>
            <w:pPr>
              <w:spacing w:after="0"/>
              <w:rPr>
                <w:sz w:val="1"/>
                <w:szCs w:val="1"/>
                <w:color w:val="auto"/>
              </w:rPr>
            </w:pPr>
          </w:p>
        </w:tc>
      </w:tr>
      <w:tr>
        <w:trPr>
          <w:trHeight w:val="311"/>
        </w:trPr>
        <w:tc>
          <w:tcPr>
            <w:tcW w:w="6080" w:type="dxa"/>
            <w:vAlign w:val="bottom"/>
            <w:gridSpan w:val="2"/>
          </w:tcPr>
          <w:p>
            <w:pPr>
              <w:jc w:val="right"/>
              <w:ind w:right="5592"/>
              <w:spacing w:after="0"/>
              <w:rPr>
                <w:sz w:val="20"/>
                <w:szCs w:val="20"/>
                <w:color w:val="auto"/>
              </w:rPr>
            </w:pPr>
            <w:r>
              <w:rPr>
                <w:rFonts w:ascii="Arial" w:cs="Arial" w:eastAsia="Arial" w:hAnsi="Arial"/>
                <w:sz w:val="18"/>
                <w:szCs w:val="18"/>
                <w:b w:val="1"/>
                <w:bCs w:val="1"/>
                <w:color w:val="auto"/>
                <w:w w:val="94"/>
              </w:rPr>
              <w:t>2008</w:t>
            </w: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124.77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116.54</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119.74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420"/>
              <w:spacing w:after="0" w:line="202" w:lineRule="exact"/>
              <w:rPr>
                <w:sz w:val="20"/>
                <w:szCs w:val="20"/>
                <w:color w:val="auto"/>
              </w:rPr>
            </w:pPr>
            <w:r>
              <w:rPr>
                <w:rFonts w:ascii="Arial" w:cs="Arial" w:eastAsia="Arial" w:hAnsi="Arial"/>
                <w:sz w:val="18"/>
                <w:szCs w:val="18"/>
                <w:color w:val="auto"/>
              </w:rPr>
              <w:t>Fourth Quarter</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83.69</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jc w:val="right"/>
              <w:ind w:right="5592"/>
              <w:spacing w:after="0" w:line="202" w:lineRule="exact"/>
              <w:rPr>
                <w:sz w:val="20"/>
                <w:szCs w:val="20"/>
                <w:color w:val="auto"/>
              </w:rPr>
            </w:pPr>
            <w:r>
              <w:rPr>
                <w:rFonts w:ascii="Arial" w:cs="Arial" w:eastAsia="Arial" w:hAnsi="Arial"/>
                <w:sz w:val="18"/>
                <w:szCs w:val="18"/>
                <w:b w:val="1"/>
                <w:bCs w:val="1"/>
                <w:color w:val="auto"/>
                <w:w w:val="89"/>
              </w:rPr>
              <w:t>2009</w:t>
            </w:r>
          </w:p>
        </w:tc>
        <w:tc>
          <w:tcPr>
            <w:tcW w:w="2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First Quarter (through March 16, 2009)</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55.41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16, 2009, the last sales price of our common stock, as reported on the Nasdaq Global Select Market, was $19.65 per share.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205 holders of record of our common stock as of March 13, 2009.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13, 2006, our Board of Directors declared a cash distribution of $6.00 per common share, which was paid on December 4,</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2006. On November 20, 2007 our Board of Directors declared a cash distribution of $6.00 per common share, which was paid on December 10,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a holding company and, as a result, our ability to pay dividends is dependent on our subsidiaries’ ability to provide funds to us. Additionally, we are the borrower under an aggregate $1.0 billion delayed-draw term loan credit facility dated as of June 21, 2007, as amended, that imposes (i) restrictions on our ability to make “restricted payments,” as defined in the facility, or to incur obligations to make such restricted payments and (ii) restrictions and prepayment obligations with respect to dispositions and distributions of equity interests and other funds from our subsidiaries.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our first mortgage notes from making certain “restricted payments,” as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20"/>
          </w:cols>
          <w:pgMar w:left="240" w:top="269" w:right="339" w:bottom="1440" w:gutter="0" w:footer="0" w:header="0"/>
        </w:sectPr>
      </w:pPr>
    </w:p>
    <w:bookmarkStart w:id="7" w:name="page8"/>
    <w:bookmarkEnd w:id="7"/>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60"/>
          </w:cols>
          <w:pgMar w:left="240" w:top="291" w:right="6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UNDERWRITING</w:t>
      </w:r>
    </w:p>
    <w:p>
      <w:pPr>
        <w:spacing w:after="0" w:line="180"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Subject to the terms and conditions of the underwriting agreement, Deutsche Bank Securities Inc., Merrill Lynch, Pierce, Fenner &amp; Smith Incorporated and J.P. Morgan Securities Ltd. have severally agreed to purchase from us the number of shares of common stock set forth opposite the underwriter’s name at the public offering price set forth on the cover page of this prospectus supplement.</w:t>
      </w:r>
    </w:p>
    <w:p>
      <w:pPr>
        <w:sectPr>
          <w:pgSz w:w="11900" w:h="16838" w:orient="portrait"/>
          <w:cols w:equalWidth="0" w:num="1">
            <w:col w:w="11420"/>
          </w:cols>
          <w:pgMar w:left="240" w:top="269" w:right="239" w:bottom="1440" w:gutter="0" w:footer="0" w:header="0"/>
        </w:sectPr>
      </w:pPr>
    </w:p>
    <w:p>
      <w:pPr>
        <w:spacing w:after="0" w:line="3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428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0020" w:space="720"/>
            <w:col w:w="680"/>
          </w:cols>
          <w:pgMar w:left="240" w:top="26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Deutsche Bank Securities Inc.</w:t>
      </w:r>
    </w:p>
    <w:p>
      <w:pPr>
        <w:spacing w:after="0" w:line="234" w:lineRule="auto"/>
        <w:rPr>
          <w:sz w:val="20"/>
          <w:szCs w:val="20"/>
          <w:color w:val="auto"/>
        </w:rPr>
      </w:pPr>
      <w:r>
        <w:rPr>
          <w:rFonts w:ascii="Arial" w:cs="Arial" w:eastAsia="Arial" w:hAnsi="Arial"/>
          <w:sz w:val="18"/>
          <w:szCs w:val="18"/>
          <w:color w:val="auto"/>
        </w:rPr>
        <w:t>Merrill Lynch, Pierce, Fenner &amp; Smith</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Securities Ltd.</w:t>
      </w:r>
    </w:p>
    <w:p>
      <w:pPr>
        <w:spacing w:after="0" w:line="158"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of common stock offered hereby are subject to certain conditions precedent. The underwriting agreement also provides that the underwriters will purchase all of the shares of common stock offered by this prospectus supplement, other than those covered by the option to purchase additional shares described below.</w:t>
      </w:r>
    </w:p>
    <w:p>
      <w:pPr>
        <w:spacing w:after="0" w:line="154" w:lineRule="exact"/>
        <w:rPr>
          <w:sz w:val="20"/>
          <w:szCs w:val="20"/>
          <w:color w:val="auto"/>
        </w:rPr>
      </w:pPr>
    </w:p>
    <w:p>
      <w:pPr>
        <w:jc w:val="both"/>
        <w:ind w:right="60" w:firstLine="456"/>
        <w:spacing w:after="0" w:line="299" w:lineRule="auto"/>
        <w:rPr>
          <w:sz w:val="20"/>
          <w:szCs w:val="20"/>
          <w:color w:val="auto"/>
        </w:rPr>
      </w:pPr>
      <w:r>
        <w:rPr>
          <w:rFonts w:ascii="Arial" w:cs="Arial" w:eastAsia="Arial" w:hAnsi="Arial"/>
          <w:sz w:val="16"/>
          <w:szCs w:val="16"/>
          <w:color w:val="auto"/>
        </w:rPr>
        <w:t>We have been advised by the underwriters that they propose to offer the shares of common stock to the public at the public offering price set forth on the cover of this prospectus. After the initial offering of the shares of common stock, the underwriters may change the public offering price.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“WYNN.”</w:t>
      </w:r>
    </w:p>
    <w:p>
      <w:pPr>
        <w:spacing w:after="0" w:line="158"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We have granted to the underwriters an option to purchase up to 1,050,000 additional shares of our common stock at the same price per share as they are paying for the shares shown in the table above. These additional shares would cover sales by the underwriters which exceed the total number of shares shown in the table above. The underwriters may exercise this option at any time and from time to time, in whole or in part, within 30 days after the date of this prospectus supplement. To the extent that the underwriters exercise this option, each underwriter will purchase additional shares from us in approximately the same proportion as it purchased the shares shown in the table above. We will pay the expenses associated with the exercise of this option.</w:t>
      </w:r>
    </w:p>
    <w:p>
      <w:pPr>
        <w:spacing w:after="0" w:line="156" w:lineRule="exact"/>
        <w:rPr>
          <w:sz w:val="20"/>
          <w:szCs w:val="20"/>
          <w:color w:val="auto"/>
        </w:rPr>
      </w:pPr>
    </w:p>
    <w:p>
      <w:pPr>
        <w:jc w:val="both"/>
        <w:ind w:right="380" w:firstLine="456"/>
        <w:spacing w:after="0" w:line="238"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the underwriters to us per share of common stock. We have agreed to pay the underwriters the following discounts and commissions, assuming either no exercise or full exercise by the underwriters of the option to purchase additional shares described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ind w:right="1372"/>
              <w:spacing w:after="0"/>
              <w:rPr>
                <w:sz w:val="20"/>
                <w:szCs w:val="20"/>
                <w:color w:val="auto"/>
              </w:rPr>
            </w:pPr>
            <w:r>
              <w:rPr>
                <w:rFonts w:ascii="Arial" w:cs="Arial" w:eastAsia="Arial" w:hAnsi="Arial"/>
                <w:sz w:val="14"/>
                <w:szCs w:val="14"/>
                <w:b w:val="1"/>
                <w:bCs w:val="1"/>
                <w:color w:val="auto"/>
              </w:rPr>
              <w:t>Total Fees</w:t>
            </w:r>
          </w:p>
        </w:tc>
      </w:tr>
      <w:tr>
        <w:trPr>
          <w:trHeight w:val="125"/>
        </w:trPr>
        <w:tc>
          <w:tcPr>
            <w:tcW w:w="47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80" w:type="dxa"/>
            <w:vAlign w:val="bottom"/>
          </w:tcPr>
          <w:p>
            <w:pPr>
              <w:spacing w:after="0" w:line="125" w:lineRule="exact"/>
              <w:rPr>
                <w:sz w:val="20"/>
                <w:szCs w:val="20"/>
                <w:color w:val="auto"/>
              </w:rPr>
            </w:pPr>
            <w:r>
              <w:rPr>
                <w:rFonts w:ascii="Arial" w:cs="Arial" w:eastAsia="Arial" w:hAnsi="Arial"/>
                <w:sz w:val="14"/>
                <w:szCs w:val="14"/>
                <w:b w:val="1"/>
                <w:bCs w:val="1"/>
                <w:color w:val="auto"/>
                <w:w w:val="96"/>
              </w:rPr>
              <w:t>Without Exercise of</w:t>
            </w:r>
          </w:p>
        </w:tc>
        <w:tc>
          <w:tcPr>
            <w:tcW w:w="920" w:type="dxa"/>
            <w:vAlign w:val="bottom"/>
          </w:tcPr>
          <w:p>
            <w:pPr>
              <w:spacing w:after="0"/>
              <w:rPr>
                <w:sz w:val="10"/>
                <w:szCs w:val="10"/>
                <w:color w:val="auto"/>
              </w:rPr>
            </w:pPr>
          </w:p>
        </w:tc>
        <w:tc>
          <w:tcPr>
            <w:tcW w:w="13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With Full Exercise of</w:t>
            </w:r>
          </w:p>
        </w:tc>
      </w:tr>
      <w:tr>
        <w:trPr>
          <w:trHeight w:val="149"/>
        </w:trPr>
        <w:tc>
          <w:tcPr>
            <w:tcW w:w="4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8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Fee per</w:t>
            </w:r>
          </w:p>
        </w:tc>
        <w:tc>
          <w:tcPr>
            <w:tcW w:w="940" w:type="dxa"/>
            <w:vAlign w:val="bottom"/>
          </w:tcPr>
          <w:p>
            <w:pPr>
              <w:spacing w:after="0"/>
              <w:rPr>
                <w:sz w:val="12"/>
                <w:szCs w:val="12"/>
                <w:color w:val="auto"/>
              </w:rPr>
            </w:pPr>
          </w:p>
        </w:tc>
        <w:tc>
          <w:tcPr>
            <w:tcW w:w="12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5"/>
              </w:rPr>
              <w:t>Option to Purchase</w:t>
            </w:r>
          </w:p>
        </w:tc>
        <w:tc>
          <w:tcPr>
            <w:tcW w:w="9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 to Purchase</w:t>
            </w:r>
          </w:p>
        </w:tc>
      </w:tr>
      <w:tr>
        <w:trPr>
          <w:trHeight w:val="165"/>
        </w:trPr>
        <w:tc>
          <w:tcPr>
            <w:tcW w:w="4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Share</w:t>
            </w:r>
          </w:p>
        </w:tc>
        <w:tc>
          <w:tcPr>
            <w:tcW w:w="940" w:type="dxa"/>
            <w:vAlign w:val="bottom"/>
          </w:tcPr>
          <w:p>
            <w:pPr>
              <w:spacing w:after="0"/>
              <w:rPr>
                <w:sz w:val="14"/>
                <w:szCs w:val="14"/>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Additional Shares</w:t>
            </w:r>
          </w:p>
        </w:tc>
        <w:tc>
          <w:tcPr>
            <w:tcW w:w="9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Additional Shares</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Discounts and commissions paid by us</w:t>
            </w:r>
          </w:p>
        </w:tc>
        <w:tc>
          <w:tcPr>
            <w:tcW w:w="2200" w:type="dxa"/>
            <w:vAlign w:val="bottom"/>
            <w:gridSpan w:val="2"/>
            <w:shd w:val="clear" w:color="auto" w:fill="CCEEFF"/>
          </w:tcPr>
          <w:p>
            <w:pPr>
              <w:ind w:left="1720"/>
              <w:spacing w:after="0" w:line="196"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ind w:left="940"/>
              <w:spacing w:after="0" w:line="196" w:lineRule="exact"/>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172"/>
              <w:spacing w:after="0" w:line="196" w:lineRule="exact"/>
              <w:rPr>
                <w:sz w:val="20"/>
                <w:szCs w:val="20"/>
                <w:color w:val="auto"/>
              </w:rPr>
            </w:pPr>
            <w:r>
              <w:rPr>
                <w:rFonts w:ascii="Arial" w:cs="Arial" w:eastAsia="Arial" w:hAnsi="Arial"/>
                <w:sz w:val="18"/>
                <w:szCs w:val="18"/>
                <w:color w:val="auto"/>
              </w:rPr>
              <w:t>$</w:t>
            </w:r>
          </w:p>
        </w:tc>
      </w:tr>
    </w:tbl>
    <w:p>
      <w:pPr>
        <w:spacing w:after="0" w:line="165" w:lineRule="exact"/>
        <w:rPr>
          <w:sz w:val="20"/>
          <w:szCs w:val="20"/>
          <w:color w:val="auto"/>
        </w:rPr>
      </w:pPr>
    </w:p>
    <w:p>
      <w:pPr>
        <w:ind w:left="460"/>
        <w:spacing w:after="0"/>
        <w:tabs>
          <w:tab w:leader="none" w:pos="10200" w:val="left"/>
        </w:tabs>
        <w:rPr>
          <w:sz w:val="20"/>
          <w:szCs w:val="20"/>
          <w:color w:val="auto"/>
        </w:rPr>
      </w:pPr>
      <w:r>
        <w:rPr>
          <w:rFonts w:ascii="Arial" w:cs="Arial" w:eastAsia="Arial" w:hAnsi="Arial"/>
          <w:sz w:val="16"/>
          <w:szCs w:val="16"/>
          <w:color w:val="auto"/>
        </w:rPr>
        <w:t>In addition, we have agreed to pay to Moelis &amp; Company, our financial advisor in connection with this transaction, a fee of $</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share of the total expenses of this offering will be approximately $250,000.</w:t>
      </w:r>
    </w:p>
    <w:p>
      <w:pPr>
        <w:spacing w:after="0" w:line="158"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of 1933, as amended, and to contribute to payments the underwriters may be required to make in respect of any of these liabilities.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269" w:right="239" w:bottom="1440" w:gutter="0" w:footer="0" w:header="0"/>
          <w:type w:val="continuous"/>
        </w:sectPr>
      </w:pPr>
    </w:p>
    <w:bookmarkStart w:id="9" w:name="page10"/>
    <w:bookmarkEnd w:id="9"/>
    <w:p>
      <w:pPr>
        <w:ind w:firstLine="456"/>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Stephen A. Wynn, our Chairman of the Board and Chief Executive Officer and one of our principal stockholders, and Aruze USA, Inc., another of our principal stockholders, have agreed, subject to certain exceptions, not to directly or indirectly offer, sell, pledge, contract to sell, sell any option or contract to purchase, purchase any option or contract to sell, grant any option, right or warrant to purchase, lend or otherwise transfer or dispose of any shares of common stock, shares of common stock which may be issued upon exercise of a stock option or warrant and any other security convertible into or exchangeable for common stock, or enter into any hedging transaction relating to the common stock for a period of 45 days after the date of this prospectus supplement without the prior written consent of Deutsche Bank Securities Inc. and Merrill Lynch, Pierce, Fenner &amp; Smith Incorporated, as representatives of the several underwriters. This consent may be given at any time without public notice. Transfers or dispositions can be made during the lock-up period in the case of gifts, for estate planning purposes or other specified transactions where the donee signs a lock-up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do not intend to confirm sales to any account over which they exercise discretionary authority.</w:t>
      </w:r>
    </w:p>
    <w:p>
      <w:pPr>
        <w:spacing w:after="0" w:line="181"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55" w:lineRule="exact"/>
        <w:rPr>
          <w:sz w:val="20"/>
          <w:szCs w:val="20"/>
          <w:color w:val="auto"/>
        </w:rPr>
      </w:pPr>
    </w:p>
    <w:p>
      <w:pPr>
        <w:jc w:val="both"/>
        <w:ind w:right="240" w:firstLine="456"/>
        <w:spacing w:after="0" w:line="237" w:lineRule="auto"/>
        <w:rPr>
          <w:sz w:val="20"/>
          <w:szCs w:val="20"/>
          <w:color w:val="auto"/>
        </w:rPr>
      </w:pPr>
      <w:r>
        <w:rPr>
          <w:rFonts w:ascii="Arial" w:cs="Arial" w:eastAsia="Arial" w:hAnsi="Arial"/>
          <w:sz w:val="18"/>
          <w:szCs w:val="18"/>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w:t>
      </w:r>
    </w:p>
    <w:p>
      <w:pPr>
        <w:spacing w:after="0" w:line="155"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Naked short sales are any sales in excess of the option to purchase additional shares. The underwriters must close out any naked short position by purchasing shares in the open market. A naked short position is more likely to be created if the underwriters are concerned that there may be downward pressure on the price of the shares in the open market prior to the completion of the offering.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55" w:lineRule="exact"/>
        <w:rPr>
          <w:sz w:val="20"/>
          <w:szCs w:val="20"/>
          <w:color w:val="auto"/>
        </w:rPr>
      </w:pPr>
    </w:p>
    <w:p>
      <w:pPr>
        <w:jc w:val="both"/>
        <w:ind w:right="40" w:firstLine="456"/>
        <w:spacing w:after="0" w:line="237"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may stabilize, maintain or otherwise affect the market price of our common stock. As a result, the price of our common stock may be higher than the price that might otherwise exist in the open market. These transactions may be effected on the Nasdaq Global Select Market, in the over-the-counter market or otherwise.</w:t>
      </w:r>
    </w:p>
    <w:p>
      <w:pPr>
        <w:spacing w:after="0" w:line="15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A prospectus in electronic format may be made available on the Internet web site maintained by Deutsche Bank Securities Inc. (“DBSI”). Other than the prospectus in electronic format, the information on DBSI’s web site and any information contained in any other web site maintained by DBSI is not part of the prospectus supplement or the registration statement of which the prospectus supplement forms a part. The underwriters and certain of their affiliates have performed investment banking, commercial lending and advisory services for us and our affiliates, from time to time, for which they have received customary fees and expenses.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291" w:right="259" w:bottom="1440" w:gutter="0" w:footer="0" w:header="0"/>
        </w:sectPr>
      </w:pPr>
    </w:p>
    <w:bookmarkStart w:id="10" w:name="page11"/>
    <w:bookmarkEnd w:id="10"/>
    <w:p>
      <w:pPr>
        <w:ind w:right="20" w:firstLine="456"/>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Securities Inc. acted as joint lead arranger and joint book-running manager, Deutsche Bank Trust Company Americas, an affiliate of Deutsche Bank Securities Inc., acted as administrative agent, Banc of America Securities LLC, an affiliate of Merrill Lynch, Pierce, Fenner &amp; Smith Incorporated, acted as joint lead arranger and joint book-running manager, Bank of America, N.A., an affiliate of Merrill Lynch, Pierce, Fenner &amp; Smith Incorporated, acted as syndication agent, and certain of the foregoing entities or affiliates of the foregoing entities have made extensions of credit to the Company in connection with a credit facility, dated as of June 21, 2007, as amended, providing for a delayed-draw term loan facility to us in the aggregate principal amount of $1.0 billion.</w:t>
      </w:r>
    </w:p>
    <w:p>
      <w:pPr>
        <w:spacing w:after="0" w:line="156"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Deutsche Bank Securities Inc. acted as lead arranger and joint book-running manager, Deutsche Bank Trust Company Americas, an affiliate of Deutsche Bank Securities, Inc., acted as administrative agent, issuing lender and swing line lender, Banc of America Securities LLC , an affiliate of Merrill Lynch, Pierce, Fenner &amp; Smith Incorporated, acted as lead arranger and joint book running manager, Bank of America, N.A., an affiliate of Merrill Lynch, Pierce, Fenner &amp; Smith Incorporated, acted as syndication agent, J.P. Morgan Securities Inc. acted as arranger and joint book-running manager, JPMorgan Chase Bank, N.A., an affiliate of J.P. Morgan Securities Inc., acted as joint documentation agent, and certain of the foregoing entities or affiliates of the foregoing entities have made extensions of credit to the Company in connection with the amended and restated credit agreement, dated as of August 15, 2006, as amended, providing for revolving credit and term loan borrowings to Wynn Las Vegas, LLC in the aggregate principal amount of $1.125 billion, which may be increased to an aggregate principal amount of $1.425 billion under certain circumstances and upon the satisfaction of certain conditions.</w:t>
      </w:r>
    </w:p>
    <w:p>
      <w:pPr>
        <w:spacing w:after="0" w:line="161"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Deutsche Bank AG, Hong Kong Branch, an affiliate of Deutsche Bank Securities Inc. and Banc of America Securities Asia Limited, an affiliate of Merrill Lynch, Pierce, Fenner &amp; Smith Incorporated, each acted as a global coordinating lead arranger under a $1.550 billion amended credit agreement executed on June 27, 2007 by one of our affiliates.</w:t>
      </w:r>
    </w:p>
    <w:p>
      <w:pPr>
        <w:spacing w:after="0" w:line="154" w:lineRule="exact"/>
        <w:rPr>
          <w:sz w:val="20"/>
          <w:szCs w:val="20"/>
          <w:color w:val="auto"/>
        </w:rPr>
      </w:pPr>
    </w:p>
    <w:p>
      <w:pPr>
        <w:ind w:right="120" w:firstLine="456"/>
        <w:spacing w:after="0" w:line="235" w:lineRule="auto"/>
        <w:rPr>
          <w:sz w:val="20"/>
          <w:szCs w:val="20"/>
          <w:color w:val="auto"/>
        </w:rPr>
      </w:pPr>
      <w:r>
        <w:rPr>
          <w:rFonts w:ascii="Arial" w:cs="Arial" w:eastAsia="Arial" w:hAnsi="Arial"/>
          <w:sz w:val="18"/>
          <w:szCs w:val="18"/>
          <w:color w:val="auto"/>
        </w:rPr>
        <w:t>The underwriters have represented and agreed that (i) they have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they have complied with and will comply with all applicable provisions of the Financial Services Act 1986 with respect to anything done by it in relation to the shares of our common stock in, form or otherwise involving the United Kingdom; and (iii) they have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Certain legal matters regarding the securities being offered hereby will be passed upon for us by Skadden, Arps, Slate, Meagher &amp; Flom LLP, Los Angeles, California. Certain matters of Nevada law, including the validity of the shares of common stock offered hereby, will be passed upon for us by Brownstein Hyatt Farber Schreck, LLP, Las Vegas, Nevada. Certain legal matters in connection with this offering will be passed upon for the underwriters by Latham &amp; Watkins LLP, Los Angeles, California.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291"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EXPERTS</w:t>
      </w:r>
    </w:p>
    <w:p>
      <w:pPr>
        <w:spacing w:after="0" w:line="18"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The consolidated financial statements of Wynn Resorts, Limited appearing in Wynn Resorts, Limited’s Annual Report (Form 10-K) for the year ended December 31, 2008 (including schedules appearing therein) and the effectiveness of Wynn Resorts, Limited’s internal control over financial reporting as of December 31, 2008 have been audited by Ernst &amp; Young LLP, independent registered public accounting firm, as set forth in their reports thereon, and included therein, and incorporated herein by reference. Such consolidated financial statements are incorporated herein by reference in reliance upon such reports given on the authority of such firm as experts in accounting and auditing.</w:t>
      </w:r>
    </w:p>
    <w:p>
      <w:pPr>
        <w:spacing w:after="0" w:line="29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16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on February 5, 2009, March 9, 2009 and March 12, 2009;</w:t>
      </w:r>
    </w:p>
    <w:p>
      <w:pPr>
        <w:spacing w:after="0" w:line="76"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2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269" w:right="279" w:bottom="1440" w:gutter="0" w:footer="0" w:header="0"/>
        </w:sectPr>
      </w:pPr>
    </w:p>
    <w:bookmarkStart w:id="12" w:name="page13"/>
    <w:bookmarkEnd w:id="12"/>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is delivered, a copy of any or all of the information that has been incorporated by reference in this prospectus, but not delivered with this prospectus, without charge to the 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ind w:left="460"/>
        <w:spacing w:after="0" w:line="234" w:lineRule="auto"/>
        <w:rPr>
          <w:sz w:val="20"/>
          <w:szCs w:val="20"/>
          <w:color w:val="auto"/>
        </w:rPr>
      </w:pPr>
      <w:r>
        <w:rPr>
          <w:rFonts w:ascii="Arial" w:cs="Arial" w:eastAsia="Arial" w:hAnsi="Arial"/>
          <w:sz w:val="18"/>
          <w:szCs w:val="18"/>
          <w:color w:val="auto"/>
        </w:rPr>
        <w:t>Las Vegas, Nevada 89109</w:t>
      </w:r>
    </w:p>
    <w:p>
      <w:pPr>
        <w:ind w:left="46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Vice President—Investor Relations</w:t>
      </w:r>
    </w:p>
    <w:p>
      <w:pPr>
        <w:spacing w:after="0" w:line="77"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291"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992755" cy="128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Under this prospectus, we may offer from time to time shares of our common stock to the public.</w:t>
      </w:r>
    </w:p>
    <w:p>
      <w:pPr>
        <w:spacing w:after="0" w:line="26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shares of our common stock.</w:t>
      </w:r>
    </w:p>
    <w:p>
      <w:pPr>
        <w:spacing w:after="0" w:line="26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w:t>
      </w:r>
    </w:p>
    <w:p>
      <w:pPr>
        <w:spacing w:after="0" w:line="24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We urge you to read carefully this prospectus and any prospectus supplement and any other offering material filed or provided by us before you make your investment decision.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risks. See “Risk Factors” on page 1.</w:t>
      </w:r>
    </w:p>
    <w:p>
      <w:pPr>
        <w:spacing w:after="0" w:line="27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is September 27, 2007.</w:t>
      </w:r>
    </w:p>
    <w:p>
      <w:pPr>
        <w:sectPr>
          <w:pgSz w:w="11900" w:h="16838" w:orient="portrait"/>
          <w:cols w:equalWidth="0" w:num="1">
            <w:col w:w="11420"/>
          </w:cols>
          <w:pgMar w:left="240" w:top="26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3"/>
        </w:trPr>
        <w:tc>
          <w:tcPr>
            <w:tcW w:w="4300" w:type="dxa"/>
            <w:vAlign w:val="bottom"/>
          </w:tcPr>
          <w:p>
            <w:pPr>
              <w:spacing w:after="0"/>
              <w:rPr>
                <w:sz w:val="20"/>
                <w:szCs w:val="20"/>
                <w:color w:val="auto"/>
              </w:rPr>
            </w:pPr>
          </w:p>
        </w:tc>
        <w:tc>
          <w:tcPr>
            <w:tcW w:w="712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97"/>
        </w:trPr>
        <w:tc>
          <w:tcPr>
            <w:tcW w:w="4300" w:type="dxa"/>
            <w:vAlign w:val="bottom"/>
          </w:tcPr>
          <w:p>
            <w:pPr>
              <w:spacing w:after="0"/>
              <w:rPr>
                <w:sz w:val="20"/>
                <w:szCs w:val="20"/>
                <w:color w:val="auto"/>
              </w:rPr>
            </w:pPr>
            <w:r>
              <w:rPr>
                <w:rFonts w:ascii="Arial" w:cs="Arial" w:eastAsia="Arial" w:hAnsi="Arial"/>
                <w:sz w:val="18"/>
                <w:szCs w:val="18"/>
                <w:color w:val="auto"/>
              </w:rPr>
              <w:t>ABOUT THIS PROSPECTUS</w:t>
            </w:r>
          </w:p>
        </w:tc>
        <w:tc>
          <w:tcPr>
            <w:tcW w:w="7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RISK FACTORS</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WHERE YOU CAN FIND MORE INFORMATION</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INCORPORATION BY REFERENCE</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FORWARD-LOOKING STATEMENTS</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THE COMPANY</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USE OF PROCEEDS</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LEGAL MATTERS</w:t>
            </w:r>
          </w:p>
        </w:tc>
        <w:tc>
          <w:tcPr>
            <w:tcW w:w="712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r>
      <w:tr>
        <w:trPr>
          <w:trHeight w:val="211"/>
        </w:trPr>
        <w:tc>
          <w:tcPr>
            <w:tcW w:w="4300" w:type="dxa"/>
            <w:vAlign w:val="bottom"/>
          </w:tcPr>
          <w:p>
            <w:pPr>
              <w:spacing w:after="0"/>
              <w:rPr>
                <w:sz w:val="20"/>
                <w:szCs w:val="20"/>
                <w:color w:val="auto"/>
              </w:rPr>
            </w:pPr>
            <w:r>
              <w:rPr>
                <w:rFonts w:ascii="Arial" w:cs="Arial" w:eastAsia="Arial" w:hAnsi="Arial"/>
                <w:sz w:val="18"/>
                <w:szCs w:val="18"/>
                <w:color w:val="auto"/>
              </w:rPr>
              <w:t>EXPERTS</w:t>
            </w:r>
          </w:p>
        </w:tc>
        <w:tc>
          <w:tcPr>
            <w:tcW w:w="71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0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process, we may sell the common stock described in this prospectus in one or more offerings. This prospectus provides you with a general description of the common stock we may offer. Each time we sell common stock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common stock involves risks. You are urged to read and carefully consider the information under the heading “Risk Factors” in our Annual Report on Form 10-K for the year ended December 31, 2006,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 this prospectus. The risks and uncertainties that we have described are not the only ones facing us. The prospectus supplement applicable to each offering of common stock will contain additional information about risks applicable to an investment in us and shares of our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SEC’s Public Reference Room at 100 F Street, N.E., Washington, D.C. 20549. You may obtain information on the operation of the Public Reference Room by calling the SEC at 1-800-SEC-0330. The SEC also maintains 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9" w:right="239" w:bottom="1440" w:gutter="0" w:footer="0" w:header="0"/>
        </w:sectPr>
      </w:pPr>
    </w:p>
    <w:bookmarkStart w:id="15" w:name="page16"/>
    <w:bookmarkEnd w:id="15"/>
    <w:p>
      <w:pPr>
        <w:ind w:right="26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(not an active hyperlink) that contains reports, proxy and information statements, and other information regarding issuers, like Wynn Resorts, that file electronically with the SEC. Our filings with the SEC also may be accessed through our Internet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(not an active hyperlink). Our website, and the information contained in, accessible from or connected to our website, shall not be deemed to be incorporated into, or otherwise constitute a part of, this prospectus.</w:t>
      </w:r>
    </w:p>
    <w:p>
      <w:pPr>
        <w:spacing w:after="0" w:line="29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2007 and June 30, 2007;</w:t>
      </w:r>
    </w:p>
    <w:p>
      <w:pPr>
        <w:spacing w:after="0" w:line="76"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reports on Form 8-K filed on January 11, 2007, February 1, 2007, April 13, 2007, June 7, 2007, June 15, 2007, June 21, 2007, June 29, 2007 and July 5, 2007;</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16" w:name="page17"/>
    <w:bookmarkEnd w:id="16"/>
    <w:p>
      <w:pPr>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ind w:left="900"/>
        <w:spacing w:after="0" w:line="234" w:lineRule="auto"/>
        <w:rPr>
          <w:sz w:val="20"/>
          <w:szCs w:val="20"/>
          <w:color w:val="auto"/>
        </w:rPr>
      </w:pPr>
      <w:r>
        <w:rPr>
          <w:rFonts w:ascii="Arial" w:cs="Arial" w:eastAsia="Arial" w:hAnsi="Arial"/>
          <w:sz w:val="18"/>
          <w:szCs w:val="18"/>
          <w:color w:val="auto"/>
        </w:rPr>
        <w:t>3131 Las Vegas Boulevard South</w:t>
      </w:r>
    </w:p>
    <w:p>
      <w:pPr>
        <w:ind w:left="900"/>
        <w:spacing w:after="0" w:line="235" w:lineRule="auto"/>
        <w:rPr>
          <w:sz w:val="20"/>
          <w:szCs w:val="20"/>
          <w:color w:val="auto"/>
        </w:rPr>
      </w:pPr>
      <w:r>
        <w:rPr>
          <w:rFonts w:ascii="Arial" w:cs="Arial" w:eastAsia="Arial" w:hAnsi="Arial"/>
          <w:sz w:val="18"/>
          <w:szCs w:val="18"/>
          <w:color w:val="auto"/>
        </w:rPr>
        <w:t>Las Vegas, Nevada 89109</w:t>
      </w:r>
    </w:p>
    <w:p>
      <w:pPr>
        <w:ind w:left="90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91" w:right="359" w:bottom="1440" w:gutter="0" w:footer="0" w:header="0"/>
        </w:sectPr>
      </w:pPr>
    </w:p>
    <w:bookmarkStart w:id="17" w:name="page18"/>
    <w:bookmarkEnd w:id="1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This prospectus, including the documents incorporated by reference in this prospectus, contain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prospectus, including the documents incorporated by reference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55" w:lineRule="exact"/>
        <w:rPr>
          <w:sz w:val="20"/>
          <w:szCs w:val="20"/>
          <w:color w:val="auto"/>
        </w:rPr>
      </w:pPr>
    </w:p>
    <w:p>
      <w:pPr>
        <w:ind w:left="780" w:right="36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73" w:lineRule="exact"/>
        <w:rPr>
          <w:rFonts w:ascii="Arial" w:cs="Arial" w:eastAsia="Arial" w:hAnsi="Arial"/>
          <w:sz w:val="18"/>
          <w:szCs w:val="18"/>
          <w:color w:val="auto"/>
        </w:rPr>
      </w:pPr>
    </w:p>
    <w:p>
      <w:pPr>
        <w:ind w:left="780" w:right="84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developing gaming regulatory framework);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69" w:right="319" w:bottom="1440" w:gutter="0" w:footer="0" w:header="0"/>
        </w:sectPr>
      </w:pPr>
    </w:p>
    <w:bookmarkStart w:id="18" w:name="page19"/>
    <w:bookmarkEnd w:id="18"/>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consequences of the war in Iraq and other military conflicts in the Middle East and any future security alerts and/or terrorist attacks.</w:t>
      </w:r>
    </w:p>
    <w:p>
      <w:pPr>
        <w:spacing w:after="0" w:line="18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the sections entitled “Risk Factors” in our Annual Report on Form 10-K for the year ended December 31, 2006,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91" w:right="29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which opened on September 6, 2006. In addition, on April 28, 2006, we commenced construction of Encore at Wynn Las Vegas,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July 2007:</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Approximate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Hotel</w:t>
            </w:r>
          </w:p>
        </w:tc>
        <w:tc>
          <w:tcPr>
            <w:tcW w:w="620" w:type="dxa"/>
            <w:vAlign w:val="bottom"/>
          </w:tcPr>
          <w:p>
            <w:pPr>
              <w:spacing w:after="0"/>
              <w:rPr>
                <w:sz w:val="12"/>
                <w:szCs w:val="12"/>
                <w:color w:val="auto"/>
              </w:rPr>
            </w:pP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Casino</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Rooms &amp;</w:t>
            </w:r>
          </w:p>
        </w:tc>
        <w:tc>
          <w:tcPr>
            <w:tcW w:w="6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Square</w:t>
            </w: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65"/>
        </w:trPr>
        <w:tc>
          <w:tcPr>
            <w:tcW w:w="59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Suites</w:t>
            </w:r>
          </w:p>
        </w:tc>
        <w:tc>
          <w:tcPr>
            <w:tcW w:w="6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Footage</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Games</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Slots</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Wynn Las Vegas</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2,716</w:t>
            </w:r>
          </w:p>
        </w:tc>
        <w:tc>
          <w:tcPr>
            <w:tcW w:w="2060" w:type="dxa"/>
            <w:vAlign w:val="bottom"/>
            <w:gridSpan w:val="3"/>
            <w:shd w:val="clear" w:color="auto" w:fill="CCEEFF"/>
          </w:tcPr>
          <w:p>
            <w:pPr>
              <w:ind w:left="820"/>
              <w:spacing w:after="0" w:line="196" w:lineRule="exact"/>
              <w:rPr>
                <w:sz w:val="20"/>
                <w:szCs w:val="20"/>
                <w:color w:val="auto"/>
              </w:rPr>
            </w:pPr>
            <w:r>
              <w:rPr>
                <w:rFonts w:ascii="Arial" w:cs="Arial" w:eastAsia="Arial" w:hAnsi="Arial"/>
                <w:sz w:val="18"/>
                <w:szCs w:val="18"/>
                <w:color w:val="auto"/>
              </w:rPr>
              <w:t>111,000</w:t>
            </w:r>
          </w:p>
        </w:tc>
        <w:tc>
          <w:tcPr>
            <w:tcW w:w="128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146</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w:t>
            </w: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Wynn Macau</w:t>
            </w: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3"/>
          </w:tcPr>
          <w:p>
            <w:pPr>
              <w:ind w:left="820"/>
              <w:spacing w:after="0"/>
              <w:rPr>
                <w:sz w:val="20"/>
                <w:szCs w:val="20"/>
                <w:color w:val="auto"/>
              </w:rPr>
            </w:pPr>
            <w:r>
              <w:rPr>
                <w:rFonts w:ascii="Arial" w:cs="Arial" w:eastAsia="Arial" w:hAnsi="Arial"/>
                <w:sz w:val="18"/>
                <w:szCs w:val="18"/>
                <w:color w:val="auto"/>
              </w:rPr>
              <w:t>130,000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283</w:t>
            </w:r>
          </w:p>
        </w:tc>
        <w:tc>
          <w:tcPr>
            <w:tcW w:w="680" w:type="dxa"/>
            <w:vAlign w:val="bottom"/>
          </w:tcPr>
          <w:p>
            <w:pPr>
              <w:jc w:val="right"/>
              <w:spacing w:after="0"/>
              <w:rPr>
                <w:sz w:val="20"/>
                <w:szCs w:val="20"/>
                <w:color w:val="auto"/>
              </w:rPr>
            </w:pPr>
            <w:r>
              <w:rPr>
                <w:rFonts w:ascii="Arial" w:cs="Arial" w:eastAsia="Arial" w:hAnsi="Arial"/>
                <w:sz w:val="18"/>
                <w:szCs w:val="18"/>
                <w:color w:val="auto"/>
              </w:rPr>
              <w:t>708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0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73"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and Mobil Five Star award-winning restaurant, Alex;</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76"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Jean-Paul Gaultier, Louis Vuitton and Manolo Blahnik;</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five swimming pools, private cabanas and full service spa and salon;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58"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69"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Encore at Wynn Las Vegas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is located on 11 acres of a total site area of 16 acres of land and features:</w:t>
      </w:r>
    </w:p>
    <w:p>
      <w:pPr>
        <w:spacing w:after="0" w:line="7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approximately 130,000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Bulgari, Chanel, Dior, Fendi, Giorgio Armani, Louis Vuitton, Piaget, Prada, Tiffany, and others;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Construction and development continues on the second phase. This phase includes additional gaming space, a dramatic front feature attraction, a theater showroom and additional food, beverage and retail amenities. In September 2007, we opened approximately 20,000 square feet of additional gaming space and one restaurant at Wynn Macau in this second phase. The remaining portion of the expansion is expected to open by Chinese New Year, 2008. After the completion of the expansion, Wynn Macau is expected to have a total of approximately 380 table games and 1,200 slot machines.</w:t>
      </w:r>
    </w:p>
    <w:p>
      <w:pPr>
        <w:spacing w:after="0" w:line="15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In July 2007, Wynn Macau S.A. issued a notice to proceed to the general contractor with respect to approximately $347.8 million of construction costs relating to the construction of Wynn Diamond Suites. While the complete project budget is still being finalized, we expect the costs to be in the range of $550 to $600 million. We expect Wynn Diamond Suites to open to the public in the first half of 2010. First announced in November 2006, Wynn Diamond Suites will be fully integrated into Wynn Macau and is expected to have 400 luxury suites and villas.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Development</w:t>
      </w:r>
    </w:p>
    <w:p>
      <w:pPr>
        <w:spacing w:after="0" w:line="9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69"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8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Unless otherwise specified in connection with the particular offering of common stock, certain legal matters regarding the offering of the common stock pursuant to this prospectus will be passed upon for us by Brownstein Hyatt Farber Schreck, P.C., Las Vegas, Nevada.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6"/>
          <w:szCs w:val="16"/>
          <w:color w:val="auto"/>
        </w:rPr>
        <w:t>The consolidated financial statements of Wynn Resorts, Limited appearing in Wynn Resorts, Limited’s Annual Report on Form 10-K for the year ended December 31, 2006 (including financial statement schedules appearing therein) and Wynn Resorts, Limited’s management’s assessment of the effectiveness of internal control over financial reporting as of December 31, 2006 included therein, have been audited by Ernst</w:t>
      </w:r>
    </w:p>
    <w:p>
      <w:pPr>
        <w:spacing w:after="0" w:line="1" w:lineRule="exact"/>
        <w:rPr>
          <w:sz w:val="20"/>
          <w:szCs w:val="20"/>
          <w:color w:val="auto"/>
        </w:rPr>
      </w:pPr>
    </w:p>
    <w:p>
      <w:pPr>
        <w:jc w:val="both"/>
        <w:ind w:right="420" w:firstLine="8"/>
        <w:spacing w:after="0" w:line="238" w:lineRule="auto"/>
        <w:tabs>
          <w:tab w:leader="none" w:pos="1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and related financial statement schedules, of Wynn Resorts, Limited as of the year ended</w:t>
      </w:r>
    </w:p>
    <w:p>
      <w:pPr>
        <w:spacing w:after="0"/>
        <w:rPr>
          <w:sz w:val="20"/>
          <w:szCs w:val="20"/>
          <w:color w:val="auto"/>
        </w:rPr>
      </w:pPr>
      <w:r>
        <w:rPr>
          <w:rFonts w:ascii="Arial" w:cs="Arial" w:eastAsia="Arial" w:hAnsi="Arial"/>
          <w:sz w:val="16"/>
          <w:szCs w:val="16"/>
          <w:color w:val="auto"/>
        </w:rPr>
        <w:t>December 31, 2005 and for each of the two years in the period ended December 31, 2005, incorporated in this prospectus by reference from Wynn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Resorts’ Annual Report on Form 10-K for the year ended December 31, 2006, have been audited by Deloitte &amp; Touche LLP, an independent</w:t>
      </w:r>
    </w:p>
    <w:p>
      <w:pPr>
        <w:spacing w:after="0"/>
        <w:rPr>
          <w:sz w:val="20"/>
          <w:szCs w:val="20"/>
          <w:color w:val="auto"/>
        </w:rPr>
      </w:pPr>
      <w:r>
        <w:rPr>
          <w:rFonts w:ascii="Arial" w:cs="Arial" w:eastAsia="Arial" w:hAnsi="Arial"/>
          <w:sz w:val="16"/>
          <w:szCs w:val="16"/>
          <w:color w:val="auto"/>
        </w:rPr>
        <w:t>registered public accounting firm, as stated in their report, which is incorporated herein by reference and has been so incorporated in reliance upon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report of such firm given upon their authority as experts in accounting and auditing.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22" w:name="page23"/>
    <w:bookmarkEnd w:id="22"/>
    <w:p>
      <w:pPr>
        <w:ind w:right="40"/>
        <w:spacing w:after="0" w:line="28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should rely only on the information contained in or incorporated by reference in this prospectus supplement and the accompanying prospectus. We have not authorized anyone to provide you with different information. We are offering to sell, and seeking offers to buy, shares of common stock only in jurisdictions where offers and sales are permitted. The information contained in this prospectus supplement and the accompanying prospectus is accurate only as of the date of this prospectus supplement, regardless of the time of delivery of this prospectus supplement or the accompanying prospectus or of any sale of our common stock.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7060" w:type="dxa"/>
            <w:vAlign w:val="bottom"/>
            <w:gridSpan w:val="2"/>
          </w:tcPr>
          <w:p>
            <w:pPr>
              <w:jc w:val="right"/>
              <w:ind w:right="4674"/>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4360" w:type="dxa"/>
            <w:vAlign w:val="bottom"/>
          </w:tcPr>
          <w:p>
            <w:pPr>
              <w:spacing w:after="0"/>
              <w:rPr>
                <w:sz w:val="24"/>
                <w:szCs w:val="24"/>
                <w:color w:val="auto"/>
              </w:rPr>
            </w:pPr>
          </w:p>
        </w:tc>
        <w:tc>
          <w:tcPr>
            <w:tcW w:w="7060" w:type="dxa"/>
            <w:vAlign w:val="bottom"/>
            <w:gridSpan w:val="2"/>
          </w:tcPr>
          <w:p>
            <w:pPr>
              <w:jc w:val="right"/>
              <w:ind w:right="4614"/>
              <w:spacing w:after="0"/>
              <w:rPr>
                <w:sz w:val="20"/>
                <w:szCs w:val="20"/>
                <w:color w:val="auto"/>
              </w:rPr>
            </w:pPr>
            <w:r>
              <w:rPr>
                <w:rFonts w:ascii="Arial" w:cs="Arial" w:eastAsia="Arial" w:hAnsi="Arial"/>
                <w:sz w:val="18"/>
                <w:szCs w:val="18"/>
                <w:b w:val="1"/>
                <w:bCs w:val="1"/>
                <w:color w:val="auto"/>
              </w:rPr>
              <w:t>Prospectus Supplement</w:t>
            </w:r>
          </w:p>
        </w:tc>
      </w:tr>
      <w:tr>
        <w:trPr>
          <w:trHeight w:val="340"/>
        </w:trPr>
        <w:tc>
          <w:tcPr>
            <w:tcW w:w="43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Page</w:t>
            </w: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About This Prospectus Supplement</w:t>
            </w:r>
          </w:p>
        </w:tc>
        <w:tc>
          <w:tcPr>
            <w:tcW w:w="60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S-1</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Risk Factors</w:t>
            </w:r>
          </w:p>
        </w:tc>
        <w:tc>
          <w:tcPr>
            <w:tcW w:w="60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S-2</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 of Proceeds</w:t>
            </w:r>
          </w:p>
        </w:tc>
        <w:tc>
          <w:tcPr>
            <w:tcW w:w="60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S-5</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Price Range of Common Stock and Dividend Policy</w:t>
            </w:r>
          </w:p>
        </w:tc>
        <w:tc>
          <w:tcPr>
            <w:tcW w:w="60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S-6</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Underwriting</w:t>
            </w:r>
          </w:p>
        </w:tc>
        <w:tc>
          <w:tcPr>
            <w:tcW w:w="60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S-8</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Legal Matters</w:t>
            </w:r>
          </w:p>
        </w:tc>
        <w:tc>
          <w:tcPr>
            <w:tcW w:w="60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S-10</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Experts</w:t>
            </w:r>
          </w:p>
        </w:tc>
        <w:tc>
          <w:tcPr>
            <w:tcW w:w="60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S-11</w:t>
            </w:r>
          </w:p>
        </w:tc>
      </w:tr>
      <w:tr>
        <w:trPr>
          <w:trHeight w:val="214"/>
        </w:trPr>
        <w:tc>
          <w:tcPr>
            <w:tcW w:w="4360" w:type="dxa"/>
            <w:vAlign w:val="bottom"/>
          </w:tcPr>
          <w:p>
            <w:pPr>
              <w:spacing w:after="0"/>
              <w:rPr>
                <w:sz w:val="20"/>
                <w:szCs w:val="20"/>
                <w:color w:val="auto"/>
              </w:rPr>
            </w:pPr>
            <w:r>
              <w:rPr>
                <w:rFonts w:ascii="Arial" w:cs="Arial" w:eastAsia="Arial" w:hAnsi="Arial"/>
                <w:sz w:val="18"/>
                <w:szCs w:val="18"/>
                <w:color w:val="auto"/>
              </w:rPr>
              <w:t>Incorporation by Reference</w:t>
            </w:r>
          </w:p>
        </w:tc>
        <w:tc>
          <w:tcPr>
            <w:tcW w:w="60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S-11</w:t>
            </w: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20" w:type="dxa"/>
            <w:vAlign w:val="bottom"/>
          </w:tcPr>
          <w:p>
            <w:pPr>
              <w:spacing w:after="0"/>
              <w:rPr>
                <w:sz w:val="20"/>
                <w:szCs w:val="20"/>
                <w:color w:val="auto"/>
              </w:rPr>
            </w:pPr>
          </w:p>
        </w:tc>
        <w:tc>
          <w:tcPr>
            <w:tcW w:w="690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Prospectus</w:t>
            </w:r>
          </w:p>
        </w:tc>
      </w:tr>
      <w:tr>
        <w:trPr>
          <w:trHeight w:val="340"/>
        </w:trPr>
        <w:tc>
          <w:tcPr>
            <w:tcW w:w="45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96"/>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ABOUT THIS PROSPECTUS</w:t>
            </w:r>
          </w:p>
        </w:tc>
        <w:tc>
          <w:tcPr>
            <w:tcW w:w="6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RISK FACTORS</w:t>
            </w:r>
          </w:p>
        </w:tc>
        <w:tc>
          <w:tcPr>
            <w:tcW w:w="6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WHERE YOU CAN FIND MORE INFORMATION</w:t>
            </w:r>
          </w:p>
        </w:tc>
        <w:tc>
          <w:tcPr>
            <w:tcW w:w="6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INCORPORATION BY REFERENCE</w:t>
            </w:r>
          </w:p>
        </w:tc>
        <w:tc>
          <w:tcPr>
            <w:tcW w:w="6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FORWARD-LOOKING STATEMENTS</w:t>
            </w:r>
          </w:p>
        </w:tc>
        <w:tc>
          <w:tcPr>
            <w:tcW w:w="6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THE COMPANY</w:t>
            </w:r>
          </w:p>
        </w:tc>
        <w:tc>
          <w:tcPr>
            <w:tcW w:w="6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USE OF PROCEEDS</w:t>
            </w:r>
          </w:p>
        </w:tc>
        <w:tc>
          <w:tcPr>
            <w:tcW w:w="6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rPr>
              <w:t>LEGAL MATTERS</w:t>
            </w:r>
          </w:p>
        </w:tc>
        <w:tc>
          <w:tcPr>
            <w:tcW w:w="6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EXPERTS</w:t>
            </w:r>
          </w:p>
        </w:tc>
        <w:tc>
          <w:tcPr>
            <w:tcW w:w="6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2992755" cy="128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7,000,000 Shares</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Deutsche Bank Securities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Merrill Lynch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J.P.Morgan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4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March</w:t>
        <w:tab/>
        <w:t>, 2009</w:t>
      </w:r>
    </w:p>
    <w:sectPr>
      <w:pgSz w:w="11900" w:h="16838" w:orient="portrait"/>
      <w:cols w:equalWidth="0" w:num="1">
        <w:col w:w="11420"/>
      </w:cols>
      <w:pgMar w:left="240" w:top="809"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2019-12-10T21:32:25Z</dcterms:created>
  <dcterms:modified xsi:type="dcterms:W3CDTF">2019-12-10T21:32:25Z</dcterms:modified>
</cp:coreProperties>
</file>