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Pursuant to Section 13 or 15(d) of</w:t>
      </w:r>
    </w:p>
    <w:p>
      <w:pPr>
        <w:jc w:val="center"/>
        <w:ind w:right="-99"/>
        <w:spacing w:after="0"/>
        <w:rPr>
          <w:sz w:val="20"/>
          <w:szCs w:val="20"/>
          <w:color w:val="auto"/>
        </w:rPr>
      </w:pPr>
      <w:r>
        <w:rPr>
          <w:rFonts w:ascii="Arial" w:cs="Arial" w:eastAsia="Arial" w:hAnsi="Arial"/>
          <w:sz w:val="20"/>
          <w:szCs w:val="20"/>
          <w:b w:val="1"/>
          <w:bCs w:val="1"/>
          <w:color w:val="auto"/>
        </w:rPr>
        <w:t>The Securities Exchange Act of 1934</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Date of Report (Date of Earliest Event Reported):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September 11, 2008</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(Exact Name of Registrant as specified in Charter)</w:t>
      </w:r>
    </w:p>
    <w:p>
      <w:pPr>
        <w:sectPr>
          <w:pgSz w:w="11900" w:h="16838" w:orient="portrait"/>
          <w:cols w:equalWidth="0" w:num="1">
            <w:col w:w="11320"/>
          </w:cols>
          <w:pgMar w:left="240" w:top="549" w:right="339" w:bottom="1440" w:gutter="0" w:footer="0" w:header="0"/>
        </w:sectPr>
      </w:pPr>
    </w:p>
    <w:p>
      <w:pPr>
        <w:spacing w:after="0" w:line="232" w:lineRule="exact"/>
        <w:rPr>
          <w:sz w:val="24"/>
          <w:szCs w:val="24"/>
          <w:color w:val="auto"/>
        </w:rPr>
      </w:pPr>
    </w:p>
    <w:p>
      <w:pPr>
        <w:ind w:left="160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40"/>
        <w:spacing w:after="0"/>
        <w:rPr>
          <w:sz w:val="20"/>
          <w:szCs w:val="20"/>
          <w:color w:val="auto"/>
        </w:rPr>
      </w:pPr>
      <w:r>
        <w:rPr>
          <w:rFonts w:ascii="Arial" w:cs="Arial" w:eastAsia="Arial" w:hAnsi="Arial"/>
          <w:sz w:val="20"/>
          <w:szCs w:val="20"/>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46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(Commission File</w:t>
      </w:r>
    </w:p>
    <w:p>
      <w:pPr>
        <w:spacing w:after="0" w:line="23" w:lineRule="exact"/>
        <w:rPr>
          <w:sz w:val="24"/>
          <w:szCs w:val="24"/>
          <w:color w:val="auto"/>
        </w:rPr>
      </w:pPr>
    </w:p>
    <w:p>
      <w:pPr>
        <w:jc w:val="center"/>
        <w:ind w:right="1460"/>
        <w:spacing w:after="0"/>
        <w:rPr>
          <w:sz w:val="20"/>
          <w:szCs w:val="20"/>
          <w:color w:val="auto"/>
        </w:rPr>
      </w:pPr>
      <w:r>
        <w:rPr>
          <w:rFonts w:ascii="Arial" w:cs="Arial" w:eastAsia="Arial" w:hAnsi="Arial"/>
          <w:sz w:val="20"/>
          <w:szCs w:val="20"/>
          <w:color w:val="auto"/>
        </w:rPr>
        <w:t>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00"/>
        <w:spacing w:after="0"/>
        <w:rPr>
          <w:sz w:val="20"/>
          <w:szCs w:val="20"/>
          <w:color w:val="auto"/>
        </w:rPr>
      </w:pPr>
      <w:r>
        <w:rPr>
          <w:rFonts w:ascii="Arial" w:cs="Arial" w:eastAsia="Arial" w:hAnsi="Arial"/>
          <w:sz w:val="20"/>
          <w:szCs w:val="20"/>
          <w:b w:val="1"/>
          <w:bCs w:val="1"/>
          <w:color w:val="auto"/>
        </w:rPr>
        <w:t>46-0484987</w:t>
      </w:r>
    </w:p>
    <w:p>
      <w:pPr>
        <w:spacing w:after="0" w:line="21" w:lineRule="exact"/>
        <w:rPr>
          <w:sz w:val="24"/>
          <w:szCs w:val="24"/>
          <w:color w:val="auto"/>
        </w:rPr>
      </w:pPr>
    </w:p>
    <w:p>
      <w:pPr>
        <w:jc w:val="center"/>
        <w:ind w:right="600"/>
        <w:spacing w:after="0"/>
        <w:rPr>
          <w:sz w:val="20"/>
          <w:szCs w:val="20"/>
          <w:color w:val="auto"/>
        </w:rPr>
      </w:pPr>
      <w:r>
        <w:rPr>
          <w:rFonts w:ascii="Arial" w:cs="Arial" w:eastAsia="Arial" w:hAnsi="Arial"/>
          <w:sz w:val="20"/>
          <w:szCs w:val="20"/>
          <w:color w:val="auto"/>
        </w:rPr>
        <w:t>(I.R.S. Employer</w:t>
      </w:r>
    </w:p>
    <w:p>
      <w:pPr>
        <w:jc w:val="center"/>
        <w:ind w:right="600"/>
        <w:spacing w:after="0"/>
        <w:rPr>
          <w:sz w:val="20"/>
          <w:szCs w:val="20"/>
          <w:color w:val="auto"/>
        </w:rPr>
      </w:pPr>
      <w:r>
        <w:rPr>
          <w:rFonts w:ascii="Arial" w:cs="Arial" w:eastAsia="Arial" w:hAnsi="Arial"/>
          <w:sz w:val="18"/>
          <w:szCs w:val="18"/>
          <w:color w:val="auto"/>
        </w:rPr>
        <w:t>Identification Number)</w:t>
      </w:r>
    </w:p>
    <w:p>
      <w:pPr>
        <w:spacing w:after="0" w:line="222" w:lineRule="exact"/>
        <w:rPr>
          <w:sz w:val="24"/>
          <w:szCs w:val="24"/>
          <w:color w:val="auto"/>
        </w:rPr>
      </w:pPr>
    </w:p>
    <w:p>
      <w:pPr>
        <w:sectPr>
          <w:pgSz w:w="11900" w:h="16838" w:orient="portrait"/>
          <w:cols w:equalWidth="0" w:num="3">
            <w:col w:w="4560" w:space="720"/>
            <w:col w:w="2880" w:space="720"/>
            <w:col w:w="2440"/>
          </w:cols>
          <w:pgMar w:left="240" w:top="549" w:right="339" w:bottom="1440" w:gutter="0" w:footer="0" w:header="0"/>
          <w:type w:val="continuous"/>
        </w:sectPr>
      </w:pP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Las Vegas, Nevada 89109</w:t>
      </w:r>
    </w:p>
    <w:p>
      <w:pPr>
        <w:jc w:val="center"/>
        <w:ind w:right="-99"/>
        <w:spacing w:after="0"/>
        <w:rPr>
          <w:sz w:val="20"/>
          <w:szCs w:val="20"/>
          <w:color w:val="auto"/>
        </w:rPr>
      </w:pPr>
      <w:r>
        <w:rPr>
          <w:rFonts w:ascii="Arial" w:cs="Arial" w:eastAsia="Arial" w:hAnsi="Arial"/>
          <w:sz w:val="18"/>
          <w:szCs w:val="18"/>
          <w:color w:val="auto"/>
        </w:rPr>
        <w:t>(Address of principal executive offices) (Zip Code)</w:t>
      </w:r>
    </w:p>
    <w:p>
      <w:pPr>
        <w:spacing w:after="0" w:line="244"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20"/>
          </w:cols>
          <w:pgMar w:left="240" w:top="549" w:right="339" w:bottom="1440" w:gutter="0" w:footer="0" w:header="0"/>
          <w:type w:val="continuous"/>
        </w:sectPr>
      </w:pPr>
    </w:p>
    <w:p>
      <w:pPr>
        <w:spacing w:after="0" w:line="267"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20"/>
          </w:cols>
          <w:pgMar w:left="240" w:top="549" w:right="339" w:bottom="1440" w:gutter="0" w:footer="0" w:header="0"/>
          <w:type w:val="continuous"/>
        </w:sectPr>
      </w:pPr>
    </w:p>
    <w:p>
      <w:pPr>
        <w:spacing w:after="0" w:line="273"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99" w:lineRule="exact"/>
        <w:rPr>
          <w:sz w:val="24"/>
          <w:szCs w:val="24"/>
          <w:color w:val="auto"/>
        </w:rPr>
      </w:pPr>
    </w:p>
    <w:p>
      <w:pPr>
        <w:ind w:left="240" w:hanging="232"/>
        <w:spacing w:after="0"/>
        <w:tabs>
          <w:tab w:leader="none" w:pos="2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Written communications pursuant to Rule 425 under the Securities Act (17 CFR 230.425)</w:t>
      </w:r>
    </w:p>
    <w:p>
      <w:pPr>
        <w:spacing w:after="0" w:line="233" w:lineRule="exact"/>
        <w:rPr>
          <w:sz w:val="24"/>
          <w:szCs w:val="24"/>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Soliciting material pursuant to Rule 14a-12 under the Exchange Act (17 CFR 240.14a-12)</w:t>
      </w:r>
    </w:p>
    <w:p>
      <w:pPr>
        <w:spacing w:after="0" w:line="233"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  ] </w:t>
      </w:r>
      <w:r>
        <w:rPr>
          <w:rFonts w:ascii="Arial" w:cs="Arial" w:eastAsia="Arial" w:hAnsi="Arial"/>
          <w:sz w:val="19"/>
          <w:szCs w:val="19"/>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871220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4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39"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On September 11, 2008, Wynn Resorts, Limited (the “Company”) entered into a third amendment to the Employment Agreement, dated as of October 4, 2002, as amended, between the Company and Stephen A. Wynn (“Mr. Wynn”), the Company’s Chairman and Chief Executive Officer. The third amendment extends the term of Mr. Wynn’s employment agreement to October 24,</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2020. All other terms of Mr. Wynn’s employment agreement remain unchanged. The foregoing description of the amendment to Mr. Wynn’s employment agreement, which is attached hereto as Exhibit 10.1, is qualified in its entirety by reference to the text of such amendment, which is incorporated herein by reference.</w:t>
      </w:r>
    </w:p>
    <w:p>
      <w:pPr>
        <w:spacing w:after="0" w:line="208" w:lineRule="exact"/>
        <w:rPr>
          <w:sz w:val="20"/>
          <w:szCs w:val="20"/>
          <w:color w:val="auto"/>
        </w:rPr>
      </w:pPr>
    </w:p>
    <w:p>
      <w:pPr>
        <w:ind w:right="104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contained in Item 1.01 of this report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33" w:lineRule="exact"/>
        <w:rPr>
          <w:sz w:val="20"/>
          <w:szCs w:val="20"/>
          <w:color w:val="auto"/>
        </w:rPr>
      </w:pPr>
    </w:p>
    <w:p>
      <w:pPr>
        <w:ind w:left="1160" w:hanging="607"/>
        <w:spacing w:after="0" w:line="251" w:lineRule="auto"/>
        <w:tabs>
          <w:tab w:leader="none" w:pos="1140" w:val="left"/>
        </w:tabs>
        <w:rPr>
          <w:sz w:val="20"/>
          <w:szCs w:val="20"/>
          <w:color w:val="auto"/>
        </w:rPr>
      </w:pPr>
      <w:r>
        <w:rPr>
          <w:rFonts w:ascii="Arial" w:cs="Arial" w:eastAsia="Arial" w:hAnsi="Arial"/>
          <w:sz w:val="22"/>
          <w:szCs w:val="22"/>
          <w:color w:val="auto"/>
        </w:rPr>
        <w:t>10.1</w:t>
        <w:tab/>
        <w:t>Third Amendment to Employment Agreement, dated as of September 11, 2008, between Wynn Resorts, Limited and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516255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98"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September 12, 2008</w:t>
      </w:r>
    </w:p>
    <w:p>
      <w:pPr>
        <w:spacing w:after="0" w:line="233"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WYNN RESORTS, LIMITED</w:t>
      </w:r>
    </w:p>
    <w:p>
      <w:pPr>
        <w:spacing w:after="0" w:line="206"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7620</wp:posOffset>
            </wp:positionV>
            <wp:extent cx="35502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2"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Matt Maddox</w:t>
      </w:r>
    </w:p>
    <w:p>
      <w:pPr>
        <w:ind w:left="5820"/>
        <w:spacing w:after="0" w:line="234" w:lineRule="auto"/>
        <w:rPr>
          <w:sz w:val="20"/>
          <w:szCs w:val="20"/>
          <w:color w:val="auto"/>
        </w:rPr>
      </w:pPr>
      <w:r>
        <w:rPr>
          <w:rFonts w:ascii="Arial" w:cs="Arial" w:eastAsia="Arial" w:hAnsi="Arial"/>
          <w:sz w:val="22"/>
          <w:szCs w:val="22"/>
          <w:color w:val="auto"/>
        </w:rPr>
        <w:t>Chief Financial Officer and</w:t>
      </w:r>
    </w:p>
    <w:p>
      <w:pPr>
        <w:ind w:left="6000"/>
        <w:spacing w:after="0"/>
        <w:rPr>
          <w:sz w:val="20"/>
          <w:szCs w:val="20"/>
          <w:color w:val="auto"/>
        </w:rPr>
      </w:pPr>
      <w:r>
        <w:rPr>
          <w:rFonts w:ascii="Arial" w:cs="Arial" w:eastAsia="Arial" w:hAnsi="Arial"/>
          <w:sz w:val="22"/>
          <w:szCs w:val="22"/>
          <w:color w:val="auto"/>
        </w:rPr>
        <w:t>Treasurer</w:t>
      </w:r>
    </w:p>
    <w:p>
      <w:pPr>
        <w:sectPr>
          <w:pgSz w:w="11900" w:h="16838" w:orient="portrait"/>
          <w:cols w:equalWidth="0" w:num="1">
            <w:col w:w="11420"/>
          </w:cols>
          <w:pgMar w:left="240" w:top="11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EMPLOYMENT AGREEMENT</w:t>
      </w:r>
    </w:p>
    <w:p>
      <w:pPr>
        <w:spacing w:after="0" w:line="200" w:lineRule="exact"/>
        <w:rPr>
          <w:sz w:val="20"/>
          <w:szCs w:val="20"/>
          <w:color w:val="auto"/>
        </w:rPr>
      </w:pPr>
    </w:p>
    <w:p>
      <w:pPr>
        <w:spacing w:after="0" w:line="276" w:lineRule="exact"/>
        <w:rPr>
          <w:sz w:val="20"/>
          <w:szCs w:val="20"/>
          <w:color w:val="auto"/>
        </w:rPr>
      </w:pPr>
    </w:p>
    <w:p>
      <w:pPr>
        <w:ind w:right="40" w:firstLine="1351"/>
        <w:spacing w:after="0" w:line="301" w:lineRule="auto"/>
        <w:rPr>
          <w:sz w:val="20"/>
          <w:szCs w:val="20"/>
          <w:color w:val="auto"/>
        </w:rPr>
      </w:pPr>
      <w:r>
        <w:rPr>
          <w:rFonts w:ascii="Arial" w:cs="Arial" w:eastAsia="Arial" w:hAnsi="Arial"/>
          <w:sz w:val="19"/>
          <w:szCs w:val="19"/>
          <w:color w:val="auto"/>
        </w:rPr>
        <w:t>This THIRD AMENDMENT TO EMPLOYMENT AGREEMENT (this “</w:t>
      </w:r>
      <w:r>
        <w:rPr>
          <w:rFonts w:ascii="Arial" w:cs="Arial" w:eastAsia="Arial" w:hAnsi="Arial"/>
          <w:sz w:val="19"/>
          <w:szCs w:val="19"/>
          <w:b w:val="1"/>
          <w:bCs w:val="1"/>
          <w:color w:val="auto"/>
        </w:rPr>
        <w:t>Amendment</w:t>
      </w:r>
      <w:r>
        <w:rPr>
          <w:rFonts w:ascii="Arial" w:cs="Arial" w:eastAsia="Arial" w:hAnsi="Arial"/>
          <w:sz w:val="19"/>
          <w:szCs w:val="19"/>
          <w:color w:val="auto"/>
        </w:rPr>
        <w:t>”) is entered into on the 11th day of September 2008, by and between Wynn Resorts, Limited (“</w:t>
      </w:r>
      <w:r>
        <w:rPr>
          <w:rFonts w:ascii="Arial" w:cs="Arial" w:eastAsia="Arial" w:hAnsi="Arial"/>
          <w:sz w:val="19"/>
          <w:szCs w:val="19"/>
          <w:b w:val="1"/>
          <w:bCs w:val="1"/>
          <w:color w:val="auto"/>
        </w:rPr>
        <w:t>Employer</w:t>
      </w:r>
      <w:r>
        <w:rPr>
          <w:rFonts w:ascii="Arial" w:cs="Arial" w:eastAsia="Arial" w:hAnsi="Arial"/>
          <w:sz w:val="19"/>
          <w:szCs w:val="19"/>
          <w:color w:val="auto"/>
        </w:rPr>
        <w:t>”) and Stephen A. Wynn (“</w:t>
      </w:r>
      <w:r>
        <w:rPr>
          <w:rFonts w:ascii="Arial" w:cs="Arial" w:eastAsia="Arial" w:hAnsi="Arial"/>
          <w:sz w:val="19"/>
          <w:szCs w:val="19"/>
          <w:b w:val="1"/>
          <w:bCs w:val="1"/>
          <w:color w:val="auto"/>
        </w:rPr>
        <w:t>Employee</w:t>
      </w:r>
      <w:r>
        <w:rPr>
          <w:rFonts w:ascii="Arial" w:cs="Arial" w:eastAsia="Arial" w:hAnsi="Arial"/>
          <w:sz w:val="19"/>
          <w:szCs w:val="19"/>
          <w:color w:val="auto"/>
        </w:rPr>
        <w:t>”). Capitalized terms that are not defined herein shall have the meanings ascribed to them in the Agreement (as defined below).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0" w:lineRule="exact"/>
        <w:rPr>
          <w:sz w:val="20"/>
          <w:szCs w:val="20"/>
          <w:color w:val="auto"/>
        </w:rPr>
      </w:pPr>
    </w:p>
    <w:p>
      <w:pPr>
        <w:spacing w:after="0" w:line="282" w:lineRule="exact"/>
        <w:rPr>
          <w:sz w:val="20"/>
          <w:szCs w:val="20"/>
          <w:color w:val="auto"/>
        </w:rPr>
      </w:pPr>
    </w:p>
    <w:p>
      <w:pPr>
        <w:ind w:right="100" w:firstLine="8"/>
        <w:spacing w:after="0" w:line="258" w:lineRule="auto"/>
        <w:tabs>
          <w:tab w:leader="none" w:pos="804" w:val="left"/>
        </w:tabs>
        <w:numPr>
          <w:ilvl w:val="0"/>
          <w:numId w:val="4"/>
        </w:numPr>
        <w:rPr>
          <w:rFonts w:ascii="Arial" w:cs="Arial" w:eastAsia="Arial" w:hAnsi="Arial"/>
          <w:sz w:val="21"/>
          <w:szCs w:val="21"/>
          <w:color w:val="auto"/>
        </w:rPr>
      </w:pPr>
      <w:r>
        <w:rPr>
          <w:rFonts w:ascii="Arial" w:cs="Arial" w:eastAsia="Arial" w:hAnsi="Arial"/>
          <w:sz w:val="21"/>
          <w:szCs w:val="21"/>
          <w:color w:val="auto"/>
        </w:rPr>
        <w:t>Employer and Employee have entered into that certain Employment Agreement, dated as of October 4, 2002, as amended by that certain First Amendment to Employment Agreement dated August 6, 2004 and as further amended by that certain Second Amendment to Employment Agreement dated January 31, 2007 (collectively, the “</w:t>
      </w:r>
      <w:r>
        <w:rPr>
          <w:rFonts w:ascii="Arial" w:cs="Arial" w:eastAsia="Arial" w:hAnsi="Arial"/>
          <w:sz w:val="21"/>
          <w:szCs w:val="21"/>
          <w:b w:val="1"/>
          <w:bCs w:val="1"/>
          <w:color w:val="auto"/>
        </w:rPr>
        <w:t>Agreement</w:t>
      </w:r>
      <w:r>
        <w:rPr>
          <w:rFonts w:ascii="Arial" w:cs="Arial" w:eastAsia="Arial" w:hAnsi="Arial"/>
          <w:sz w:val="21"/>
          <w:szCs w:val="21"/>
          <w:color w:val="auto"/>
        </w:rPr>
        <w:t>”); and</w:t>
      </w:r>
    </w:p>
    <w:p>
      <w:pPr>
        <w:spacing w:after="0" w:line="193" w:lineRule="exact"/>
        <w:rPr>
          <w:rFonts w:ascii="Arial" w:cs="Arial" w:eastAsia="Arial" w:hAnsi="Arial"/>
          <w:sz w:val="21"/>
          <w:szCs w:val="21"/>
          <w:color w:val="auto"/>
        </w:rPr>
      </w:pPr>
    </w:p>
    <w:p>
      <w:pPr>
        <w:ind w:left="800" w:hanging="792"/>
        <w:spacing w:after="0"/>
        <w:tabs>
          <w:tab w:leader="none" w:pos="800" w:val="left"/>
        </w:tabs>
        <w:numPr>
          <w:ilvl w:val="0"/>
          <w:numId w:val="4"/>
        </w:numPr>
        <w:rPr>
          <w:rFonts w:ascii="Arial" w:cs="Arial" w:eastAsia="Arial" w:hAnsi="Arial"/>
          <w:sz w:val="19"/>
          <w:szCs w:val="19"/>
          <w:color w:val="auto"/>
        </w:rPr>
      </w:pPr>
      <w:r>
        <w:rPr>
          <w:rFonts w:ascii="Arial" w:cs="Arial" w:eastAsia="Arial" w:hAnsi="Arial"/>
          <w:sz w:val="19"/>
          <w:szCs w:val="19"/>
          <w:color w:val="auto"/>
        </w:rPr>
        <w:t>Employer and Employee desire to amend the Agreement to extend the Term of the Agreement as provided herein.</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NOW, THEREFORE, in consideration of the foregoing, the parties agree as follows:</w:t>
      </w:r>
    </w:p>
    <w:p>
      <w:pPr>
        <w:spacing w:after="0" w:line="233" w:lineRule="exact"/>
        <w:rPr>
          <w:sz w:val="20"/>
          <w:szCs w:val="20"/>
          <w:color w:val="auto"/>
        </w:rPr>
      </w:pPr>
    </w:p>
    <w:p>
      <w:pPr>
        <w:ind w:left="760" w:hanging="752"/>
        <w:spacing w:after="0"/>
        <w:tabs>
          <w:tab w:leader="none" w:pos="76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Subsection 6 of the Agreement is hereby amended to read as follows:</w:t>
      </w:r>
    </w:p>
    <w:p>
      <w:pPr>
        <w:spacing w:after="0" w:line="200" w:lineRule="exact"/>
        <w:rPr>
          <w:sz w:val="20"/>
          <w:szCs w:val="20"/>
          <w:color w:val="auto"/>
        </w:rPr>
      </w:pPr>
    </w:p>
    <w:p>
      <w:pPr>
        <w:spacing w:after="0" w:line="270" w:lineRule="exact"/>
        <w:rPr>
          <w:sz w:val="20"/>
          <w:szCs w:val="20"/>
          <w:color w:val="auto"/>
        </w:rPr>
      </w:pPr>
    </w:p>
    <w:p>
      <w:pPr>
        <w:ind w:left="1800" w:right="8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6.</w:t>
      </w:r>
      <w:r>
        <w:rPr>
          <w:rFonts w:ascii="Arial" w:cs="Arial" w:eastAsia="Arial" w:hAnsi="Arial"/>
          <w:sz w:val="21"/>
          <w:szCs w:val="21"/>
          <w:color w:val="auto"/>
        </w:rPr>
        <w:t xml:space="preserve"> </w:t>
      </w:r>
      <w:r>
        <w:rPr>
          <w:rFonts w:ascii="Arial" w:cs="Arial" w:eastAsia="Arial" w:hAnsi="Arial"/>
          <w:sz w:val="21"/>
          <w:szCs w:val="21"/>
          <w:b w:val="1"/>
          <w:bCs w:val="1"/>
          <w:i w:val="1"/>
          <w:iCs w:val="1"/>
          <w:u w:val="single" w:color="auto"/>
          <w:color w:val="auto"/>
        </w:rPr>
        <w:t>TERM</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Unless sooner terminated as provided in this Agreement, the term of this Agreement (the “</w:t>
      </w:r>
      <w:r>
        <w:rPr>
          <w:rFonts w:ascii="Arial" w:cs="Arial" w:eastAsia="Arial" w:hAnsi="Arial"/>
          <w:sz w:val="21"/>
          <w:szCs w:val="21"/>
          <w:b w:val="1"/>
          <w:bCs w:val="1"/>
          <w:color w:val="auto"/>
        </w:rPr>
        <w:t>Term</w:t>
      </w:r>
      <w:r>
        <w:rPr>
          <w:rFonts w:ascii="Arial" w:cs="Arial" w:eastAsia="Arial" w:hAnsi="Arial"/>
          <w:sz w:val="21"/>
          <w:szCs w:val="21"/>
          <w:color w:val="auto"/>
        </w:rPr>
        <w:t>”) shall commence on the Effective Date of this Agreement and expire on October 24, 2020.”</w:t>
      </w:r>
    </w:p>
    <w:p>
      <w:pPr>
        <w:spacing w:after="0" w:line="200" w:lineRule="exact"/>
        <w:rPr>
          <w:sz w:val="20"/>
          <w:szCs w:val="20"/>
          <w:color w:val="auto"/>
        </w:rPr>
      </w:pPr>
    </w:p>
    <w:p>
      <w:pPr>
        <w:spacing w:after="0" w:line="215" w:lineRule="exact"/>
        <w:rPr>
          <w:sz w:val="20"/>
          <w:szCs w:val="20"/>
          <w:color w:val="auto"/>
        </w:rPr>
      </w:pPr>
    </w:p>
    <w:p>
      <w:pPr>
        <w:ind w:right="20" w:firstLine="8"/>
        <w:spacing w:after="0" w:line="251" w:lineRule="auto"/>
        <w:tabs>
          <w:tab w:leader="none" w:pos="756"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Other Provisions of Agreement</w:t>
      </w:r>
      <w:r>
        <w:rPr>
          <w:rFonts w:ascii="Arial" w:cs="Arial" w:eastAsia="Arial" w:hAnsi="Arial"/>
          <w:sz w:val="22"/>
          <w:szCs w:val="22"/>
          <w:color w:val="auto"/>
        </w:rPr>
        <w:t>. Other than as provided herein, the terms and conditions of the Agreement are ratified and confirmed.</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caused this Amendment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340" w:type="dxa"/>
            <w:vAlign w:val="bottom"/>
            <w:gridSpan w:val="3"/>
          </w:tcPr>
          <w:p>
            <w:pPr>
              <w:spacing w:after="0"/>
              <w:rPr>
                <w:sz w:val="20"/>
                <w:szCs w:val="20"/>
                <w:color w:val="auto"/>
              </w:rPr>
            </w:pPr>
            <w:r>
              <w:rPr>
                <w:rFonts w:ascii="Arial" w:cs="Arial" w:eastAsia="Arial" w:hAnsi="Arial"/>
                <w:sz w:val="22"/>
                <w:szCs w:val="22"/>
                <w:b w:val="1"/>
                <w:bCs w:val="1"/>
                <w:color w:val="auto"/>
              </w:rPr>
              <w:t>WYNN RESORTS, LIMITED</w:t>
            </w:r>
          </w:p>
        </w:tc>
        <w:tc>
          <w:tcPr>
            <w:tcW w:w="4160" w:type="dxa"/>
            <w:vAlign w:val="bottom"/>
            <w:gridSpan w:val="2"/>
          </w:tcPr>
          <w:p>
            <w:pPr>
              <w:ind w:left="1520"/>
              <w:spacing w:after="0"/>
              <w:rPr>
                <w:sz w:val="20"/>
                <w:szCs w:val="20"/>
                <w:color w:val="auto"/>
              </w:rPr>
            </w:pPr>
            <w:r>
              <w:rPr>
                <w:rFonts w:ascii="Arial" w:cs="Arial" w:eastAsia="Arial" w:hAnsi="Arial"/>
                <w:sz w:val="22"/>
                <w:szCs w:val="22"/>
                <w:b w:val="1"/>
                <w:bCs w:val="1"/>
                <w:color w:val="auto"/>
              </w:rPr>
              <w:t>EMPLOYEE</w:t>
            </w:r>
          </w:p>
        </w:tc>
      </w:tr>
      <w:tr>
        <w:trPr>
          <w:trHeight w:val="841"/>
        </w:trPr>
        <w:tc>
          <w:tcPr>
            <w:tcW w:w="4340" w:type="dxa"/>
            <w:vAlign w:val="bottom"/>
            <w:gridSpan w:val="3"/>
          </w:tcPr>
          <w:p>
            <w:pPr>
              <w:spacing w:after="0"/>
              <w:rPr>
                <w:sz w:val="20"/>
                <w:szCs w:val="20"/>
                <w:color w:val="auto"/>
              </w:rPr>
            </w:pPr>
            <w:r>
              <w:rPr>
                <w:rFonts w:ascii="Arial" w:cs="Arial" w:eastAsia="Arial" w:hAnsi="Arial"/>
                <w:sz w:val="22"/>
                <w:szCs w:val="22"/>
                <w:color w:val="auto"/>
              </w:rPr>
              <w:t>By: /s/ Marc D. Schorr</w:t>
            </w:r>
          </w:p>
        </w:tc>
        <w:tc>
          <w:tcPr>
            <w:tcW w:w="4160" w:type="dxa"/>
            <w:vAlign w:val="bottom"/>
            <w:gridSpan w:val="2"/>
          </w:tcPr>
          <w:p>
            <w:pPr>
              <w:ind w:left="1520"/>
              <w:spacing w:after="0"/>
              <w:rPr>
                <w:sz w:val="20"/>
                <w:szCs w:val="20"/>
                <w:color w:val="auto"/>
              </w:rPr>
            </w:pPr>
            <w:r>
              <w:rPr>
                <w:rFonts w:ascii="Arial" w:cs="Arial" w:eastAsia="Arial" w:hAnsi="Arial"/>
                <w:sz w:val="22"/>
                <w:szCs w:val="22"/>
                <w:color w:val="auto"/>
              </w:rPr>
              <w:t>/s/ Stephen A. Wynn</w:t>
            </w:r>
          </w:p>
        </w:tc>
      </w:tr>
      <w:tr>
        <w:trPr>
          <w:trHeight w:val="20"/>
        </w:trPr>
        <w:tc>
          <w:tcPr>
            <w:tcW w:w="4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r>
      <w:tr>
        <w:trPr>
          <w:trHeight w:val="242"/>
        </w:trPr>
        <w:tc>
          <w:tcPr>
            <w:tcW w:w="4340" w:type="dxa"/>
            <w:vAlign w:val="bottom"/>
            <w:gridSpan w:val="3"/>
          </w:tcPr>
          <w:p>
            <w:pPr>
              <w:spacing w:after="0" w:line="242" w:lineRule="exact"/>
              <w:rPr>
                <w:sz w:val="20"/>
                <w:szCs w:val="20"/>
                <w:color w:val="auto"/>
              </w:rPr>
            </w:pPr>
            <w:r>
              <w:rPr>
                <w:rFonts w:ascii="Arial" w:cs="Arial" w:eastAsia="Arial" w:hAnsi="Arial"/>
                <w:sz w:val="22"/>
                <w:szCs w:val="22"/>
                <w:color w:val="auto"/>
              </w:rPr>
              <w:t>Name: Marc D. Schorr</w:t>
            </w:r>
          </w:p>
        </w:tc>
        <w:tc>
          <w:tcPr>
            <w:tcW w:w="4160" w:type="dxa"/>
            <w:vAlign w:val="bottom"/>
            <w:gridSpan w:val="2"/>
          </w:tcPr>
          <w:p>
            <w:pPr>
              <w:ind w:left="1520"/>
              <w:spacing w:after="0" w:line="242" w:lineRule="exact"/>
              <w:rPr>
                <w:sz w:val="20"/>
                <w:szCs w:val="20"/>
                <w:color w:val="auto"/>
              </w:rPr>
            </w:pPr>
            <w:r>
              <w:rPr>
                <w:rFonts w:ascii="Arial" w:cs="Arial" w:eastAsia="Arial" w:hAnsi="Arial"/>
                <w:sz w:val="22"/>
                <w:szCs w:val="22"/>
                <w:color w:val="auto"/>
              </w:rPr>
              <w:t>Stephen A. Wynn</w:t>
            </w:r>
          </w:p>
        </w:tc>
      </w:tr>
      <w:tr>
        <w:trPr>
          <w:trHeight w:val="275"/>
        </w:trPr>
        <w:tc>
          <w:tcPr>
            <w:tcW w:w="4340" w:type="dxa"/>
            <w:vAlign w:val="bottom"/>
            <w:gridSpan w:val="3"/>
          </w:tcPr>
          <w:p>
            <w:pPr>
              <w:spacing w:after="0"/>
              <w:rPr>
                <w:sz w:val="20"/>
                <w:szCs w:val="20"/>
                <w:color w:val="auto"/>
              </w:rPr>
            </w:pPr>
            <w:r>
              <w:rPr>
                <w:rFonts w:ascii="Arial" w:cs="Arial" w:eastAsia="Arial" w:hAnsi="Arial"/>
                <w:sz w:val="22"/>
                <w:szCs w:val="22"/>
                <w:color w:val="auto"/>
              </w:rPr>
              <w:t>Title:  Chief Operating Officer</w:t>
            </w:r>
          </w:p>
        </w:tc>
        <w:tc>
          <w:tcPr>
            <w:tcW w:w="1520" w:type="dxa"/>
            <w:vAlign w:val="bottom"/>
          </w:tcPr>
          <w:p>
            <w:pPr>
              <w:spacing w:after="0"/>
              <w:rPr>
                <w:sz w:val="23"/>
                <w:szCs w:val="23"/>
                <w:color w:val="auto"/>
              </w:rPr>
            </w:pPr>
          </w:p>
        </w:tc>
        <w:tc>
          <w:tcPr>
            <w:tcW w:w="264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upp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2019-12-15T05:45:13Z</dcterms:created>
  <dcterms:modified xsi:type="dcterms:W3CDTF">2019-12-15T05:45:13Z</dcterms:modified>
</cp:coreProperties>
</file>