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7" w:lineRule="exact"/>
        <w:rPr>
          <w:sz w:val="24"/>
          <w:szCs w:val="24"/>
          <w:color w:val="auto"/>
        </w:rPr>
      </w:pPr>
    </w:p>
    <w:p>
      <w:pPr>
        <w:ind w:left="680" w:right="80" w:hanging="654"/>
        <w:spacing w:after="0" w:line="234"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right="6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5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3762375</wp:posOffset>
            </wp:positionH>
            <wp:positionV relativeFrom="paragraph">
              <wp:posOffset>-7620</wp:posOffset>
            </wp:positionV>
            <wp:extent cx="112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68580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Nevada</w:t>
            </w: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46-0484987</w:t>
            </w:r>
          </w:p>
        </w:tc>
      </w:tr>
      <w:tr>
        <w:trPr>
          <w:trHeight w:val="144"/>
        </w:trPr>
        <w:tc>
          <w:tcPr>
            <w:tcW w:w="860" w:type="dxa"/>
            <w:vAlign w:val="bottom"/>
          </w:tcPr>
          <w:p>
            <w:pPr>
              <w:spacing w:after="0"/>
              <w:rPr>
                <w:sz w:val="12"/>
                <w:szCs w:val="12"/>
                <w:color w:val="auto"/>
              </w:rPr>
            </w:pPr>
          </w:p>
        </w:tc>
        <w:tc>
          <w:tcPr>
            <w:tcW w:w="2980" w:type="dxa"/>
            <w:vAlign w:val="bottom"/>
            <w:gridSpan w:val="3"/>
          </w:tcPr>
          <w:p>
            <w:pPr>
              <w:jc w:val="center"/>
              <w:ind w:left="78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60" w:type="dxa"/>
            <w:vAlign w:val="bottom"/>
          </w:tcPr>
          <w:p>
            <w:pPr>
              <w:spacing w:after="0"/>
              <w:rPr>
                <w:sz w:val="16"/>
                <w:szCs w:val="16"/>
                <w:color w:val="auto"/>
              </w:rPr>
            </w:pPr>
          </w:p>
        </w:tc>
        <w:tc>
          <w:tcPr>
            <w:tcW w:w="2980" w:type="dxa"/>
            <w:vAlign w:val="bottom"/>
            <w:gridSpan w:val="3"/>
          </w:tcPr>
          <w:p>
            <w:pPr>
              <w:jc w:val="center"/>
              <w:ind w:left="782"/>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140" w:type="dxa"/>
            <w:vAlign w:val="bottom"/>
            <w:gridSpan w:val="7"/>
          </w:tcPr>
          <w:p>
            <w:pPr>
              <w:jc w:val="center"/>
              <w:ind w:right="1228"/>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5"/>
          </w:tcPr>
          <w:p>
            <w:pPr>
              <w:jc w:val="center"/>
              <w:ind w:right="2868"/>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46"/>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40" w:type="dxa"/>
            <w:vAlign w:val="bottom"/>
            <w:gridSpan w:val="2"/>
          </w:tcPr>
          <w:p>
            <w:pPr>
              <w:jc w:val="center"/>
              <w:ind w:left="737"/>
              <w:spacing w:after="0"/>
              <w:rPr>
                <w:sz w:val="20"/>
                <w:szCs w:val="20"/>
                <w:color w:val="auto"/>
              </w:rPr>
            </w:pPr>
            <w:r>
              <w:rPr>
                <w:rFonts w:ascii="Arial" w:cs="Arial" w:eastAsia="Arial" w:hAnsi="Arial"/>
                <w:sz w:val="18"/>
                <w:szCs w:val="18"/>
                <w:b w:val="1"/>
                <w:bCs w:val="1"/>
                <w:color w:val="auto"/>
                <w:w w:val="90"/>
              </w:rPr>
              <w:t>(702) 770-7555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5"/>
          </w:tcPr>
          <w:p>
            <w:pPr>
              <w:jc w:val="center"/>
              <w:ind w:right="28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80"/>
        </w:trPr>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40" w:type="dxa"/>
            <w:vAlign w:val="bottom"/>
          </w:tcPr>
          <w:p>
            <w:pPr>
              <w:spacing w:after="0"/>
              <w:rPr>
                <w:sz w:val="6"/>
                <w:szCs w:val="6"/>
                <w:color w:val="auto"/>
              </w:rPr>
            </w:pPr>
          </w:p>
        </w:tc>
      </w:tr>
      <w:tr>
        <w:trPr>
          <w:trHeight w:val="295"/>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jc w:val="center"/>
              <w:ind w:right="530"/>
              <w:spacing w:after="0"/>
              <w:rPr>
                <w:sz w:val="20"/>
                <w:szCs w:val="20"/>
                <w:color w:val="auto"/>
              </w:rPr>
            </w:pPr>
            <w:r>
              <w:rPr>
                <w:rFonts w:ascii="Arial" w:cs="Arial" w:eastAsia="Arial" w:hAnsi="Arial"/>
                <w:sz w:val="18"/>
                <w:szCs w:val="18"/>
                <w:b w:val="1"/>
                <w:bCs w:val="1"/>
                <w:color w:val="auto"/>
              </w:rPr>
              <w:t>N/A</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140" w:type="dxa"/>
            <w:vAlign w:val="bottom"/>
            <w:gridSpan w:val="7"/>
          </w:tcPr>
          <w:p>
            <w:pPr>
              <w:jc w:val="center"/>
              <w:ind w:right="1208"/>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458"/>
        </w:trPr>
        <w:tc>
          <w:tcPr>
            <w:tcW w:w="65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98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86"/>
              </w:rPr>
              <w:t>Title of each class</w:t>
            </w:r>
          </w:p>
        </w:tc>
        <w:tc>
          <w:tcPr>
            <w:tcW w:w="2740" w:type="dxa"/>
            <w:vAlign w:val="bottom"/>
            <w:gridSpan w:val="2"/>
          </w:tcPr>
          <w:p>
            <w:pPr>
              <w:jc w:val="center"/>
              <w:ind w:right="121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3840" w:type="dxa"/>
            <w:vAlign w:val="bottom"/>
            <w:gridSpan w:val="4"/>
          </w:tcPr>
          <w:p>
            <w:pPr>
              <w:jc w:val="center"/>
              <w:ind w:right="780"/>
              <w:spacing w:after="0"/>
              <w:rPr>
                <w:sz w:val="20"/>
                <w:szCs w:val="20"/>
                <w:color w:val="auto"/>
              </w:rPr>
            </w:pPr>
            <w:r>
              <w:rPr>
                <w:rFonts w:ascii="Arial" w:cs="Arial" w:eastAsia="Arial" w:hAnsi="Arial"/>
                <w:sz w:val="18"/>
                <w:szCs w:val="18"/>
                <w:color w:val="auto"/>
                <w:w w:val="90"/>
              </w:rPr>
              <w:t>Common stock, par value $0.01</w:t>
            </w:r>
          </w:p>
        </w:tc>
        <w:tc>
          <w:tcPr>
            <w:tcW w:w="2740" w:type="dxa"/>
            <w:vAlign w:val="bottom"/>
            <w:gridSpan w:val="2"/>
          </w:tcPr>
          <w:p>
            <w:pPr>
              <w:jc w:val="center"/>
              <w:ind w:right="1210"/>
              <w:spacing w:after="0"/>
              <w:rPr>
                <w:sz w:val="20"/>
                <w:szCs w:val="20"/>
                <w:color w:val="auto"/>
              </w:rPr>
            </w:pPr>
            <w:r>
              <w:rPr>
                <w:rFonts w:ascii="Arial" w:cs="Arial" w:eastAsia="Arial" w:hAnsi="Arial"/>
                <w:sz w:val="18"/>
                <w:szCs w:val="18"/>
                <w:color w:val="auto"/>
              </w:rPr>
              <w:t>WYNN</w:t>
            </w:r>
          </w:p>
        </w:tc>
        <w:tc>
          <w:tcPr>
            <w:tcW w:w="42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720" w:type="dxa"/>
            <w:vAlign w:val="bottom"/>
            <w:gridSpan w:val="2"/>
          </w:tcPr>
          <w:p>
            <w:pPr>
              <w:spacing w:after="0"/>
              <w:rPr>
                <w:sz w:val="20"/>
                <w:szCs w:val="20"/>
                <w:color w:val="auto"/>
              </w:rPr>
            </w:pPr>
            <w:r>
              <w:rPr>
                <w:rFonts w:ascii="Arial" w:cs="Arial" w:eastAsia="Arial" w:hAnsi="Arial"/>
                <w:sz w:val="18"/>
                <w:szCs w:val="18"/>
                <w:color w:val="auto"/>
              </w:rPr>
              <w:t>company" in Rule 12b-2 of the Exchange Act.</w:t>
            </w:r>
          </w:p>
        </w:tc>
        <w:tc>
          <w:tcPr>
            <w:tcW w:w="4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72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right="1360"/>
        <w:spacing w:after="0" w:line="23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6780" w:type="dxa"/>
            <w:vAlign w:val="bottom"/>
          </w:tcPr>
          <w:p>
            <w:pPr>
              <w:spacing w:after="0"/>
              <w:rPr>
                <w:sz w:val="14"/>
                <w:szCs w:val="14"/>
                <w:color w:val="auto"/>
              </w:rPr>
            </w:pPr>
          </w:p>
        </w:tc>
        <w:tc>
          <w:tcPr>
            <w:tcW w:w="2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Outstanding at April 30, 2021</w:t>
            </w: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8460" w:type="dxa"/>
            <w:vAlign w:val="bottom"/>
            <w:gridSpan w:val="3"/>
          </w:tcPr>
          <w:p>
            <w:pPr>
              <w:jc w:val="center"/>
              <w:ind w:right="5440"/>
              <w:spacing w:after="0"/>
              <w:rPr>
                <w:sz w:val="20"/>
                <w:szCs w:val="20"/>
                <w:color w:val="auto"/>
              </w:rPr>
            </w:pPr>
            <w:r>
              <w:rPr>
                <w:rFonts w:ascii="Arial" w:cs="Arial" w:eastAsia="Arial" w:hAnsi="Arial"/>
                <w:sz w:val="18"/>
                <w:szCs w:val="18"/>
                <w:color w:val="auto"/>
                <w:w w:val="90"/>
              </w:rPr>
              <w:t>Common stock, par value $0.01</w:t>
            </w:r>
          </w:p>
        </w:tc>
        <w:tc>
          <w:tcPr>
            <w:tcW w:w="1820" w:type="dxa"/>
            <w:vAlign w:val="bottom"/>
          </w:tcPr>
          <w:p>
            <w:pPr>
              <w:jc w:val="right"/>
              <w:ind w:right="379"/>
              <w:spacing w:after="0"/>
              <w:rPr>
                <w:sz w:val="20"/>
                <w:szCs w:val="20"/>
                <w:color w:val="auto"/>
              </w:rPr>
            </w:pPr>
            <w:r>
              <w:rPr>
                <w:rFonts w:ascii="Arial" w:cs="Arial" w:eastAsia="Arial" w:hAnsi="Arial"/>
                <w:sz w:val="18"/>
                <w:szCs w:val="18"/>
                <w:color w:val="auto"/>
              </w:rPr>
              <w:t>115,658,123</w:t>
            </w:r>
          </w:p>
        </w:tc>
        <w:tc>
          <w:tcPr>
            <w:tcW w:w="960" w:type="dxa"/>
            <w:vAlign w:val="bottom"/>
          </w:tcPr>
          <w:p>
            <w:pPr>
              <w:spacing w:after="0"/>
              <w:rPr>
                <w:sz w:val="21"/>
                <w:szCs w:val="21"/>
                <w:color w:val="auto"/>
              </w:rPr>
            </w:pPr>
          </w:p>
        </w:tc>
      </w:tr>
      <w:tr>
        <w:trPr>
          <w:trHeight w:val="790"/>
        </w:trPr>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180" w:type="dxa"/>
            <w:vAlign w:val="bottom"/>
            <w:gridSpan w:val="15"/>
          </w:tcPr>
          <w:p>
            <w:pPr>
              <w:ind w:left="8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520" w:type="dxa"/>
            <w:vAlign w:val="bottom"/>
          </w:tcPr>
          <w:p>
            <w:pPr>
              <w:ind w:left="20"/>
              <w:spacing w:after="0" w:line="190"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Item 1.</w:t>
              </w:r>
            </w:hyperlink>
          </w:p>
        </w:tc>
        <w:tc>
          <w:tcPr>
            <w:tcW w:w="10180" w:type="dxa"/>
            <w:vAlign w:val="bottom"/>
            <w:gridSpan w:val="15"/>
          </w:tcPr>
          <w:p>
            <w:pPr>
              <w:ind w:left="800"/>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 March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2021 (unaudited) and December 31, 2020</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Operations (unaudited) - Three Months Ended March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 xml:space="preserve">2021 and </w:t>
              </w:r>
            </w:hyperlink>
            <w:r>
              <w:rPr>
                <w:rFonts w:ascii="Arial" w:cs="Arial" w:eastAsia="Arial" w:hAnsi="Arial"/>
                <w:sz w:val="18"/>
                <w:szCs w:val="18"/>
                <w:color w:val="0000FF"/>
              </w:rPr>
              <w:t>2020</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3"/>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Condensed Consolidated Statements of Comprehensive Loss (unaudited) - Three Months Ended March 31, 2021 and</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340" w:type="dxa"/>
            <w:vAlign w:val="bottom"/>
            <w:tcBorders>
              <w:top w:val="single" w:sz="8" w:color="0000FF"/>
            </w:tcBorders>
          </w:tcPr>
          <w:p>
            <w:pPr>
              <w:spacing w:after="0" w:line="15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2020</w:t>
              </w:r>
            </w:hyperlink>
          </w:p>
        </w:tc>
        <w:tc>
          <w:tcPr>
            <w:tcW w:w="7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40" w:type="dxa"/>
            <w:vAlign w:val="bottom"/>
            <w:gridSpan w:val="13"/>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Condensed Consolidated Statements of Stockholders’ Equity (Deficit) (unaudited) - Three Months Ended March 31,</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Borders>
              <w:top w:val="single" w:sz="8" w:color="0000FF"/>
            </w:tcBorders>
            <w:gridSpan w:val="2"/>
          </w:tcPr>
          <w:p>
            <w:pPr>
              <w:spacing w:after="0" w:line="136" w:lineRule="exact"/>
              <w:rPr>
                <w:rFonts w:ascii="Arial" w:cs="Arial" w:eastAsia="Arial" w:hAnsi="Arial"/>
                <w:sz w:val="15"/>
                <w:szCs w:val="15"/>
                <w:color w:val="0000FF"/>
              </w:rPr>
            </w:pPr>
            <w:hyperlink w:anchor="page5">
              <w:r>
                <w:rPr>
                  <w:rFonts w:ascii="Arial" w:cs="Arial" w:eastAsia="Arial" w:hAnsi="Arial"/>
                  <w:sz w:val="15"/>
                  <w:szCs w:val="15"/>
                  <w:color w:val="0000FF"/>
                </w:rPr>
                <w:t>2021 and 2020</w:t>
              </w:r>
            </w:hyperlink>
          </w:p>
        </w:tc>
        <w:tc>
          <w:tcPr>
            <w:tcW w:w="5420" w:type="dxa"/>
            <w:vAlign w:val="bottom"/>
            <w:tcBorders>
              <w:top w:val="single" w:sz="8" w:color="0000FF"/>
            </w:tcBorders>
            <w:gridSpan w:val="6"/>
          </w:tcPr>
          <w:p>
            <w:pPr>
              <w:spacing w:after="0"/>
              <w:rPr>
                <w:sz w:val="11"/>
                <w:szCs w:val="11"/>
                <w:color w:val="auto"/>
              </w:rPr>
            </w:pPr>
          </w:p>
        </w:tc>
        <w:tc>
          <w:tcPr>
            <w:tcW w:w="1600" w:type="dxa"/>
            <w:vAlign w:val="bottom"/>
            <w:tcBorders>
              <w:top w:val="single" w:sz="8" w:color="0000FF"/>
            </w:tcBorders>
            <w:gridSpan w:val="2"/>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680" w:type="dxa"/>
            <w:vAlign w:val="bottom"/>
            <w:gridSpan w:val="2"/>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gridSpan w:val="10"/>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 xml:space="preserve">Condensed Consolidated Statements of Cash Flows (unaudited) - Three Months Ended March </w:t>
              </w:r>
            </w:hyperlink>
            <w:r>
              <w:rPr>
                <w:rFonts w:ascii="Arial" w:cs="Arial" w:eastAsia="Arial" w:hAnsi="Arial"/>
                <w:sz w:val="18"/>
                <w:szCs w:val="18"/>
                <w:color w:val="0000FF"/>
                <w:w w:val="88"/>
              </w:rPr>
              <w:t xml:space="preserve">31, </w:t>
            </w:r>
            <w:hyperlink w:anchor="page6">
              <w:r>
                <w:rPr>
                  <w:rFonts w:ascii="Arial" w:cs="Arial" w:eastAsia="Arial" w:hAnsi="Arial"/>
                  <w:sz w:val="18"/>
                  <w:szCs w:val="18"/>
                  <w:color w:val="0000FF"/>
                  <w:w w:val="88"/>
                </w:rPr>
                <w:t xml:space="preserve">2021 and </w:t>
              </w:r>
            </w:hyperlink>
            <w:r>
              <w:rPr>
                <w:rFonts w:ascii="Arial" w:cs="Arial" w:eastAsia="Arial" w:hAnsi="Arial"/>
                <w:sz w:val="18"/>
                <w:szCs w:val="18"/>
                <w:color w:val="0000FF"/>
                <w:w w:val="88"/>
              </w:rPr>
              <w:t>2020</w:t>
            </w:r>
          </w:p>
        </w:tc>
        <w:tc>
          <w:tcPr>
            <w:tcW w:w="960" w:type="dxa"/>
            <w:vAlign w:val="bottom"/>
            <w:gridSpan w:val="3"/>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Item 2.</w:t>
              </w:r>
            </w:hyperlink>
          </w:p>
        </w:tc>
        <w:tc>
          <w:tcPr>
            <w:tcW w:w="10180" w:type="dxa"/>
            <w:vAlign w:val="bottom"/>
            <w:gridSpan w:val="15"/>
          </w:tcPr>
          <w:p>
            <w:pPr>
              <w:ind w:left="800"/>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Item 3.</w:t>
              </w:r>
            </w:hyperlink>
          </w:p>
        </w:tc>
        <w:tc>
          <w:tcPr>
            <w:tcW w:w="10180" w:type="dxa"/>
            <w:vAlign w:val="bottom"/>
            <w:gridSpan w:val="15"/>
          </w:tcPr>
          <w:p>
            <w:pPr>
              <w:ind w:left="800"/>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Item 4.</w:t>
              </w:r>
            </w:hyperlink>
          </w:p>
        </w:tc>
        <w:tc>
          <w:tcPr>
            <w:tcW w:w="10180" w:type="dxa"/>
            <w:vAlign w:val="bottom"/>
            <w:gridSpan w:val="15"/>
          </w:tcPr>
          <w:p>
            <w:pPr>
              <w:ind w:left="800"/>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10000" w:type="dxa"/>
            <w:vAlign w:val="bottom"/>
            <w:gridSpan w:val="6"/>
          </w:tcPr>
          <w:p>
            <w:pPr>
              <w:ind w:left="620"/>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20"/>
                <w:szCs w:val="20"/>
                <w:color w:val="auto"/>
              </w:rPr>
            </w:pPr>
          </w:p>
        </w:tc>
      </w:tr>
      <w:tr>
        <w:trPr>
          <w:trHeight w:val="190"/>
        </w:trPr>
        <w:tc>
          <w:tcPr>
            <w:tcW w:w="320" w:type="dxa"/>
            <w:vAlign w:val="bottom"/>
          </w:tcPr>
          <w:p>
            <w:pPr>
              <w:spacing w:after="0"/>
              <w:rPr>
                <w:sz w:val="16"/>
                <w:szCs w:val="16"/>
                <w:color w:val="auto"/>
              </w:rPr>
            </w:pPr>
          </w:p>
        </w:tc>
        <w:tc>
          <w:tcPr>
            <w:tcW w:w="520" w:type="dxa"/>
            <w:vAlign w:val="bottom"/>
          </w:tcPr>
          <w:p>
            <w:pPr>
              <w:ind w:left="20"/>
              <w:spacing w:after="0" w:line="190" w:lineRule="exact"/>
              <w:rPr>
                <w:rFonts w:ascii="Arial" w:cs="Arial" w:eastAsia="Arial" w:hAnsi="Arial"/>
                <w:sz w:val="18"/>
                <w:szCs w:val="18"/>
                <w:color w:val="0000FF"/>
                <w:w w:val="87"/>
              </w:rPr>
            </w:pPr>
            <w:hyperlink w:anchor="page40">
              <w:r>
                <w:rPr>
                  <w:rFonts w:ascii="Arial" w:cs="Arial" w:eastAsia="Arial" w:hAnsi="Arial"/>
                  <w:sz w:val="18"/>
                  <w:szCs w:val="18"/>
                  <w:color w:val="0000FF"/>
                  <w:w w:val="87"/>
                </w:rPr>
                <w:t>Item 1.</w:t>
              </w:r>
            </w:hyperlink>
          </w:p>
        </w:tc>
        <w:tc>
          <w:tcPr>
            <w:tcW w:w="180" w:type="dxa"/>
            <w:vAlign w:val="bottom"/>
            <w:gridSpan w:val="2"/>
          </w:tcPr>
          <w:p>
            <w:pPr>
              <w:spacing w:after="0"/>
              <w:rPr>
                <w:sz w:val="16"/>
                <w:szCs w:val="16"/>
                <w:color w:val="auto"/>
              </w:rPr>
            </w:pPr>
          </w:p>
        </w:tc>
        <w:tc>
          <w:tcPr>
            <w:tcW w:w="10000" w:type="dxa"/>
            <w:vAlign w:val="bottom"/>
            <w:gridSpan w:val="6"/>
          </w:tcPr>
          <w:p>
            <w:pPr>
              <w:ind w:left="620"/>
              <w:spacing w:after="0" w:line="190"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180" w:type="dxa"/>
            <w:vAlign w:val="bottom"/>
          </w:tcPr>
          <w:p>
            <w:pPr>
              <w:jc w:val="right"/>
              <w:spacing w:after="0" w:line="190"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gridSpan w:val="3"/>
          </w:tcPr>
          <w:p>
            <w:pPr>
              <w:ind w:left="20"/>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Item 1A.</w:t>
              </w:r>
            </w:hyperlink>
          </w:p>
        </w:tc>
        <w:tc>
          <w:tcPr>
            <w:tcW w:w="10000" w:type="dxa"/>
            <w:vAlign w:val="bottom"/>
            <w:gridSpan w:val="6"/>
          </w:tcPr>
          <w:p>
            <w:pPr>
              <w:ind w:left="620"/>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180" w:type="dxa"/>
            <w:vAlign w:val="bottom"/>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640" w:type="dxa"/>
            <w:vAlign w:val="bottom"/>
            <w:gridSpan w:val="2"/>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Item 2.</w:t>
              </w:r>
            </w:hyperlink>
          </w:p>
        </w:tc>
        <w:tc>
          <w:tcPr>
            <w:tcW w:w="60" w:type="dxa"/>
            <w:vAlign w:val="bottom"/>
          </w:tcPr>
          <w:p>
            <w:pPr>
              <w:spacing w:after="0"/>
              <w:rPr>
                <w:sz w:val="18"/>
                <w:szCs w:val="18"/>
                <w:color w:val="auto"/>
              </w:rPr>
            </w:pPr>
          </w:p>
        </w:tc>
        <w:tc>
          <w:tcPr>
            <w:tcW w:w="10000" w:type="dxa"/>
            <w:vAlign w:val="bottom"/>
            <w:gridSpan w:val="6"/>
          </w:tcPr>
          <w:p>
            <w:pPr>
              <w:ind w:left="620"/>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180" w:type="dxa"/>
            <w:vAlign w:val="bottom"/>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Item 5.</w:t>
              </w:r>
            </w:hyperlink>
          </w:p>
        </w:tc>
        <w:tc>
          <w:tcPr>
            <w:tcW w:w="180" w:type="dxa"/>
            <w:vAlign w:val="bottom"/>
            <w:gridSpan w:val="2"/>
          </w:tcPr>
          <w:p>
            <w:pPr>
              <w:spacing w:after="0"/>
              <w:rPr>
                <w:sz w:val="18"/>
                <w:szCs w:val="18"/>
                <w:color w:val="auto"/>
              </w:rPr>
            </w:pPr>
          </w:p>
        </w:tc>
        <w:tc>
          <w:tcPr>
            <w:tcW w:w="10000" w:type="dxa"/>
            <w:vAlign w:val="bottom"/>
            <w:gridSpan w:val="6"/>
          </w:tcPr>
          <w:p>
            <w:pPr>
              <w:ind w:left="620"/>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180" w:type="dxa"/>
            <w:vAlign w:val="bottom"/>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Item 6.</w:t>
              </w:r>
            </w:hyperlink>
          </w:p>
        </w:tc>
        <w:tc>
          <w:tcPr>
            <w:tcW w:w="180" w:type="dxa"/>
            <w:vAlign w:val="bottom"/>
            <w:gridSpan w:val="2"/>
          </w:tcPr>
          <w:p>
            <w:pPr>
              <w:spacing w:after="0"/>
              <w:rPr>
                <w:sz w:val="18"/>
                <w:szCs w:val="18"/>
                <w:color w:val="auto"/>
              </w:rPr>
            </w:pPr>
          </w:p>
        </w:tc>
        <w:tc>
          <w:tcPr>
            <w:tcW w:w="10000" w:type="dxa"/>
            <w:vAlign w:val="bottom"/>
            <w:gridSpan w:val="6"/>
          </w:tcPr>
          <w:p>
            <w:pPr>
              <w:ind w:left="620"/>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180" w:type="dxa"/>
            <w:vAlign w:val="bottom"/>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Signature</w:t>
              </w:r>
            </w:hyperlink>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162"/>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2,890,407</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3,482,032</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of $102,412 and $100,329</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200,158</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66,285</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64,672</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3,249,766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3,813,147</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9,050,178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9,196,644</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287,836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278,195</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398,594</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178,615</w:t>
            </w:r>
          </w:p>
        </w:tc>
        <w:tc>
          <w:tcPr>
            <w:tcW w:w="0" w:type="dxa"/>
            <w:vAlign w:val="bottom"/>
          </w:tcPr>
          <w:p>
            <w:pPr>
              <w:spacing w:after="0"/>
              <w:rPr>
                <w:sz w:val="1"/>
                <w:szCs w:val="1"/>
                <w:color w:val="auto"/>
              </w:rPr>
            </w:pPr>
          </w:p>
        </w:tc>
      </w:tr>
      <w:tr>
        <w:trPr>
          <w:trHeight w:val="222"/>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13,166,911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13,869,547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Accounts and construction payables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133,212</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148,478</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deposits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514,199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646,856</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Gaming taxes payable</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64,711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66,346</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126,846</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143,686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136,421</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596,408</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159,533</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1,369,882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1,880,888</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11,755,169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12,469,362</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123,124</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123,849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133,490</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13,369,850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14,606,864</w:t>
            </w: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15)</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 (deficit):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0"/>
        </w:trPr>
        <w:tc>
          <w:tcPr>
            <w:tcW w:w="8260" w:type="dxa"/>
            <w:vAlign w:val="bottom"/>
            <w:shd w:val="clear" w:color="auto" w:fill="CCEEFF"/>
          </w:tcPr>
          <w:p>
            <w:pPr>
              <w:ind w:left="360"/>
              <w:spacing w:after="0" w:line="150" w:lineRule="exact"/>
              <w:rPr>
                <w:sz w:val="20"/>
                <w:szCs w:val="20"/>
                <w:color w:val="auto"/>
              </w:rPr>
            </w:pPr>
            <w:r>
              <w:rPr>
                <w:rFonts w:ascii="Arial" w:cs="Arial" w:eastAsia="Arial" w:hAnsi="Arial"/>
                <w:sz w:val="16"/>
                <w:szCs w:val="16"/>
                <w:color w:val="auto"/>
                <w:w w:val="89"/>
              </w:rPr>
              <w:t>Common stock, par value $0.01; 400,000,000 shares authorized; 131,280,022 and 123,482,836 shares issued; 115,647,328</w:t>
            </w:r>
          </w:p>
        </w:tc>
        <w:tc>
          <w:tcPr>
            <w:tcW w:w="2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107,888,336 shares outstanding, respectively</w:t>
            </w:r>
          </w:p>
        </w:tc>
        <w:tc>
          <w:tcPr>
            <w:tcW w:w="2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Treasury stock, at cost; 15,632,694 and 15,594,500 shares, respectively</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(1,426,887)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(1,422,531)</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3,466,073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2,598,115</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3,604</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(1,813,317)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(1,532,420)</w:t>
            </w:r>
          </w:p>
        </w:tc>
        <w:tc>
          <w:tcPr>
            <w:tcW w:w="0" w:type="dxa"/>
            <w:vAlign w:val="bottom"/>
          </w:tcPr>
          <w:p>
            <w:pPr>
              <w:spacing w:after="0"/>
              <w:rPr>
                <w:sz w:val="1"/>
                <w:szCs w:val="1"/>
                <w:color w:val="auto"/>
              </w:rPr>
            </w:pPr>
          </w:p>
        </w:tc>
      </w:tr>
      <w:tr>
        <w:trPr>
          <w:trHeight w:val="196"/>
        </w:trPr>
        <w:tc>
          <w:tcPr>
            <w:tcW w:w="8260" w:type="dxa"/>
            <w:vAlign w:val="bottom"/>
          </w:tcPr>
          <w:p>
            <w:pPr>
              <w:ind w:left="680"/>
              <w:spacing w:after="0"/>
              <w:rPr>
                <w:sz w:val="20"/>
                <w:szCs w:val="20"/>
                <w:color w:val="auto"/>
              </w:rPr>
            </w:pPr>
            <w:r>
              <w:rPr>
                <w:rFonts w:ascii="Arial" w:cs="Arial" w:eastAsia="Arial" w:hAnsi="Arial"/>
                <w:sz w:val="16"/>
                <w:szCs w:val="16"/>
                <w:b w:val="1"/>
                <w:bCs w:val="1"/>
                <w:color w:val="auto"/>
              </w:rPr>
              <w:t>Total Wynn Resorts, Limited stockholders' equity (deficit)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233,683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(351,997)</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(436,622)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(385,320)</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b w:val="1"/>
                <w:bCs w:val="1"/>
                <w:color w:val="auto"/>
              </w:rPr>
              <w:t>Total stockholders' deficit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(202,939)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(737,317)</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stockholders' deficit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13,166,911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13,869,547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Casino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516,218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570,789</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152,681</w:t>
            </w: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149,414</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80,832</w:t>
            </w:r>
          </w:p>
        </w:tc>
      </w:tr>
      <w:tr>
        <w:trPr>
          <w:trHeight w:val="223"/>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operating revenues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725,783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953,716</w:t>
            </w: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Casino</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351,966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442,690</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73,480</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175,910</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45,580</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179,774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234,328</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w:t>
            </w: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178,746</w:t>
            </w:r>
          </w:p>
        </w:tc>
      </w:tr>
      <w:tr>
        <w:trPr>
          <w:trHeight w:val="229"/>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901,515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1,201,127</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(247,411)</w:t>
            </w: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7,953</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(128,827)</w:t>
            </w: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Change in derivatives fair value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(15,660)</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w:t>
            </w: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(127,042)</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(335,686)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(374,453)</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(75,800)</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(336,179)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(450,253)</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48,216</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(402,037)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Net loss attributable to Wynn Resorts, Limited: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8480" w:type="dxa"/>
            <w:vAlign w:val="bottom"/>
          </w:tcPr>
          <w:p>
            <w:pPr>
              <w:ind w:left="6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80" w:type="dxa"/>
            <w:vAlign w:val="bottom"/>
          </w:tcPr>
          <w:p>
            <w:pPr>
              <w:ind w:left="6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106,663</w:t>
            </w:r>
          </w:p>
        </w:tc>
      </w:tr>
      <w:tr>
        <w:trPr>
          <w:trHeight w:val="230"/>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(450,253)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before and after tax</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(332,147)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(449,238)</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Comprehensive loss attributable to Wynn Resorts, Limited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(278,081)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(401,305)</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9"/>
          </w:tcPr>
          <w:p>
            <w:pPr>
              <w:ind w:left="560"/>
              <w:spacing w:after="0"/>
              <w:rPr>
                <w:sz w:val="20"/>
                <w:szCs w:val="20"/>
                <w:color w:val="auto"/>
              </w:rPr>
            </w:pPr>
            <w:r>
              <w:rPr>
                <w:rFonts w:ascii="Arial" w:cs="Arial" w:eastAsia="Arial" w:hAnsi="Arial"/>
                <w:sz w:val="13"/>
                <w:szCs w:val="13"/>
                <w:b w:val="1"/>
                <w:bCs w:val="1"/>
                <w:color w:val="auto"/>
                <w:w w:val="89"/>
              </w:rPr>
              <w:t>For the Three Months Ended March 31, 2021</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stockholders'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deficit</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107,888,336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(1,422,531)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2,598,115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(1,532,420)</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(351,997)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(737,317)</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(280,978)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(280,978)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(55,201)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(336,179)</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4,032</w:t>
            </w:r>
          </w:p>
        </w:tc>
        <w:tc>
          <w:tcPr>
            <w:tcW w:w="0" w:type="dxa"/>
            <w:vAlign w:val="bottom"/>
          </w:tcPr>
          <w:p>
            <w:pPr>
              <w:spacing w:after="0"/>
              <w:rPr>
                <w:sz w:val="1"/>
                <w:szCs w:val="1"/>
                <w:color w:val="auto"/>
              </w:rPr>
            </w:pPr>
          </w:p>
        </w:tc>
      </w:tr>
      <w:tr>
        <w:trPr>
          <w:trHeight w:val="122"/>
        </w:trPr>
        <w:tc>
          <w:tcPr>
            <w:tcW w:w="2140" w:type="dxa"/>
            <w:vAlign w:val="bottom"/>
          </w:tcPr>
          <w:p>
            <w:pPr>
              <w:ind w:left="20"/>
              <w:spacing w:after="0" w:line="122" w:lineRule="exact"/>
              <w:rPr>
                <w:sz w:val="20"/>
                <w:szCs w:val="20"/>
                <w:color w:val="auto"/>
              </w:rPr>
            </w:pPr>
            <w:r>
              <w:rPr>
                <w:rFonts w:ascii="Arial" w:cs="Arial" w:eastAsia="Arial" w:hAnsi="Arial"/>
                <w:sz w:val="13"/>
                <w:szCs w:val="13"/>
                <w:color w:val="auto"/>
                <w:w w:val="91"/>
              </w:rPr>
              <w:t>Issuance of common stock, net of $17.7</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ind w:left="20"/>
              <w:spacing w:after="0" w:line="122" w:lineRule="exact"/>
              <w:rPr>
                <w:sz w:val="20"/>
                <w:szCs w:val="20"/>
                <w:color w:val="auto"/>
              </w:rPr>
            </w:pPr>
            <w:r>
              <w:rPr>
                <w:rFonts w:ascii="Arial" w:cs="Arial" w:eastAsia="Arial" w:hAnsi="Arial"/>
                <w:sz w:val="13"/>
                <w:szCs w:val="13"/>
                <w:color w:val="auto"/>
              </w:rPr>
              <w:t>million underwriter discounts,</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7,475,000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841,824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3"/>
            <w:vMerge w:val="restart"/>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841,899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841,899</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commissions and other expenses</w:t>
            </w: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tcPr>
          <w:p>
            <w:pPr>
              <w:jc w:val="right"/>
              <w:spacing w:after="0"/>
              <w:rPr>
                <w:sz w:val="20"/>
                <w:szCs w:val="20"/>
                <w:color w:val="auto"/>
              </w:rPr>
            </w:pPr>
            <w:r>
              <w:rPr>
                <w:rFonts w:ascii="Arial" w:cs="Arial" w:eastAsia="Arial" w:hAnsi="Arial"/>
                <w:sz w:val="13"/>
                <w:szCs w:val="13"/>
                <w:color w:val="auto"/>
              </w:rPr>
              <w:t>(13,099)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1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7"/>
              </w:rPr>
              <w:t>Shares repurchased by the Company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(38,194)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(4,356)</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ind w:left="640"/>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7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22,620</w:t>
            </w:r>
          </w:p>
        </w:tc>
        <w:tc>
          <w:tcPr>
            <w:tcW w:w="0" w:type="dxa"/>
            <w:vAlign w:val="bottom"/>
          </w:tcPr>
          <w:p>
            <w:pPr>
              <w:spacing w:after="0"/>
              <w:rPr>
                <w:sz w:val="1"/>
                <w:szCs w:val="1"/>
                <w:color w:val="auto"/>
              </w:rPr>
            </w:pPr>
          </w:p>
        </w:tc>
      </w:tr>
      <w:tr>
        <w:trPr>
          <w:trHeight w:val="176"/>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Balances, March 31,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115,647,328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(1,426,887)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3,466,073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6,501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(1,813,317)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233,683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(436,622)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(202,939)</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2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ind w:left="560"/>
              <w:spacing w:after="0"/>
              <w:rPr>
                <w:sz w:val="20"/>
                <w:szCs w:val="20"/>
                <w:color w:val="auto"/>
              </w:rPr>
            </w:pPr>
            <w:r>
              <w:rPr>
                <w:rFonts w:ascii="Arial" w:cs="Arial" w:eastAsia="Arial" w:hAnsi="Arial"/>
                <w:sz w:val="13"/>
                <w:szCs w:val="13"/>
                <w:b w:val="1"/>
                <w:bCs w:val="1"/>
                <w:color w:val="auto"/>
                <w:w w:val="89"/>
              </w:rPr>
              <w:t>For the Three Months Ended March 31, 2020</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0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107,363,943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(1,410,998)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2,512,676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641,818</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1,743,045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(201,573)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1,541,472</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(402,037)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(402,037)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(48,216)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(450,253)</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tcPr>
          <w:p>
            <w:pPr>
              <w:jc w:val="right"/>
              <w:spacing w:after="0"/>
              <w:rPr>
                <w:sz w:val="20"/>
                <w:szCs w:val="20"/>
                <w:color w:val="auto"/>
              </w:rPr>
            </w:pPr>
            <w:r>
              <w:rPr>
                <w:rFonts w:ascii="Arial" w:cs="Arial" w:eastAsia="Arial" w:hAnsi="Arial"/>
                <w:sz w:val="13"/>
                <w:szCs w:val="13"/>
                <w:color w:val="auto"/>
              </w:rPr>
              <w:t>620,745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6,086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6,721</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2" w:lineRule="exact"/>
              <w:rPr>
                <w:sz w:val="20"/>
                <w:szCs w:val="20"/>
                <w:color w:val="auto"/>
              </w:rPr>
            </w:pPr>
            <w:r>
              <w:rPr>
                <w:rFonts w:ascii="Arial" w:cs="Arial" w:eastAsia="Arial" w:hAnsi="Arial"/>
                <w:sz w:val="13"/>
                <w:szCs w:val="13"/>
                <w:color w:val="auto"/>
                <w:w w:val="87"/>
              </w:rPr>
              <w:t>Shares repurchased by the Company and</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(44,955)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(5,527)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(5,527)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(5,527)</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(107,515)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(107,501)</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w w:val="99"/>
              </w:rPr>
              <w:t>Distribution to noncontrolling interest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7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7,551</w:t>
            </w:r>
          </w:p>
        </w:tc>
        <w:tc>
          <w:tcPr>
            <w:tcW w:w="0" w:type="dxa"/>
            <w:vAlign w:val="bottom"/>
          </w:tcPr>
          <w:p>
            <w:pPr>
              <w:spacing w:after="0"/>
              <w:rPr>
                <w:sz w:val="1"/>
                <w:szCs w:val="1"/>
                <w:color w:val="auto"/>
              </w:rPr>
            </w:pPr>
          </w:p>
        </w:tc>
      </w:tr>
      <w:tr>
        <w:trPr>
          <w:trHeight w:val="176"/>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Balances, March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107,884,163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(1,416,525)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2,526,062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(947)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132,266</w:t>
            </w:r>
          </w:p>
        </w:tc>
        <w:tc>
          <w:tcPr>
            <w:tcW w:w="1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1,242,090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(249,610)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992,480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(336,179)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(450,253)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178,746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74,860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9,364</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6,944</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843</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credit losses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20,613</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Change in derivatives fair value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15,660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charges and other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16,894</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Increase (decrease) in cash from changes in: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(56,284)</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Inventories, prepaid expenses and other</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5,135</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Customer deposits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71,736</w:t>
            </w:r>
          </w:p>
        </w:tc>
      </w:tr>
      <w:tr>
        <w:trPr>
          <w:trHeight w:val="21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(70,758)</w:t>
            </w:r>
          </w:p>
        </w:tc>
      </w:tr>
      <w:tr>
        <w:trPr>
          <w:trHeight w:val="213"/>
        </w:trPr>
        <w:tc>
          <w:tcPr>
            <w:tcW w:w="826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(253,906)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(176,500)</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 net of construction payables and retention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(139,316)</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Purchase of intangible and other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assets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w:t>
            </w:r>
          </w:p>
        </w:tc>
      </w:tr>
      <w:tr>
        <w:trPr>
          <w:trHeight w:val="207"/>
        </w:trPr>
        <w:tc>
          <w:tcPr>
            <w:tcW w:w="82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(137,154)</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1,469,028</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long-term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(515,194)</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841,899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Finance lease payment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(107,426)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 to noncontrolling interest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Payments for financing costs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w:t>
            </w:r>
          </w:p>
        </w:tc>
      </w:tr>
      <w:tr>
        <w:trPr>
          <w:trHeight w:val="213"/>
        </w:trPr>
        <w:tc>
          <w:tcPr>
            <w:tcW w:w="826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(285,440)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837,997</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3,266</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(589,113)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527,609</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Balance,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3,486,384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2,358,292</w:t>
            </w:r>
          </w:p>
        </w:tc>
      </w:tr>
      <w:tr>
        <w:trPr>
          <w:trHeight w:val="207"/>
        </w:trPr>
        <w:tc>
          <w:tcPr>
            <w:tcW w:w="8260" w:type="dxa"/>
            <w:vAlign w:val="bottom"/>
          </w:tcPr>
          <w:p>
            <w:pPr>
              <w:ind w:left="360"/>
              <w:spacing w:after="0"/>
              <w:rPr>
                <w:sz w:val="20"/>
                <w:szCs w:val="20"/>
                <w:color w:val="auto"/>
              </w:rPr>
            </w:pPr>
            <w:r>
              <w:rPr>
                <w:rFonts w:ascii="Arial" w:cs="Arial" w:eastAsia="Arial" w:hAnsi="Arial"/>
                <w:sz w:val="16"/>
                <w:szCs w:val="16"/>
                <w:b w:val="1"/>
                <w:bCs w:val="1"/>
                <w:color w:val="auto"/>
              </w:rPr>
              <w:t>Balance,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2,897,271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2,885,901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 net of amounts capitalized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88,438</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Liability settled with shares of common stock</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6,272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6,720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127,895</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Other liabilities related to intangible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13,748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13,853</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lease liabilities arising from obtaining finance lease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 On June 23, 2019, the Company opened Encore Boston Harbor, an integrated resort in Everett, Massachusetts, that is owned 100% by the Company. In October 2020, Wynn Interactive Ltd. ("Wynn Interactive") was formed through the merger of the Company's U.S. online sports betting and gaming business, social casino business, and Wynn Resorts' strategic partner, BetBull Limited ("BetBull"). Following the merger and subsequent transactions, Wynn Resorts holds an approximately 74% interest in, and consolidates, Wynn Interactive. The results of its operations are presented within Corporate and other in the accompanying condensed consolidated financial statements, except where otherwise noted.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Since the outbreak of COVID-19 in early 2020,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As part of the immediate response to the initial outbreak of COVID-19, each of the Company's properties was subject to partial or full closure for varying lengths of time during 2020, and have all since reopened with certain COVID-19 specific protective measures, such as limiting the number of seats per table game, slot machine spacing, temperature checks, mask protection, and suspension of certain entertainment and nightlife offerings. Several vaccines have been granted authorization in numerous countries and are being rolled out to citizens based on availability and priority of need. There can be no assurance as to when a sufficient number of individuals will be vaccinated, permitting travel restrictions to be fully lifted.</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Visitation to Macau has fallen significantly since the outbreak of COVID-19, driven by the strong deterrent effect of the COVID-19 pandemic on travel and social activities, quarantine measures in Macau and elsewhere, travel and entry restrictions and conditions in Macau, the PRC, Hong Kong and Taiwan involving COVID-19 testing, among other things, and the suspension or reduced accessibility of transportation to and from Macau. Beginning in June 2020 certain restrictions and conditions have eased to allow for visitation to Macau as certain regions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Company’s Las Vegas Operations and Encore Boston Harbor have each implemented certain COVID-19 specific protective measures, such as limiting the number of seats per table game, slot machine spacing, temperature checks, mask protection, and suspension of certain entertainment and nightlife offerings. On April 8, 2021, Encore at Wynn Las Vegas resumed full operations, having previously adjusted its operating schedule to five days/four nights each week due to reduced customer demand levels beginning on October 19, 2020. On April 13, 2021, the Governor of Nevada announced that the statewide social distancing mandate will be removed and decisions on social distancing will be returned to local authority by May 1, with a goal to have all Nevada counties open to 100% capacity by June 1. The Nevada Gaming Control Board will continue to maintain authority over gaming areas of licensed properties in Nevada. On May 3, 2021, the Gaming Control Board announced that, effective immediately, the Company's Las Vegas Operations are permitted to reopen all gaming areas to 100% of capacity, with no continuing table game or slot machine spacing restrictions. At Encore Boston Harbor, on January 25, 2021,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limitations on operating hours that had been in place since November 2020 were lifted, and the property restored certain operations and reopened its hotel tower on a Thursday through Sunday weekly schedule. On April 27, 2021, the Governor of Massachusetts announced a phased plan for further reopening and increased capacity over the next several months. Effective August 1, 2021, subject to public health and vaccination data, all industry restrictions will be lifted and capacity limits will increase to 100%.</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w:t>
      </w:r>
    </w:p>
    <w:p>
      <w:pPr>
        <w:spacing w:after="0" w:line="2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COVID-19 pandemic has had and will continue to have an adverse effect on the Company's results of operations. Notwithstanding the easing of certain COVID-19 protective measures by authorities throughout the world, certain travel restrictions, quarantine measures, testing requirements, and capacity limitations remain in effect, and the Company is currently unable to determine when protective measures and the suspension of certain offerings in effect at our Macau Operations, Las Vegas Operations, and Encore Boston Harbor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2021, the Company had total cash and cash equivalents, excluding restricted cash, of $2.89 billion, and had access to $833.9 million of available borrowing capacity from the WRF Revolving Facility and $293.0 million of available borrowing capacity from the Wynn Macau Revolving Facility. The Company has suspended its dividend program. Given the Company's liquidity position at March 31, 2021, the Company believes it is able to support continuing operations and respond to the current COVID-19 pandemic challenges.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Agreement</w:t>
      </w:r>
    </w:p>
    <w:p>
      <w:pPr>
        <w:spacing w:after="0" w:line="23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May 10, 2021, Wynn Interactive entered into a business combination agreement (the "Business Combination Agreement") with Austerlitz Acquisition Corporation I, a Cayman Islands exempted company ("Austerlitz I") and Wave Merger Sub Limited, an exempted company limited by shares incorporated in Bermuda and a direct, wholly owned subsidiary of Austerlitz I ("Merger Sub"). The Business Combination Agreement provides for, among other things, the consummation of the following transactions: (i) Austerlitz I will transfer by way of continuation from the Cayman Islands to Bermuda and change its name to "Wynn Interactive, Limited"; and (ii) Merger Sub will merge with and into Wynn Interactive (the "Merger"), with Wynn Interactive being the surviving company of the Merger and direct, wholly owned subsidiary of Austerlitz I. Upon closing of the transaction, assuming no share redemptions by the public stockholders of Austerlitz I, the Company is expected to retain an approximately 58% equity interest (and approximately 72% voting interest) in Wynn Interactive. The proposed business combination is expected to close by the end of 2021, subject to approval by Austerlitz I's stockholders, gaming regulatory approval and other customary closing conditions.</w:t>
      </w:r>
    </w:p>
    <w:p>
      <w:pPr>
        <w:spacing w:after="0" w:line="2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months ended March 31, 2021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All significant intercompany accounts and transactions have been eliminated.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recorded at amortized cost. Casino receivables primarily consist of credit issued to patrons in the form of markers and advances paid to gaming promoters. The Company issues credit based on factors such as level of play and financial resources, following background and credit checks. The casino credit extended by the Company is generally unsecured and due on demand. Gaming promoter advances are settled shortly after each month end.</w:t>
      </w:r>
    </w:p>
    <w:p>
      <w:pPr>
        <w:spacing w:after="0" w:line="19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An estimated allowance for credit losses is maintained to reduce the Company's receivables to their carrying amount, which reflects the net amount the Company expects to collect. The allowance estimate reflects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$212.0 million and $254.0 million for the three months ended March 31,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("ASU 2020-04"). ASU 2020-04 provides optional expedients and exceptions for applying generally accepted accounting principles to contracts, hedging relationships, and other transactions affected by reference rate reform if certain criteria are met. In response to the concerns about structural risks of interbank offered rates and, particularly, the risk of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can be adopted no later than December 1, 2022 with early adoption permitted. The Company is currently assessing the impact the adoption of the new guidance will have on its consolidated financial statements.</w:t>
      </w:r>
    </w:p>
    <w:p>
      <w:pPr>
        <w:spacing w:after="0" w:line="26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tcPr>
          <w:p>
            <w:pPr>
              <w:ind w:left="16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2,476,330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2,501,452</w:t>
            </w: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980,580</w:t>
            </w: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b w:val="1"/>
                <w:bCs w:val="1"/>
                <w:color w:val="auto"/>
              </w:rPr>
              <w:t>Total cash and cash equivalents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2,890,407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3,482,032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2,897,271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3,486,384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wp:posOffset>
            </wp:positionV>
            <wp:extent cx="18859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ind w:left="220" w:hanging="194"/>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ind w:left="220" w:hanging="194"/>
        <w:spacing w:after="0" w:line="20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ind w:left="220" w:hanging="194"/>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Restricted cash consists of cash subject to certain contractual restrictions, cash collateral associated with obligations and cash held in a trust in accordance with WML's share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-261620</wp:posOffset>
            </wp:positionV>
            <wp:extent cx="1885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85,589</w:t>
            </w:r>
          </w:p>
        </w:tc>
      </w:tr>
      <w:tr>
        <w:trPr>
          <w:trHeight w:val="223"/>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317,749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300,487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(100,329)</w:t>
            </w:r>
          </w:p>
        </w:tc>
      </w:tr>
      <w:tr>
        <w:trPr>
          <w:trHeight w:val="223"/>
        </w:trPr>
        <w:tc>
          <w:tcPr>
            <w:tcW w:w="82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215,337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200,158</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2021 and December 31, 2020, approximately 75.8% and 77.3%,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Company’s allowance for casino credit losses was 43.0% and 47.2% of gross casino receivables as of March 31, 2021 and December 31, 2020,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19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 (in thousands):</w:t>
      </w:r>
    </w:p>
    <w:tbl>
      <w:tblPr>
        <w:tblLayout w:type="fixed"/>
        <w:tblInd w:w="0" w:type="dxa"/>
        <w:tblCellMar>
          <w:top w:w="0" w:type="dxa"/>
          <w:left w:w="0" w:type="dxa"/>
          <w:bottom w:w="0" w:type="dxa"/>
          <w:right w:w="0" w:type="dxa"/>
        </w:tblCellMar>
      </w:tblPr>
      <w:tr>
        <w:trPr>
          <w:trHeight w:val="144"/>
        </w:trPr>
        <w:tc>
          <w:tcPr>
            <w:tcW w:w="8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220" w:type="dxa"/>
            <w:vAlign w:val="bottom"/>
          </w:tcPr>
          <w:p>
            <w:pPr>
              <w:jc w:val="center"/>
              <w:ind w:right="114"/>
              <w:spacing w:after="0" w:line="145"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39,317</w:t>
            </w:r>
          </w:p>
        </w:tc>
        <w:tc>
          <w:tcPr>
            <w:tcW w:w="0" w:type="dxa"/>
            <w:vAlign w:val="bottom"/>
          </w:tcPr>
          <w:p>
            <w:pPr>
              <w:spacing w:after="0"/>
              <w:rPr>
                <w:sz w:val="1"/>
                <w:szCs w:val="1"/>
                <w:color w:val="auto"/>
              </w:rPr>
            </w:pPr>
          </w:p>
        </w:tc>
      </w:tr>
      <w:tr>
        <w:trPr>
          <w:trHeight w:val="230"/>
        </w:trPr>
        <w:tc>
          <w:tcPr>
            <w:tcW w:w="82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8260" w:type="dxa"/>
            <w:vAlign w:val="bottom"/>
          </w:tcPr>
          <w:p>
            <w:pPr>
              <w:ind w:left="160"/>
              <w:spacing w:after="0"/>
              <w:rPr>
                <w:sz w:val="20"/>
                <w:szCs w:val="20"/>
                <w:color w:val="auto"/>
              </w:rPr>
            </w:pPr>
            <w:r>
              <w:rPr>
                <w:rFonts w:ascii="Arial" w:cs="Arial" w:eastAsia="Arial" w:hAnsi="Arial"/>
                <w:sz w:val="18"/>
                <w:szCs w:val="18"/>
                <w:color w:val="auto"/>
              </w:rPr>
              <w:t>Recoveries of receivables previously written off</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102,412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59,971</w:t>
            </w:r>
          </w:p>
        </w:tc>
        <w:tc>
          <w:tcPr>
            <w:tcW w:w="0" w:type="dxa"/>
            <w:vAlign w:val="bottom"/>
          </w:tcPr>
          <w:p>
            <w:pPr>
              <w:spacing w:after="0"/>
              <w:rPr>
                <w:sz w:val="1"/>
                <w:szCs w:val="1"/>
                <w:color w:val="auto"/>
              </w:rPr>
            </w:pPr>
          </w:p>
        </w:tc>
      </w:tr>
      <w:tr>
        <w:trPr>
          <w:trHeight w:val="21"/>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9,758,846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1,265,598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1,265,510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3,093,481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Airplanes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110,623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136,390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14,386,811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14,364,850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(5,168,206)</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9,050,178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9,196,644</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2021 and December 31, 2020, construction in progress consisted primarily of costs capitalized for various capital enhancements at the Company's properties.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expense for the three months ended March 31, 2021 and 2020 was $177.7 million and $172.3 million, respectively.</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movement in the Company's goodwill balance that occurred during the three-month period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March 31,</w:t>
            </w:r>
          </w:p>
        </w:tc>
      </w:tr>
      <w:tr>
        <w:trPr>
          <w:trHeight w:val="188"/>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144,095</w:t>
            </w:r>
          </w:p>
        </w:tc>
      </w:tr>
      <w:tr>
        <w:trPr>
          <w:trHeight w:val="229"/>
        </w:trPr>
        <w:tc>
          <w:tcPr>
            <w:tcW w:w="9800" w:type="dxa"/>
            <w:vAlign w:val="bottom"/>
          </w:tcPr>
          <w:p>
            <w:pPr>
              <w:ind w:left="10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145,407</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recognized goodwill of $121.0 million in 2020 in connection with the acquisition of Betbull. Goodwill is included in Corporate and other as of March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7 -</w:t>
      </w:r>
      <w:r>
        <w:rPr>
          <w:sz w:val="20"/>
          <w:szCs w:val="20"/>
          <w:color w:val="auto"/>
        </w:rPr>
        <w:tab/>
      </w:r>
      <w:r>
        <w:rPr>
          <w:rFonts w:ascii="Arial" w:cs="Arial" w:eastAsia="Arial" w:hAnsi="Arial"/>
          <w:sz w:val="16"/>
          <w:szCs w:val="16"/>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Wynn Macau Term Loan, due 2022 </w:t>
            </w:r>
            <w:r>
              <w:rPr>
                <w:rFonts w:ascii="Arial" w:cs="Arial" w:eastAsia="Arial" w:hAnsi="Arial"/>
                <w:sz w:val="14"/>
                <w:szCs w:val="14"/>
                <w:color w:val="auto"/>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1,268,106</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 xml:space="preserve">Wynn Macau Revolver, due 2022 </w:t>
            </w: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407,443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4 7/8% Senior Notes, due 2024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WML 5 1/2% Senior Notes, due 2026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1/2% Senior Notes, due 2027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WML 5 5/8% Senior Notes, due 2028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1,350,000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1/8% Senior Notes, due 2029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56"/>
        </w:trPr>
        <w:tc>
          <w:tcPr>
            <w:tcW w:w="8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(4)</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WRF Term Loan, due 2024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WRF Revolver, due 2024</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716,000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4 1/4% Senior Notes, due 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WLV 5 1/2% Senior Notes, due 2025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1,780,000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5 1/4% Senior Notes, due 2027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WRF 7 3/4% Senior Notes, due 2025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5 1/8% Senior Notes, due 2029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r>
      <w:tr>
        <w:trPr>
          <w:trHeight w:val="223"/>
        </w:trPr>
        <w:tc>
          <w:tcPr>
            <w:tcW w:w="8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12,035,465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13,154,049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(88,279)</w:t>
            </w:r>
          </w:p>
        </w:tc>
      </w:tr>
      <w:tr>
        <w:trPr>
          <w:trHeight w:val="223"/>
        </w:trPr>
        <w:tc>
          <w:tcPr>
            <w:tcW w:w="8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11,953,634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13,065,770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(596,408)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11,755,169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12,469,362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borrowings under the Wynn Macau Credit Facilities bear interest at LIBOR or HIBOR plus a margin of 1.50% to 2.25% per annum based on Wynn Resorts Macau S.A.’s leverage ratio.</w:t>
      </w:r>
    </w:p>
    <w:p>
      <w:pPr>
        <w:spacing w:after="0" w:line="24" w:lineRule="exact"/>
        <w:rPr>
          <w:rFonts w:ascii="Arial" w:cs="Arial" w:eastAsia="Arial" w:hAnsi="Arial"/>
          <w:sz w:val="13"/>
          <w:szCs w:val="13"/>
          <w:color w:val="auto"/>
        </w:rPr>
      </w:pPr>
    </w:p>
    <w:p>
      <w:pPr>
        <w:ind w:left="260" w:hanging="252"/>
        <w:spacing w:after="0" w:line="260" w:lineRule="auto"/>
        <w:tabs>
          <w:tab w:leader="none" w:pos="225" w:val="left"/>
        </w:tabs>
        <w:numPr>
          <w:ilvl w:val="0"/>
          <w:numId w:val="4"/>
        </w:numPr>
        <w:rPr>
          <w:rFonts w:ascii="Arial" w:cs="Arial" w:eastAsia="Arial" w:hAnsi="Arial"/>
          <w:sz w:val="13"/>
          <w:szCs w:val="13"/>
          <w:color w:val="auto"/>
        </w:rPr>
      </w:pPr>
      <w:r>
        <w:rPr>
          <w:rFonts w:ascii="Arial" w:cs="Arial" w:eastAsia="Arial" w:hAnsi="Arial"/>
          <w:sz w:val="13"/>
          <w:szCs w:val="13"/>
          <w:color w:val="auto"/>
        </w:rPr>
        <w:t>Approximately $469.2 million and $359.3 million of the Wynn Macau Term Loan bears interest at a rate of LIBOR plus 2.25% per year and HIBOR plus 2.25% per year, respectively. As of March 31, 2021, the weighted average interest rate was approximately 2.37%. In January 2021, the Company prepaid $412.5 million of the Wynn Macau Term Loan.</w:t>
      </w:r>
    </w:p>
    <w:p>
      <w:pPr>
        <w:ind w:left="260" w:hanging="252"/>
        <w:spacing w:after="0" w:line="260" w:lineRule="auto"/>
        <w:tabs>
          <w:tab w:leader="none" w:pos="229" w:val="left"/>
        </w:tabs>
        <w:numPr>
          <w:ilvl w:val="0"/>
          <w:numId w:val="4"/>
        </w:numPr>
        <w:rPr>
          <w:rFonts w:ascii="Arial" w:cs="Arial" w:eastAsia="Arial" w:hAnsi="Arial"/>
          <w:sz w:val="13"/>
          <w:szCs w:val="13"/>
          <w:color w:val="auto"/>
        </w:rPr>
      </w:pPr>
      <w:r>
        <w:rPr>
          <w:rFonts w:ascii="Arial" w:cs="Arial" w:eastAsia="Arial" w:hAnsi="Arial"/>
          <w:sz w:val="13"/>
          <w:szCs w:val="13"/>
          <w:color w:val="auto"/>
        </w:rPr>
        <w:t>Approximately $260.2 million and $196.8 million of the Wynn Macau Revolver bears interest at a rate of LIBOR plus 2.25% per year and HIBOR plus 2.25% per year, respectively. As of March 31, 2021, the weighted average interest rate was approximately 2.38%. As of March 31, 2021, the available borrowing capacity under the Wynn Macau Revolver was $293.0 million.</w:t>
      </w:r>
    </w:p>
    <w:p>
      <w:pPr>
        <w:ind w:left="260" w:hanging="252"/>
        <w:spacing w:after="0" w:line="241" w:lineRule="auto"/>
        <w:tabs>
          <w:tab w:leader="none" w:pos="23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March 31, 2021, the weighted average interest rate was approximately 1.86%. Additionally, as of March 31, 2021, the available borrowing capacity under the WRF Revolver was $833.9 million, net of $16.1 million in outstanding letters of credit.</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March 31, 2021, the effective interest rate was 2.70%.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2021, management believes the Company was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March 31, 2021 and December 31, 2020, was approximately $12.31 billion and $13.35 billion, respectively, compared to its carrying value, excluding debt issuance costs and original issue discount and premium, of $12.04 billion and $13.15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 (Deficit)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commissions, and other expenses. The Company used $716.0 million of the proceeds from the equity offering to repay the outstanding borrowings under the WRF Revolver, and intends to use the remaining net proceeds for general corporate purposes.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2020, the Company paid a cash dividend of $1.00 per share, and recorded $107.5 million as a reduction of retained earnings from cash dividends declared.</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6, 2020, the Company announced that it had suspended its quarterly dividend program due to the financial impact of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5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The WML board of directors concluded not to recommend the payment of a dividend with respect to either of the years ended December 31, 2020 or 2019 due to the financial impact of the COVID-19 pandemic. As such, WML paid no dividends during 2020 or the three months ended March 31, 2021.</w:t>
      </w:r>
    </w:p>
    <w:p>
      <w:pPr>
        <w:spacing w:after="0" w:line="15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During the three months ended March 31, 2021, the Retail Joint Venture did not make any distribution to its non-controlling interest holder. During the three months ended March 31, 2020, the Retail Joint Venture made aggregate distributions of approximately $1.0 million to its non-controlling interest holder. For more information on the Retail Joint Venture, see Note 16, "Retail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9 -</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5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1"/>
                <w:szCs w:val="11"/>
                <w:color w:val="auto"/>
              </w:rPr>
            </w:pPr>
          </w:p>
        </w:tc>
        <w:tc>
          <w:tcPr>
            <w:tcW w:w="154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414,077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364,077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12,499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5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1"/>
                <w:szCs w:val="11"/>
                <w:color w:val="auto"/>
              </w:rPr>
            </w:pPr>
          </w:p>
        </w:tc>
        <w:tc>
          <w:tcPr>
            <w:tcW w:w="154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980,580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504,980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16,908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Customer Contract Liabilities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(decrease)</w:t>
            </w: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2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 xml:space="preserve">Casino outstanding chips and front money deposits </w:t>
            </w:r>
            <w:r>
              <w:rPr>
                <w:rFonts w:ascii="Arial" w:cs="Arial" w:eastAsia="Arial" w:hAnsi="Arial"/>
                <w:sz w:val="14"/>
                <w:szCs w:val="14"/>
                <w:color w:val="auto"/>
                <w:w w:val="90"/>
              </w:rPr>
              <w:t>(1)</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596,463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88,180</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(20,541)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535,980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58,403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260" w:hanging="252"/>
        <w:spacing w:after="0" w:line="247" w:lineRule="auto"/>
        <w:tabs>
          <w:tab w:leader="none" w:pos="229"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spacing w:after="0" w:line="1" w:lineRule="exact"/>
        <w:rPr>
          <w:sz w:val="20"/>
          <w:szCs w:val="20"/>
          <w:color w:val="auto"/>
        </w:rPr>
      </w:pPr>
    </w:p>
    <w:p>
      <w:pPr>
        <w:jc w:val="both"/>
        <w:ind w:left="260" w:hanging="242"/>
        <w:spacing w:after="0" w:line="241" w:lineRule="auto"/>
        <w:rPr>
          <w:sz w:val="20"/>
          <w:szCs w:val="20"/>
          <w:color w:val="auto"/>
        </w:rPr>
      </w:pPr>
      <w:r>
        <w:rPr>
          <w:rFonts w:ascii="Arial" w:cs="Arial" w:eastAsia="Arial" w:hAnsi="Arial"/>
          <w:sz w:val="14"/>
          <w:szCs w:val="14"/>
          <w:color w:val="auto"/>
        </w:rPr>
        <w:t>(2) Advance room deposits and ticket sales represent cash received in advance for goods or services to be provided in the future. These amounts are included in</w:t>
      </w:r>
      <w:r>
        <w:rPr>
          <w:sz w:val="20"/>
          <w:szCs w:val="20"/>
          <w:color w:val="auto"/>
        </w:rPr>
        <w:t xml:space="preserve"> </w:t>
      </w:r>
      <w:r>
        <w:rPr>
          <w:rFonts w:ascii="Arial" w:cs="Arial" w:eastAsia="Arial" w:hAnsi="Arial"/>
          <w:sz w:val="14"/>
          <w:szCs w:val="14"/>
          <w:color w:val="auto"/>
        </w:rPr>
        <w:t>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1" w:lineRule="exact"/>
        <w:rPr>
          <w:sz w:val="20"/>
          <w:szCs w:val="20"/>
          <w:color w:val="auto"/>
        </w:rPr>
      </w:pPr>
    </w:p>
    <w:p>
      <w:pPr>
        <w:ind w:left="260" w:hanging="252"/>
        <w:spacing w:after="0" w:line="241"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55"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Casino </w:t>
            </w:r>
            <w:r>
              <w:rPr>
                <w:rFonts w:ascii="Arial" w:cs="Arial" w:eastAsia="Arial" w:hAnsi="Arial"/>
                <w:sz w:val="14"/>
                <w:szCs w:val="14"/>
                <w:color w:val="auto"/>
              </w:rPr>
              <w:t>(1)</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Rooms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Entertainment, retail and other</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14,499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9,201</w:t>
            </w: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3"/>
              </w:rPr>
              <w:t>24,346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4"/>
              </w:rPr>
              <w:t>9,364</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capitalized</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25,251</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9,581</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73" w:lineRule="auto"/>
        <w:tabs>
          <w:tab w:leader="none" w:pos="234"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March 31, 2020, reflects the reversal of $3.3 million of compensation cost previously recognized for awards forfeited in connection with the departure of an employee.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an income tax expense of $0.5 million and $75.8 million for the three months ended March 31, 2021 and 2020, respectively. The 2021 income tax expense primarily related to the Macau dividend tax agreement that provides for an annual payment of MOP 12.8 million (approximately $1.6 million) as complementary tax otherwise due by stockholders of Wynn Macau SA. The 2020 income tax expense primarily related to the increase in the valuation allowance for U.S. foreign tax credits.</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March 2021, the Company received an extension of its Macau dividend tax agreement, providing for a payment of MOP 12.8 million (approximately $1.6 million) for 2021 and MOP 6.3 million (approximately $0.8 million) for the period ending June 26, 2022, the expiration date of the gaming concession agreement.</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records valuation allowances on certain of its U.S. and foreign deferred tax assets. During the third quarter of 2020, the Company concluded it could no longer rely on forecasted future taxable income in assessing a valuation allowance on its deferred tax assets. This conclusion was reached due to cumulative operating losses incurred by the Company and tax legislation that reduced future sources of taxable income. As of March 31, 2021, the Company continues to rely solely on the reversal of net taxable temporary differences in assessing a need for a valuation allowance.</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2020, Wynn Macau SA received an extension of the exemption from Macau’s 12% Complementary Tax on casino gaming profits earned from January 1, 2021 to June 26, 2022, the expiration date of the gaming concession agreement.</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2021 and 2020,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concession agreement.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March 2021, the Financial Services Bureau concluded its review of the 2017 and 2018 Macau income tax returns of Palo with no changes.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Basic earnings per share ("EPS") is computed by dividing net loss attributable to Wynn Resorts by the weighted average number of common shares outstanding during the period. Diluted EPS is computed by dividing net loss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(402,037)</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106,663</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Potential dilutive effect of stock options, nonvested, and performance nonvested shares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106,663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attributable to Wynn Resorts, Limited per common share,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Net loss attributable to Wynn Resorts, Limited per common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360" w:type="dxa"/>
            <w:vAlign w:val="bottom"/>
          </w:tcPr>
          <w:p>
            <w:pPr>
              <w:ind w:left="220"/>
              <w:spacing w:after="0" w:line="176" w:lineRule="exact"/>
              <w:rPr>
                <w:sz w:val="20"/>
                <w:szCs w:val="20"/>
                <w:color w:val="auto"/>
              </w:rPr>
            </w:pPr>
            <w:r>
              <w:rPr>
                <w:rFonts w:ascii="Arial" w:cs="Arial" w:eastAsia="Arial" w:hAnsi="Arial"/>
                <w:sz w:val="18"/>
                <w:szCs w:val="18"/>
                <w:color w:val="auto"/>
                <w:w w:val="95"/>
              </w:rPr>
              <w:t>Anti-dilutive stock options, nonvested, and performance nonvested shares excluded from the calculation of</w:t>
            </w: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03"/>
        </w:trPr>
        <w:tc>
          <w:tcPr>
            <w:tcW w:w="8360" w:type="dxa"/>
            <w:vAlign w:val="bottom"/>
          </w:tcPr>
          <w:p>
            <w:pPr>
              <w:ind w:left="220"/>
              <w:spacing w:after="0" w:line="202" w:lineRule="exact"/>
              <w:rPr>
                <w:sz w:val="20"/>
                <w:szCs w:val="20"/>
                <w:color w:val="auto"/>
              </w:rPr>
            </w:pPr>
            <w:r>
              <w:rPr>
                <w:rFonts w:ascii="Arial" w:cs="Arial" w:eastAsia="Arial" w:hAnsi="Arial"/>
                <w:sz w:val="18"/>
                <w:szCs w:val="18"/>
                <w:color w:val="auto"/>
              </w:rPr>
              <w:t>diluted net income per share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rental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31,650</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rental income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38,329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(the "Boston area license"). On November 7, 2014, the gaming license became effective.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Revere Action</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plaintiffs appealed. After multiple appeals and cross appeals, only two claims remained: (1) individual plaintiffs' claim for violation of the open meeting laws; and (2) Mohegan's claim for procedural error. On July 12, 2019, the Suffolk Superior Court granted the MGC's motion for summary judgment and dismissed the open meeting law claim, leaving only Mohegan's procedural claim for procedural error.</w:t>
      </w:r>
    </w:p>
    <w:p>
      <w:pPr>
        <w:spacing w:after="0" w:line="21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August 2, 2019, Mohegan filed a motion to file a second amended complaint, to add new claims related to the MGC's allegedly inadequate 2013 investigation. On October 15, 2019, the court granted Mohegan's motion to amend and allowed it to file a second amended intervenor's complaint.</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is not a party to and is not named in the Revere Action.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 number of stockholder derivative actions were filed in state and federal court located in Clark County, Nevada against certain current and former members of the Company's Board of Directors and, in some cases, the Company's current and former officers. Each of the complaints alleged, among other things, breach of fiduciary duties in failing to detect, prevent and remedy alleged inappropriate personal conduct by Stephen A. Wynn in the workplace.</w:t>
      </w:r>
    </w:p>
    <w:p>
      <w:pPr>
        <w:spacing w:after="0" w:line="1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actions filed in the Eighth Judicial District Court of Clark County,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This case was consolidated in September 2019 into the State Derivative Case.</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November 27, 2019, the State Derivative Case parties agreed to terms of a settlement agreement. The court approved the settlement agreement on February 12, 2020, and entered a written order approving the settlement on March 10, 2020. Following the Nevada Supreme Court’s dismissal of the only appeal, the settlement agreement became effective and final. Following the dismissal, the Company received net proceeds of $30.2 million, which has been recognized as a reduction of general and administrative expense within the Condensed Consolidated Statements of Operations for the nine months ended September 30, 2020.</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2018, several actions filed in the United States District Court, District of Nevada were consolidated as </w:t>
      </w:r>
      <w:r>
        <w:rPr>
          <w:rFonts w:ascii="Arial" w:cs="Arial" w:eastAsia="Arial" w:hAnsi="Arial"/>
          <w:sz w:val="18"/>
          <w:szCs w:val="18"/>
          <w:i w:val="1"/>
          <w:iCs w:val="1"/>
          <w:color w:val="auto"/>
        </w:rPr>
        <w:t>In re Wynn Resorts, Ltd.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("Federal Derivative Case"), which also claim corporate waste and violation of Section 14(a) of the Exchange Act. In June 2018,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motion to dismiss and a motion to stay pending resolution of the Securities Action (described below). On March 29, 2019, the Court granted the Company's request for a stay. On March 25, 2020, the parties stipulated to dismiss the Federal Derivative Case given the approved settlement in the State Derivative Case.</w:t>
      </w:r>
    </w:p>
    <w:p>
      <w:pPr>
        <w:spacing w:after="0" w:line="21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25, 2019, a separate stockholder derivative action was filed in the United States District Court, District of Nevada alleging similar causes of action as the Federal Derivative Case with the additional allegation that the Board of Directors improperly refused the stockholder's demand to commence litigation against the officers and directors of the Company. On April 30, 2020, the Company filed a motion for summary judgment, seeking dismissal of the claims given the approved settlement in the State Derivative Case. On January 12, 2021, the court granted the Company’s motion for summary judgment of this action and denied the stockholder’s request to vacate the parties' stipulation to dismiss the Federal Derivative Case. On February 11, 2021, the stockholder filed a notice of appeal to the United States Court of Appeals for the Ninth Circuit.</w:t>
      </w:r>
    </w:p>
    <w:p>
      <w:pPr>
        <w:spacing w:after="0" w:line="20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Each of the actions sought to recover for the Company unspecified damages, including restitution and disgorgement of profits, and also sought to recover attorneys' fees, costs and related expenses for the plaintiff.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which is pending decision from the court.</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Investigation</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in the first half of 2020, received two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Retail Joint Venture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2021 and December 31, 2020, the Retail Joint Venture had total assets of $103.9 million and $96.3 million, respectively, and total liabilities of $629.7 million and $633.5 million, respectively. As of March 31, 2021 and December 31, 2020, the Retail Joint Venture's liabilities included long-term debt of $612.5 million and $612.3 million, respectively, net of debt issuance costs, related to the outstanding borrowings under the Retail Term Loan.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Information</w:t>
      </w:r>
    </w:p>
    <w:p>
      <w:pPr>
        <w:spacing w:after="0" w:line="2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Other Macau primarily represents the assets for the Company's Macau holding company. Wynn Las Vegas, Encore, an expansion at Wynn Las Vegas, and the Retail Joint Venture are managed as a single integrated resort and have been aggregated as one reportable segment ("Las Vegas Operations"). Encore Boston Harbor is presented as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1"/>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30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185,909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207,576</w:t>
            </w:r>
          </w:p>
        </w:tc>
      </w:tr>
      <w:tr>
        <w:trPr>
          <w:trHeight w:val="230"/>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w:t>
            </w:r>
          </w:p>
        </w:tc>
      </w:tr>
      <w:tr>
        <w:trPr>
          <w:trHeight w:val="229"/>
        </w:trPr>
        <w:tc>
          <w:tcPr>
            <w:tcW w:w="83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13,298</w:t>
            </w:r>
          </w:p>
        </w:tc>
      </w:tr>
      <w:tr>
        <w:trPr>
          <w:trHeight w:val="229"/>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18,929</w:t>
            </w:r>
          </w:p>
        </w:tc>
      </w:tr>
      <w:tr>
        <w:trPr>
          <w:trHeight w:val="223"/>
        </w:trPr>
        <w:tc>
          <w:tcPr>
            <w:tcW w:w="8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237,326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259,513</w:t>
            </w: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30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138,927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190,128</w:t>
            </w:r>
          </w:p>
        </w:tc>
      </w:tr>
      <w:tr>
        <w:trPr>
          <w:trHeight w:val="229"/>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15,911</w:t>
            </w:r>
          </w:p>
        </w:tc>
      </w:tr>
      <w:tr>
        <w:trPr>
          <w:trHeight w:val="229"/>
        </w:trPr>
        <w:tc>
          <w:tcPr>
            <w:tcW w:w="83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9,531</w:t>
            </w:r>
          </w:p>
        </w:tc>
      </w:tr>
      <w:tr>
        <w:trPr>
          <w:trHeight w:val="230"/>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13,919</w:t>
            </w:r>
          </w:p>
        </w:tc>
      </w:tr>
      <w:tr>
        <w:trPr>
          <w:trHeight w:val="223"/>
        </w:trPr>
        <w:tc>
          <w:tcPr>
            <w:tcW w:w="8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229,489</w:t>
            </w:r>
          </w:p>
        </w:tc>
      </w:tr>
      <w:tr>
        <w:trPr>
          <w:trHeight w:val="223"/>
        </w:trPr>
        <w:tc>
          <w:tcPr>
            <w:tcW w:w="83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416,977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489,002</w:t>
            </w:r>
          </w:p>
        </w:tc>
      </w:tr>
      <w:tr>
        <w:trPr>
          <w:trHeight w:val="250"/>
        </w:trPr>
        <w:tc>
          <w:tcPr>
            <w:tcW w:w="8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0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71,295</w:t>
            </w:r>
          </w:p>
        </w:tc>
      </w:tr>
      <w:tr>
        <w:trPr>
          <w:trHeight w:val="229"/>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106,105</w:t>
            </w:r>
          </w:p>
        </w:tc>
      </w:tr>
      <w:tr>
        <w:trPr>
          <w:trHeight w:val="229"/>
        </w:trPr>
        <w:tc>
          <w:tcPr>
            <w:tcW w:w="83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105,979</w:t>
            </w:r>
          </w:p>
        </w:tc>
      </w:tr>
      <w:tr>
        <w:trPr>
          <w:trHeight w:val="230"/>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40,445</w:t>
            </w:r>
          </w:p>
        </w:tc>
      </w:tr>
      <w:tr>
        <w:trPr>
          <w:trHeight w:val="223"/>
        </w:trPr>
        <w:tc>
          <w:tcPr>
            <w:tcW w:w="830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Las Vegas Operations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323,824</w:t>
            </w:r>
          </w:p>
        </w:tc>
      </w:tr>
      <w:tr>
        <w:trPr>
          <w:trHeight w:val="250"/>
        </w:trPr>
        <w:tc>
          <w:tcPr>
            <w:tcW w:w="8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101,790</w:t>
            </w:r>
          </w:p>
        </w:tc>
      </w:tr>
      <w:tr>
        <w:trPr>
          <w:trHeight w:val="230"/>
        </w:trPr>
        <w:tc>
          <w:tcPr>
            <w:tcW w:w="8300" w:type="dxa"/>
            <w:vAlign w:val="bottom"/>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10,955</w:t>
            </w:r>
          </w:p>
        </w:tc>
      </w:tr>
      <w:tr>
        <w:trPr>
          <w:trHeight w:val="230"/>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20,606</w:t>
            </w:r>
          </w:p>
        </w:tc>
      </w:tr>
      <w:tr>
        <w:trPr>
          <w:trHeight w:val="230"/>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w:t>
            </w:r>
          </w:p>
        </w:tc>
      </w:tr>
      <w:tr>
        <w:trPr>
          <w:trHeight w:val="223"/>
        </w:trPr>
        <w:tc>
          <w:tcPr>
            <w:tcW w:w="83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140,890</w:t>
            </w:r>
          </w:p>
        </w:tc>
      </w:tr>
      <w:tr>
        <w:trPr>
          <w:trHeight w:val="250"/>
        </w:trPr>
        <w:tc>
          <w:tcPr>
            <w:tcW w:w="83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953,716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w:t>
            </w:r>
          </w:p>
        </w:tc>
      </w:tr>
      <w:tr>
        <w:trPr>
          <w:trHeight w:val="223"/>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29,384</w:t>
            </w:r>
          </w:p>
        </w:tc>
      </w:tr>
      <w:tr>
        <w:trPr>
          <w:trHeight w:val="229"/>
        </w:trPr>
        <w:tc>
          <w:tcPr>
            <w:tcW w:w="8260" w:type="dxa"/>
            <w:vAlign w:val="bottom"/>
          </w:tcPr>
          <w:p>
            <w:pPr>
              <w:ind w:left="200"/>
              <w:spacing w:after="0"/>
              <w:rPr>
                <w:sz w:val="20"/>
                <w:szCs w:val="20"/>
                <w:color w:val="auto"/>
              </w:rPr>
            </w:pPr>
            <w:r>
              <w:rPr>
                <w:rFonts w:ascii="Arial" w:cs="Arial" w:eastAsia="Arial" w:hAnsi="Arial"/>
                <w:sz w:val="18"/>
                <w:szCs w:val="18"/>
                <w:color w:val="auto"/>
              </w:rPr>
              <w:t xml:space="preserve">Las Vegas Operations </w:t>
            </w:r>
            <w:r>
              <w:rPr>
                <w:rFonts w:ascii="Arial" w:cs="Arial" w:eastAsia="Arial" w:hAnsi="Arial"/>
                <w:sz w:val="14"/>
                <w:szCs w:val="14"/>
                <w:color w:val="auto"/>
              </w:rPr>
              <w:t>(3)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(22,077)</w:t>
            </w:r>
          </w:p>
        </w:tc>
      </w:tr>
      <w:tr>
        <w:trPr>
          <w:trHeight w:val="229"/>
        </w:trPr>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Other 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Pre-opening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178,746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27,229</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Corporate expenses and other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24,192</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other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242,082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(175,732)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(247,411)</w:t>
            </w: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(128,827)</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derivatives fair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10,335</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other non-operating income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(159,954)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(127,042)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(374,453)</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(450,253)</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(402,037)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14, "Leases".</w:t>
      </w:r>
    </w:p>
    <w:p>
      <w:pPr>
        <w:spacing w:after="0" w:line="13" w:lineRule="exact"/>
        <w:rPr>
          <w:rFonts w:ascii="Arial" w:cs="Arial" w:eastAsia="Arial" w:hAnsi="Arial"/>
          <w:sz w:val="14"/>
          <w:szCs w:val="14"/>
          <w:color w:val="auto"/>
        </w:rPr>
      </w:pPr>
    </w:p>
    <w:p>
      <w:pPr>
        <w:jc w:val="both"/>
        <w:ind w:left="260" w:hanging="252"/>
        <w:spacing w:after="0" w:line="260" w:lineRule="auto"/>
        <w:tabs>
          <w:tab w:leader="none" w:pos="242"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ind w:left="260" w:hanging="252"/>
        <w:spacing w:after="0" w:line="241"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months ended March 31, 2020, includes $56.4 million of expense accrued during the quarter related to the Company's commitment to pay salary, tips, and benefits continuation for all of its U.S. employees for the period from April 1 through May 15, 2020.</w:t>
      </w:r>
    </w:p>
    <w:p>
      <w:pPr>
        <w:ind w:left="260" w:hanging="252"/>
        <w:spacing w:after="0" w:line="255"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months ended March 31, 2020, includes $19.3 million of expense accrued during the quarter related to the Company's commitment to pay salary, tips, and benefits continuation for all of its U.S. employees for the period from April 1 through May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7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Macau Operations: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3,393,790</w:t>
            </w:r>
          </w:p>
        </w:tc>
      </w:tr>
      <w:tr>
        <w:trPr>
          <w:trHeight w:val="229"/>
        </w:trPr>
        <w:tc>
          <w:tcPr>
            <w:tcW w:w="806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1,054,456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1,202,709</w:t>
            </w:r>
          </w:p>
        </w:tc>
      </w:tr>
      <w:tr>
        <w:trPr>
          <w:trHeight w:val="229"/>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Macau</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2,026,098</w:t>
            </w:r>
          </w:p>
        </w:tc>
      </w:tr>
      <w:tr>
        <w:trPr>
          <w:trHeight w:val="223"/>
        </w:trPr>
        <w:tc>
          <w:tcPr>
            <w:tcW w:w="8060" w:type="dxa"/>
            <w:vAlign w:val="bottom"/>
          </w:tcPr>
          <w:p>
            <w:pPr>
              <w:ind w:left="640"/>
              <w:spacing w:after="0"/>
              <w:rPr>
                <w:sz w:val="20"/>
                <w:szCs w:val="20"/>
                <w:color w:val="auto"/>
              </w:rPr>
            </w:pPr>
            <w:r>
              <w:rPr>
                <w:rFonts w:ascii="Arial" w:cs="Arial" w:eastAsia="Arial" w:hAnsi="Arial"/>
                <w:sz w:val="18"/>
                <w:szCs w:val="18"/>
                <w:b w:val="1"/>
                <w:bCs w:val="1"/>
                <w:color w:val="auto"/>
              </w:rPr>
              <w:t>Total Macau Operations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5,902,058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6,622,597</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Las Vegas Operations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2,992,870</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Encore Boston Harbor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2,276,657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2,300,016</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1,954,064</w:t>
            </w:r>
          </w:p>
        </w:tc>
      </w:tr>
      <w:tr>
        <w:trPr>
          <w:trHeight w:val="223"/>
        </w:trPr>
        <w:tc>
          <w:tcPr>
            <w:tcW w:w="806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13,166,911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13,869,547</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2020.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which we also refer to as our Las Vegas Operations. On June 23, 2019, we opened Encore Boston Harbor, an integrated resort in Everett, Massachusetts. In October 2020, Wynn Interactive Ltd. ("Wynn Interactive") was formed through the merger of our U.S. online sports betting and gaming business, social casino business, and our strategic partner, BetBull Limited ("BetBull"). Following the merger and subsequent transactions, Wynn Resorts holds an approximately 74% interest in, and consolidates, Wynn Interactive. The results of Wynn Interactive are presented within Corporate and other.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Since the outbreak of COVID-19 in early 2020,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As part of the immediate response to the initial outbreak of COVID-19, each of the Company's properties was subject to partial or full closure for varying lengths of time during 2020, and have all since reopened with certain COVID-19 specific protective measures, such as limiting the number of seats per table game, slot machine spacing, temperature checks, mask protection, and suspension of certain entertainment and nightlife offerings. Several vaccines have been granted authorization in numerous countries and are being rolled out to citizens based on availability and priority of need. There can be no assurance as to when a sufficient number of individuals will be vaccinated, permitting travel restrictions to be fully lifted.</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Visitation to Macau has fallen significantly since the outbreak of COVID-19, driven by the strong deterrent effect of the COVID-19 pandemic on travel and social activities, quarantine measures in Macau and elsewhere, travel and entry restrictions and conditions in Macau, the PRC, Hong Kong and Taiwan involving COVID-19 testing, among other things, and the suspension or reduced accessibility of transportation to and from Macau. Beginning in June 2020 certain restrictions and conditions have eased to allow for visitation to Macau as certain regions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 Total visitation from PRC to Macau decreased by 31.7% in the quarter ended March 31, 2021, compared with the quarter ended March 31, 2020.</w:t>
      </w:r>
    </w:p>
    <w:p>
      <w:pPr>
        <w:spacing w:after="0" w:line="20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Given the evolving conditions created by and in response to the COVID-19 pandemic, measures that have been lifted may be reintroduced if there are adverse developments in the COVID-19 situation in Macau and other regions with access to Macau.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5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Company’s Las Vegas Operations and Encore Boston Harbor have each implemented certain COVID-19 specific protective measures, such as limiting the number of seats per table game, slot machine spacing, temperature checks, mask protection, and suspension of certain entertainment and nightlife offerings. On April 8, 2021, Encore at Wynn Las Vegas resumed full operations, having previously adjusted its operating schedule to five days/four nights each week due to reduced customer demand levels beginning on October 19, 2020. On April 13, 2021, the Governor of Nevada announced that the statewide social distancing mandate will be removed and decisions on social distancing will be returned to local authority by May 1, 2021, with a goal to have all Nevada counties open to 100% capacity by June 1, 2021. The Gaming Control Board will continue to maintain authority over gaming areas of licensed properties in Nevada. On May 3, 2021, the Gaming Control Board announced that, effective immediately, the Company's Las Vegas Operations are permitted to reopen all gaming areas to 100% of capacity, with no continuing table game or slot machine spacing restrictions. At Encore Boston Harbor, on January 25, 2021, limitations on operating hours that had been in place since November 2020 were lifted, and the property restored certain operations and reopened its hotel tower on a Thursday through Sunday weekly schedule.</w:t>
      </w:r>
    </w:p>
    <w:p>
      <w:pPr>
        <w:spacing w:after="0" w:line="19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COVID-19 pandemic has had and will continue to have an adverse effect on the Company's results of operations. Notwithstanding the easing of certain COVID-19 protective measures by authorities throughout the world, certain travel restrictions, quarantine measures, testing requirements, and capacity limitations remain in effect, and the Company is currently unable to determine when protective measures and the suspension of certain offerings in effect at our Macau Operations, Las Vegas Operations, and Encore Boston Harbor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5" w:lineRule="exact"/>
        <w:rPr>
          <w:sz w:val="20"/>
          <w:szCs w:val="20"/>
          <w:color w:val="auto"/>
        </w:rPr>
      </w:pPr>
    </w:p>
    <w:p>
      <w:pPr>
        <w:ind w:left="1300" w:hanging="644"/>
        <w:spacing w:after="0" w:line="258"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300" w:right="2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hanging="644"/>
        <w:spacing w:after="0" w:line="26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 w:right="1240" w:firstLine="196"/>
        <w:spacing w:after="0" w:line="532" w:lineRule="auto"/>
        <w:tabs>
          <w:tab w:leader="none" w:pos="13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 Below is a discussion of the methodologies used to calculate win percentages at our resorts.</w:t>
      </w:r>
    </w:p>
    <w:p>
      <w:pPr>
        <w:jc w:val="both"/>
        <w:ind w:firstLine="44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1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first quarter 2021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88"/>
              </w:rPr>
              <w:t>Increase/</w:t>
            </w:r>
          </w:p>
        </w:tc>
        <w:tc>
          <w:tcPr>
            <w:tcW w:w="12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(Decrease)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953,716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(227,933)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3"/>
              </w:rPr>
              <w:t>(23.9)</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loss attributable to Wynn Resorts, Limited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(402,037)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121,059</w:t>
            </w:r>
          </w:p>
        </w:tc>
        <w:tc>
          <w:tcPr>
            <w:tcW w:w="100" w:type="dxa"/>
            <w:vAlign w:val="bottom"/>
          </w:tcPr>
          <w:p>
            <w:pPr>
              <w:spacing w:after="0"/>
              <w:rPr>
                <w:sz w:val="19"/>
                <w:szCs w:val="19"/>
                <w:color w:val="auto"/>
              </w:rPr>
            </w:pPr>
          </w:p>
        </w:tc>
        <w:tc>
          <w:tcPr>
            <w:tcW w:w="1200" w:type="dxa"/>
            <w:vAlign w:val="bottom"/>
          </w:tcPr>
          <w:p>
            <w:pPr>
              <w:jc w:val="center"/>
              <w:ind w:left="674"/>
              <w:spacing w:after="0"/>
              <w:rPr>
                <w:sz w:val="20"/>
                <w:szCs w:val="20"/>
                <w:color w:val="auto"/>
              </w:rPr>
            </w:pPr>
            <w:r>
              <w:rPr>
                <w:rFonts w:ascii="Arial" w:cs="Arial" w:eastAsia="Arial" w:hAnsi="Arial"/>
                <w:sz w:val="18"/>
                <w:szCs w:val="18"/>
                <w:color w:val="auto"/>
                <w:w w:val="91"/>
              </w:rPr>
              <w:t>30.1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91"/>
              </w:rPr>
              <w:t>32.9</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Adjusted Property EBITDA </w:t>
            </w:r>
            <w:r>
              <w:rPr>
                <w:rFonts w:ascii="Arial" w:cs="Arial" w:eastAsia="Arial" w:hAnsi="Arial"/>
                <w:sz w:val="14"/>
                <w:szCs w:val="14"/>
                <w:color w:val="auto"/>
              </w:rPr>
              <w:t>(1)</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64,229</w:t>
            </w:r>
          </w:p>
        </w:tc>
        <w:tc>
          <w:tcPr>
            <w:tcW w:w="10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1160" w:firstLine="8"/>
        <w:spacing w:after="0" w:line="273" w:lineRule="auto"/>
        <w:tabs>
          <w:tab w:leader="none" w:pos="2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Item 1—"Financial Statements," Note 17, "Segment Information," for a reconciliation of Adjusted Property EBITDA to net loss attributable to Wynn Resorts, Limited. NM - Not meaningful.</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operating revenues for the three months ended March 31, 2021 was primarily driven by decreases of $22.2 million, $49.8 million, $145.1 million, and $10.8 million from Wynn Palace, Wynn Macau, our Las Vegas Operations, and Encore Boston Harbor, respectively. These decreases were precipitated by the continued adverse effects of the COVID-19 pandemic, including travel restrictions and capacity limitations at our Macau Operations, our Las Vegas Operations, and Encore Boston Harbor.</w:t>
      </w:r>
    </w:p>
    <w:p>
      <w:pPr>
        <w:spacing w:after="0" w:line="2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decrease in net loss attributable to Wynn Resorts, Limited for the three months ended March 31, 2021 was primarily related to decreased operating expenses at our integrated resort properties. In addition, net loss attributable to Wynn Resorts, Limited for the first quarter of 2020 included the impact of $75.7 million of expense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increase in Adjusted Property EBITDA for the three months ended March 31, 2021 was primarily driven by decreased operating expenses at our integrated resort properties. Adjusted Property EBITDA increased $17.2 million, $50.2 million, and $43.0 million at Wynn Palace, our Las Vegas Operations, and Encore Boston Harbor, respectively, and decreased $2.7 million at Wynn Macau and $43.5 million at Corporate and other, respectively. In addition, Adjusted Property EBITDA for the first quarter of 2020 included the impact of $75.7 million of expense related to our commitment to pay salary, tips, and benefits continuation for all of our U.S. employees for the period from April 1 through May 15,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2021 compared to the three months ended March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15"/>
              <w:spacing w:after="0" w:line="122" w:lineRule="exact"/>
              <w:rPr>
                <w:sz w:val="20"/>
                <w:szCs w:val="20"/>
                <w:color w:val="auto"/>
              </w:rPr>
            </w:pPr>
            <w:r>
              <w:rPr>
                <w:rFonts w:ascii="Arial" w:cs="Arial" w:eastAsia="Arial" w:hAnsi="Arial"/>
                <w:sz w:val="14"/>
                <w:szCs w:val="14"/>
                <w:b w:val="1"/>
                <w:bCs w:val="1"/>
                <w:color w:val="auto"/>
                <w:w w:val="92"/>
              </w:rPr>
              <w:t>Increase/</w:t>
            </w:r>
          </w:p>
        </w:tc>
        <w:tc>
          <w:tcPr>
            <w:tcW w:w="120" w:type="dxa"/>
            <w:vAlign w:val="bottom"/>
          </w:tcPr>
          <w:p>
            <w:pPr>
              <w:spacing w:after="0"/>
              <w:rPr>
                <w:sz w:val="10"/>
                <w:szCs w:val="10"/>
                <w:color w:val="auto"/>
              </w:rPr>
            </w:pPr>
          </w:p>
        </w:tc>
        <w:tc>
          <w:tcPr>
            <w:tcW w:w="1200" w:type="dxa"/>
            <w:vAlign w:val="bottom"/>
          </w:tcPr>
          <w:p>
            <w:pPr>
              <w:jc w:val="right"/>
              <w:ind w:right="30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5620" w:type="dxa"/>
            <w:vAlign w:val="bottom"/>
          </w:tcPr>
          <w:p>
            <w:pPr>
              <w:ind w:left="160"/>
              <w:spacing w:after="0"/>
              <w:rPr>
                <w:sz w:val="20"/>
                <w:szCs w:val="20"/>
                <w:color w:val="auto"/>
              </w:rPr>
            </w:pPr>
            <w:r>
              <w:rPr>
                <w:rFonts w:ascii="Arial" w:cs="Arial" w:eastAsia="Arial" w:hAnsi="Arial"/>
                <w:sz w:val="18"/>
                <w:szCs w:val="18"/>
                <w:color w:val="auto"/>
              </w:rPr>
              <w:t>Las Vegas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178,716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(145,108)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Encore Boston Harbor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725,783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953,716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
        </w:trPr>
        <w:tc>
          <w:tcPr>
            <w:tcW w:w="5620" w:type="dxa"/>
            <w:vAlign w:val="bottom"/>
            <w:vMerge w:val="restart"/>
          </w:tcPr>
          <w:p>
            <w:pPr>
              <w:spacing w:after="0"/>
              <w:rPr>
                <w:sz w:val="20"/>
                <w:szCs w:val="20"/>
                <w:color w:val="auto"/>
              </w:rPr>
            </w:pPr>
            <w:r>
              <w:rPr>
                <w:rFonts w:ascii="Arial" w:cs="Arial" w:eastAsia="Arial" w:hAnsi="Arial"/>
                <w:sz w:val="14"/>
                <w:szCs w:val="14"/>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562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7160" w:type="dxa"/>
            <w:vAlign w:val="bottom"/>
            <w:gridSpan w:val="4"/>
          </w:tcPr>
          <w:p>
            <w:pPr>
              <w:ind w:left="420"/>
              <w:spacing w:after="0"/>
              <w:rPr>
                <w:sz w:val="20"/>
                <w:szCs w:val="20"/>
                <w:color w:val="auto"/>
              </w:rPr>
            </w:pPr>
            <w:r>
              <w:rPr>
                <w:rFonts w:ascii="Arial" w:cs="Arial" w:eastAsia="Arial" w:hAnsi="Arial"/>
                <w:sz w:val="18"/>
                <w:szCs w:val="18"/>
                <w:color w:val="auto"/>
                <w:w w:val="92"/>
              </w:rPr>
              <w:t>The following table presents our casino and non-casino operating revenues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15"/>
              <w:spacing w:after="0" w:line="122" w:lineRule="exact"/>
              <w:rPr>
                <w:sz w:val="20"/>
                <w:szCs w:val="20"/>
                <w:color w:val="auto"/>
              </w:rPr>
            </w:pPr>
            <w:r>
              <w:rPr>
                <w:rFonts w:ascii="Arial" w:cs="Arial" w:eastAsia="Arial" w:hAnsi="Arial"/>
                <w:sz w:val="14"/>
                <w:szCs w:val="14"/>
                <w:b w:val="1"/>
                <w:bCs w:val="1"/>
                <w:color w:val="auto"/>
                <w:w w:val="92"/>
              </w:rPr>
              <w:t>Increase/</w:t>
            </w:r>
          </w:p>
        </w:tc>
        <w:tc>
          <w:tcPr>
            <w:tcW w:w="120" w:type="dxa"/>
            <w:vAlign w:val="bottom"/>
          </w:tcPr>
          <w:p>
            <w:pPr>
              <w:spacing w:after="0"/>
              <w:rPr>
                <w:sz w:val="10"/>
                <w:szCs w:val="10"/>
                <w:color w:val="auto"/>
              </w:rPr>
            </w:pPr>
          </w:p>
        </w:tc>
        <w:tc>
          <w:tcPr>
            <w:tcW w:w="1200" w:type="dxa"/>
            <w:vAlign w:val="bottom"/>
          </w:tcPr>
          <w:p>
            <w:pPr>
              <w:jc w:val="right"/>
              <w:ind w:right="30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b w:val="1"/>
                <w:bCs w:val="1"/>
                <w:color w:val="auto"/>
              </w:rPr>
              <w:t>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516,218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570,789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(54,571)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Non-casino revenues: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(76,491)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non-casino revenues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209,565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382,927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(173,362)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725,783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953,716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for the three months ended March 31, 2021 were 71.1% of operating revenues, compared to 59.8% for the same period of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three months ended March 31, 2021 were 28.9% of operating revenues, compared to 40.2% for the same period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Casino revenues decreased primarily due to decreased VIP turnover and VIP table games win at our Macau Operations, partially offset by increased slot machine win at our Las Vegas Operations and Encore Boston Harbor. The table below sets forth our casino revenues and associated key operating measures (dollars in thousands, except for win per unit per day):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1"/>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Macau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185,909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207,576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VIP:</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2,200,182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4,792,454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(2,592,272)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139,569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607,518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475,223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132,295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131,649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358,772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424,714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14,243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18,405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138,927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190,128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VIP:</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1,804,382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2,964,146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(1,159,764)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58,635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122,625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590,890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578,235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12,655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105,183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117,941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301,271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366,537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10,208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13,295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9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60"/>
              <w:spacing w:after="0" w:line="122" w:lineRule="exact"/>
              <w:rPr>
                <w:sz w:val="20"/>
                <w:szCs w:val="20"/>
                <w:color w:val="auto"/>
              </w:rPr>
            </w:pPr>
            <w:r>
              <w:rPr>
                <w:rFonts w:ascii="Arial" w:cs="Arial" w:eastAsia="Arial" w:hAnsi="Arial"/>
                <w:sz w:val="14"/>
                <w:szCs w:val="14"/>
                <w:b w:val="1"/>
                <w:bCs w:val="1"/>
                <w:color w:val="auto"/>
                <w:w w:val="92"/>
              </w:rPr>
              <w:t>Increase/</w:t>
            </w:r>
          </w:p>
        </w:tc>
        <w:tc>
          <w:tcPr>
            <w:tcW w:w="1380" w:type="dxa"/>
            <w:vAlign w:val="bottom"/>
          </w:tcPr>
          <w:p>
            <w:pPr>
              <w:jc w:val="right"/>
              <w:ind w:right="372"/>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38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(2)</w:t>
            </w: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79,903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71,295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496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324,531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414,933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(90,402)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82,666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96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96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791,260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664,834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496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50,489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46,674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96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(3)</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111,479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101,790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496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234,562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275,631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(41,069)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57,286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496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496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913,795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767,739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146,056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496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74,820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59,448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15,372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496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180"/>
        <w:spacing w:after="0" w:line="250" w:lineRule="auto"/>
        <w:rPr>
          <w:sz w:val="20"/>
          <w:szCs w:val="20"/>
          <w:color w:val="auto"/>
        </w:rPr>
      </w:pPr>
      <w:r>
        <w:rPr>
          <w:rFonts w:ascii="Arial" w:cs="Arial" w:eastAsia="Arial" w:hAnsi="Arial"/>
          <w:sz w:val="14"/>
          <w:szCs w:val="14"/>
          <w:color w:val="auto"/>
        </w:rPr>
        <w:t>In response to the initial outbreak of COVID-19 in early 2020, each of our properties was subject to partial or full closure for varying lengths of time during 2020, and each has since reopened with certain COVID-19 specific protective measures in place.</w:t>
      </w:r>
    </w:p>
    <w:p>
      <w:pPr>
        <w:spacing w:after="0" w:line="1" w:lineRule="exact"/>
        <w:rPr>
          <w:sz w:val="20"/>
          <w:szCs w:val="20"/>
          <w:color w:val="auto"/>
        </w:rPr>
      </w:pPr>
    </w:p>
    <w:p>
      <w:pPr>
        <w:ind w:left="380" w:hanging="210"/>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casino operations in Macau were closed for a 15-day period in February 2020 and resumed operations on a reduced basis on February 20, 2020.</w:t>
      </w:r>
    </w:p>
    <w:p>
      <w:pPr>
        <w:spacing w:after="0" w:line="1" w:lineRule="exact"/>
        <w:rPr>
          <w:rFonts w:ascii="Arial" w:cs="Arial" w:eastAsia="Arial" w:hAnsi="Arial"/>
          <w:sz w:val="14"/>
          <w:szCs w:val="14"/>
          <w:color w:val="auto"/>
        </w:rPr>
      </w:pPr>
    </w:p>
    <w:p>
      <w:pPr>
        <w:jc w:val="both"/>
        <w:ind w:left="420" w:right="20" w:hanging="250"/>
        <w:spacing w:after="0" w:line="241" w:lineRule="auto"/>
        <w:tabs>
          <w:tab w:leader="none" w:pos="3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Las Vegas Operations closed on March 17, 2020 and reopened on June 4, 2020. 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w:t>
      </w:r>
    </w:p>
    <w:p>
      <w:pPr>
        <w:spacing w:after="0" w:line="1" w:lineRule="exact"/>
        <w:rPr>
          <w:rFonts w:ascii="Arial" w:cs="Arial" w:eastAsia="Arial" w:hAnsi="Arial"/>
          <w:sz w:val="14"/>
          <w:szCs w:val="14"/>
          <w:color w:val="auto"/>
        </w:rPr>
      </w:pPr>
    </w:p>
    <w:p>
      <w:pPr>
        <w:jc w:val="both"/>
        <w:ind w:left="420" w:hanging="250"/>
        <w:spacing w:after="0" w:line="276" w:lineRule="auto"/>
        <w:tabs>
          <w:tab w:leader="none" w:pos="391" w:val="left"/>
        </w:tabs>
        <w:numPr>
          <w:ilvl w:val="0"/>
          <w:numId w:val="12"/>
        </w:numPr>
        <w:rPr>
          <w:rFonts w:ascii="Arial" w:cs="Arial" w:eastAsia="Arial" w:hAnsi="Arial"/>
          <w:sz w:val="13"/>
          <w:szCs w:val="13"/>
          <w:color w:val="auto"/>
        </w:rPr>
      </w:pPr>
      <w:r>
        <w:rPr>
          <w:rFonts w:ascii="Arial" w:cs="Arial" w:eastAsia="Arial" w:hAnsi="Arial"/>
          <w:sz w:val="13"/>
          <w:szCs w:val="13"/>
          <w:color w:val="auto"/>
        </w:rPr>
        <w:t>Encore Boston Harbor closed on March 15, 2020 and reopened on July 10, 2020. In addition, on November 6, 2020, Encore Boston Harbor temporarily suspended hotel operations and overnight casino operations pursuant to a state directive limiting the operating hours of certain businesses, including restaurants and casinos. On January 25, 2021, the limitations on operating hours were lifted, and Encore Boston Harbor restored 24-hour casino operations and reopened its hotel tower on a Thursday through Sunday weekly schedule.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14,702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15,911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39,761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106,105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(2)(3)</w:t>
            </w: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10,955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Wynn Las Vegas closed on March 17, 2020 and reopened on June 4, 2020.</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Encore Boston Harbor closed on March 15, 2020 and reopened on July 10, 2020.</w:t>
      </w:r>
    </w:p>
    <w:p>
      <w:pPr>
        <w:spacing w:after="0" w:line="1" w:lineRule="exact"/>
        <w:rPr>
          <w:rFonts w:ascii="Arial" w:cs="Arial" w:eastAsia="Arial" w:hAnsi="Arial"/>
          <w:sz w:val="14"/>
          <w:szCs w:val="14"/>
          <w:color w:val="auto"/>
        </w:rPr>
      </w:pPr>
    </w:p>
    <w:p>
      <w:pPr>
        <w:ind w:left="180" w:hanging="172"/>
        <w:spacing w:after="0" w:line="255" w:lineRule="auto"/>
        <w:tabs>
          <w:tab w:leader="none" w:pos="228"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Encore Boston Harbor room statistics have been computed based on 36 days of operation in three months ended March 31, 2021 and 74 days of operation in three months ended March 31, 2020, representing the number of nights hotel rooms were offered for sale to the public.</w:t>
      </w:r>
    </w:p>
    <w:p>
      <w:pPr>
        <w:spacing w:after="0" w:line="2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Room revenues decreased $76.5 million, primarily due to lower occupancy at our Las Vegas Operations and Encore Boston Harbor. Encore at Wynn Las Vegas operated on a limited basis with midweek closures throughout the first quarter of 2021 before fully reopening April 8, 2021. The hotel tower at Encore Boston Harbor was closed pursuant to a state directive from November 6, 2020 through January 25, 2021, when it restored certain operations and reopened its hotel tower on a Thursday through Sunday weekly schedule.</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Food and beverage revenues decreased $80.9 million, primarily due to decreased covers at our restaurants and the suspension of nightlife offerings at our Las Vegas Operations as a result of the adverse effects of the COVID-19 pandemic.</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Entertainment, retail and other revenues decreased $16.0 million, primarily due to the closure of the Le Reve show at our Las Vegas Operations resulting from the adverse effects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3"/>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351,966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442,690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(90,724)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(101,962)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901,515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(299,612)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Total operating expenses decreased $299.6 million compared to the first quarter of 2020, primarily due to decreased expenses related to the impact of the COVID-19 pandemic on our resorts, partially offset by increased entertainment, retail and other expenses and depreciation and amortization expenses. Operating expenses for the first quarter of 2020 included $75.7 million of expense related to our commitment to pay salary, tips, and benefits continuation for all of our U.S. employees for the period from April 1 through May 15, 2020, which we accrued during the first quarter of 2020.</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Casino expenses decreased $20.0 million, $29.9 million, $24.7 million, and $16.1 million at Wynn Palace, Wynn Macau, our Las Vegas Operations, and Encore Boston Harbor, respectively. These decreases were primarily due to reductions in gaming tax expense commensurate with the declines in casino revenues at Wynn Palace and Wynn Macau resulting from the effects of the COVID-19 pandemic as well as lower payroll and operating costs. Casino expenses for the first quarter of 2020 included expense of $7.9 million from Encore Boston Harbor and $12.8 million from our Las Vegas Operations related to our commitment to pay salary, tips, and benefits continuation for all of our U.S. employees for the period from April 1 through May 15, 2020, which we accrued during the first quarter of 2020.</w:t>
      </w:r>
    </w:p>
    <w:p>
      <w:pPr>
        <w:spacing w:after="0" w:line="1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Room expenses decreased $29.6 million and $6.8 million at our Las Vegas Operations and Encore Boston Harbor, respectively. The decreases were primarily a result of lower operating costs related to the declines in occupancy at our Las Vegas Operations and Encore Boston Harbor resulting from the effects of the COVID-19 pandemic. Room expenses for the first quarter of 2020 included expense of $1.5 million from Encore Boston Harbor and $8.3 million from our Las Vegas Operations related to our commitment to pay salary, tips, and benefits continuation for all of our U.S. employees for the period from April 1 through May 15, 2020, which we accrued during the first quarter of 2020.</w:t>
      </w:r>
    </w:p>
    <w:p>
      <w:pPr>
        <w:spacing w:after="0" w:line="10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Food and beverage expenses decreased $75.0 million, $4.5 million, $3.6 million, and $18.8 million at our Las Vegas Operations, Wynn Palace, Wynn Macau, and Encore Boston Harbor, respectively. The decreases were primarily a result of lower operating costs related to the declines in food and beverage revenues at each property as well as lower nightlife entertainment costs at our Las Vegas Operations resulting from the effects of the COVID-19 pandemic. Food and beverage expenses for the first quarter of 2020 included expense of $20.8 million from our Las Vegas Operations and $4.8 million from Encore Boston Harbor related to our commitment to pay salary, tips, and benefits continuation for all of our U.S. employees for the period from April 1 through May 15, 2020, which we accrued during the first quarter of 2020.</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Entertainment, retail and other expenses increased primarily due to marketing expenses incurred at Corporate and other. The increase was partially offset by a decrease in entertainment, retail and other expenses of $25.6 million at our Las Vegas Operations primarily as a result of lower operating costs related to the declines in entertainment, retail and other revenues resulting from the effects of the COVID-19 pandemic. Entertainment, retail and other expenses for the first quarter of 2020 included expense of $4.1 million from our Las Vegas Operations and $0.7 million from Encore Boston Harbor related to our commitment to pay salary, tips, and benefits continuation for all of our U.S. employees for the period from April 1 through May 15, 2020, which we accrued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General and administrative expenses decreased $9.0 million, $6.0 million, $27.4 million, $9.1 million, and $3.1 million at Wynn Palace, Wynn Macau, our Las Vegas Operations, Encore Boston Harbor, and Corporate and other, respectively. These decreases were primarily attributable to decreased payroll, operating costs, and general and administrative expenses as a result of the COVID-19 pandemic. General and administrative expenses for the first quarter of 2020 included expense of $10.2 million from our Las Vegas Operations and $4.4 million from Encore Boston Harbor related to our commitment to pay salary, tips, and benefits continuation for all of our U.S. employees for the period from April 1 through May 15, 2020, which we accrued during the first quarter of 2020.</w:t>
      </w:r>
    </w:p>
    <w:p>
      <w:pPr>
        <w:spacing w:after="0" w:line="1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Provision for credit losses decreased primarily due to a decrease of $11.6 million at our Las Vegas Operations. The decrease was primarily due to the impact of historical collection patterns and expectations of current and future collection trends, as well as the specific review of customer accounts, on our estimated credit loss for the respective periods.</w:t>
      </w:r>
    </w:p>
    <w:p>
      <w:pPr>
        <w:spacing w:after="0" w:line="10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property charges and other expenses for the quarter ended March 31, 2021 consisted primarily of asset abandonments of $2.1 million and $2.2 million at our Las Vegas Operations and Wynn Palace, respectively. Our property charges and other expenses for the quarter ended March 31, 2020 consisted primarily of asset abandonments and retirements of $22.2 million and $1.4 million at Wynn Palace and Wynn Macau,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2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vMerge w:val="restart"/>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ind w:right="97"/>
              <w:spacing w:after="0" w:line="122" w:lineRule="exact"/>
              <w:rPr>
                <w:sz w:val="20"/>
                <w:szCs w:val="20"/>
                <w:color w:val="auto"/>
              </w:rPr>
            </w:pPr>
            <w:r>
              <w:rPr>
                <w:rFonts w:ascii="Arial" w:cs="Arial" w:eastAsia="Arial" w:hAnsi="Arial"/>
                <w:sz w:val="14"/>
                <w:szCs w:val="14"/>
                <w:b w:val="1"/>
                <w:bCs w:val="1"/>
                <w:color w:val="auto"/>
                <w:w w:val="88"/>
              </w:rPr>
              <w:t>Increase/</w:t>
            </w:r>
          </w:p>
        </w:tc>
        <w:tc>
          <w:tcPr>
            <w:tcW w:w="100" w:type="dxa"/>
            <w:vAlign w:val="bottom"/>
          </w:tcPr>
          <w:p>
            <w:pPr>
              <w:spacing w:after="0"/>
              <w:rPr>
                <w:sz w:val="10"/>
                <w:szCs w:val="10"/>
                <w:color w:val="auto"/>
              </w:rPr>
            </w:pPr>
          </w:p>
        </w:tc>
        <w:tc>
          <w:tcPr>
            <w:tcW w:w="1180" w:type="dxa"/>
            <w:vAlign w:val="bottom"/>
          </w:tcPr>
          <w:p>
            <w:pPr>
              <w:jc w:val="right"/>
              <w:ind w:right="28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7"/>
              </w:rPr>
              <w:t>Interest cost, including amortization of debt issuance costs and</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5"/>
              <w:spacing w:after="0"/>
              <w:rPr>
                <w:sz w:val="20"/>
                <w:szCs w:val="20"/>
                <w:color w:val="auto"/>
              </w:rPr>
            </w:pPr>
            <w:r>
              <w:rPr>
                <w:rFonts w:ascii="Arial" w:cs="Arial" w:eastAsia="Arial" w:hAnsi="Arial"/>
                <w:sz w:val="18"/>
                <w:szCs w:val="18"/>
                <w:color w:val="auto"/>
              </w:rPr>
              <w:t>152,852</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33"/>
              <w:spacing w:after="0"/>
              <w:rPr>
                <w:sz w:val="20"/>
                <w:szCs w:val="20"/>
                <w:color w:val="auto"/>
              </w:rPr>
            </w:pPr>
            <w:r>
              <w:rPr>
                <w:rFonts w:ascii="Arial" w:cs="Arial" w:eastAsia="Arial" w:hAnsi="Arial"/>
                <w:sz w:val="18"/>
                <w:szCs w:val="18"/>
                <w:color w:val="auto"/>
              </w:rPr>
              <w:t>130,079</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ind w:left="440"/>
              <w:spacing w:after="0"/>
              <w:rPr>
                <w:sz w:val="20"/>
                <w:szCs w:val="20"/>
                <w:color w:val="auto"/>
              </w:rPr>
            </w:pPr>
            <w:r>
              <w:rPr>
                <w:rFonts w:ascii="Arial" w:cs="Arial" w:eastAsia="Arial" w:hAnsi="Arial"/>
                <w:sz w:val="18"/>
                <w:szCs w:val="18"/>
                <w:color w:val="auto"/>
                <w:w w:val="98"/>
              </w:rPr>
              <w:t>22,773</w:t>
            </w:r>
          </w:p>
        </w:tc>
        <w:tc>
          <w:tcPr>
            <w:tcW w:w="128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original issue discount and premium</w:t>
            </w:r>
          </w:p>
        </w:tc>
        <w:tc>
          <w:tcPr>
            <w:tcW w:w="3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(1,252)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152,852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128,827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98"/>
              </w:rPr>
              <w:t>24,025</w:t>
            </w:r>
          </w:p>
        </w:tc>
        <w:tc>
          <w:tcPr>
            <w:tcW w:w="1280" w:type="dxa"/>
            <w:vAlign w:val="bottom"/>
            <w:gridSpan w:val="2"/>
          </w:tcPr>
          <w:p>
            <w:pPr>
              <w:jc w:val="right"/>
              <w:ind w:right="8"/>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12,628,361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10,850,355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costs increased primarily due to an increase in the weighted average debt balance. Capitalized interest decreased due to the completion of the meeting and convention expansion in February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loss of $11.1 million and a gain of $10.3 million for the three months ended March 31, 2021 and 2020,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gain of $4.4 million and a loss of $15.7 million for the three months ended March 31, 2021 and 2020, respectively, from change in derivatives fair value.</w:t>
      </w:r>
    </w:p>
    <w:p>
      <w:pPr>
        <w:spacing w:after="0" w:line="19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$1.3 million loss on extinguishment of debt for the three months ended March 31, 2021 related to the partial prepayment of the Wynn Macau Term Loan.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recorded an income tax expense of $0.5 million and $75.8 million for the three months ended March 31, 2021 and 2020, respectively. The 2021 income tax expense primarily related to the Macau dividend tax agreement that provides for an annual payment of MOP 12.8 million (approximately $1.6 million) as complementary tax otherwise due by stockholders of Wynn Macau SA. The 2020 income tax expense primarily related to the increase in the valuation allowances for U.S foreign tax credits.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loss attributable to noncontrolling interests was $55.2 million and $48.2 million for the three months ended March 31, 2021 and 2020, respectively. These amounts are primarily related to the noncontrolling interests' share of net loss from WML.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56"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 summarizes Adjusted Property EBITDA (in thousands) for Wynn Palace, Wynn Macau, Las Vegas Operations, and Encore Boston Harbor as reviewed by management and summarized in Item 1—"Notes to Condensed Consolidated Financial Statements," Note 17, "Segment Information." That footnote also presents a reconciliation of Adjusted Property EBITDA to net loss attributable to Wynn Resorts, Limited.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March 31,</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6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92"/>
              </w:rPr>
              <w:t>Increase/</w:t>
            </w:r>
          </w:p>
        </w:tc>
        <w:tc>
          <w:tcPr>
            <w:tcW w:w="900" w:type="dxa"/>
            <w:vAlign w:val="bottom"/>
          </w:tcPr>
          <w:p>
            <w:pPr>
              <w:jc w:val="right"/>
              <w:ind w:right="135"/>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center"/>
              <w:ind w:left="196"/>
              <w:spacing w:after="0"/>
              <w:rPr>
                <w:sz w:val="20"/>
                <w:szCs w:val="20"/>
                <w:color w:val="auto"/>
              </w:rPr>
            </w:pPr>
            <w:r>
              <w:rPr>
                <w:rFonts w:ascii="Arial" w:cs="Arial" w:eastAsia="Arial" w:hAnsi="Arial"/>
                <w:sz w:val="18"/>
                <w:szCs w:val="18"/>
                <w:color w:val="auto"/>
                <w:w w:val="90"/>
              </w:rPr>
              <w:t>27,369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Wynn Macau</w:t>
            </w:r>
          </w:p>
        </w:tc>
        <w:tc>
          <w:tcPr>
            <w:tcW w:w="200" w:type="dxa"/>
            <w:vAlign w:val="bottom"/>
          </w:tcPr>
          <w:p>
            <w:pPr>
              <w:spacing w:after="0"/>
              <w:rPr>
                <w:sz w:val="19"/>
                <w:szCs w:val="19"/>
                <w:color w:val="auto"/>
              </w:rPr>
            </w:pPr>
          </w:p>
        </w:tc>
        <w:tc>
          <w:tcPr>
            <w:tcW w:w="900" w:type="dxa"/>
            <w:vAlign w:val="bottom"/>
          </w:tcPr>
          <w:p>
            <w:pPr>
              <w:jc w:val="center"/>
              <w:ind w:left="196"/>
              <w:spacing w:after="0"/>
              <w:rPr>
                <w:sz w:val="20"/>
                <w:szCs w:val="20"/>
                <w:color w:val="auto"/>
              </w:rPr>
            </w:pPr>
            <w:r>
              <w:rPr>
                <w:rFonts w:ascii="Arial" w:cs="Arial" w:eastAsia="Arial" w:hAnsi="Arial"/>
                <w:sz w:val="18"/>
                <w:szCs w:val="18"/>
                <w:color w:val="auto"/>
                <w:w w:val="90"/>
              </w:rPr>
              <w:t>16,556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196"/>
              <w:spacing w:after="0"/>
              <w:rPr>
                <w:sz w:val="20"/>
                <w:szCs w:val="20"/>
                <w:color w:val="auto"/>
              </w:rPr>
            </w:pPr>
            <w:r>
              <w:rPr>
                <w:rFonts w:ascii="Arial" w:cs="Arial" w:eastAsia="Arial" w:hAnsi="Arial"/>
                <w:sz w:val="18"/>
                <w:szCs w:val="18"/>
                <w:color w:val="auto"/>
                <w:w w:val="90"/>
              </w:rPr>
              <w:t>28,081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200" w:type="dxa"/>
            <w:vAlign w:val="bottom"/>
          </w:tcPr>
          <w:p>
            <w:pPr>
              <w:spacing w:after="0"/>
              <w:rPr>
                <w:sz w:val="19"/>
                <w:szCs w:val="19"/>
                <w:color w:val="auto"/>
              </w:rPr>
            </w:pPr>
          </w:p>
        </w:tc>
        <w:tc>
          <w:tcPr>
            <w:tcW w:w="900" w:type="dxa"/>
            <w:vAlign w:val="bottom"/>
          </w:tcPr>
          <w:p>
            <w:pPr>
              <w:jc w:val="center"/>
              <w:ind w:left="196"/>
              <w:spacing w:after="0"/>
              <w:rPr>
                <w:sz w:val="20"/>
                <w:szCs w:val="20"/>
                <w:color w:val="auto"/>
              </w:rPr>
            </w:pPr>
            <w:r>
              <w:rPr>
                <w:rFonts w:ascii="Arial" w:cs="Arial" w:eastAsia="Arial" w:hAnsi="Arial"/>
                <w:sz w:val="18"/>
                <w:szCs w:val="18"/>
                <w:color w:val="auto"/>
                <w:w w:val="90"/>
              </w:rPr>
              <w:t>30,363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42,999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2"/>
              </w:rPr>
              <w:t>(43,469)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Adjusted Property EBITDA at Wynn Palace increased $17.2 million for the three months ended March 31, 2021 primarily due to a decrease in operating expenses.</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Wynn Macau decreased $2.7 million for the three months ended March 31, 2021 primarily due to decreased VIP turnover and VIP table games win, which offset a decrease in operating expenses.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our Las Vegas Operations increased $50.2 million for the three months ended March 31, 2021, primarily due to a decrease in operating expenses. Adjusted Property EBITDA for our Las Vegas Operations for the first quarter of 2020 included the impact of $56.4 million of expense related to our commitment to pay salary, tips, and benefits continuation for all of our U.S. employees for the period from April 1 through May 15, 2020.</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Encore Boston Harbor increased $43.0 million for the three months ended March 31, 2021, primarily due to a decrease in operating expenses. Adjusted Property EBITDA for Encore Boston Harbor for the first quarter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2020 included the impact of $19.3 million of expense related to our commitment to pay salary, tips, and benefits continuation for all of our U.S. employees for the period from April 1 through May 15, 2020.</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 March 31,</w:t>
            </w:r>
          </w:p>
        </w:tc>
      </w:tr>
      <w:tr>
        <w:trPr>
          <w:trHeight w:val="216"/>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2020</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(253,906)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(176,500)</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construction payables and retention</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(139,316)</w:t>
            </w: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Purchase of intangible and other assets</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assets and other</w:t>
            </w: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r>
      <w:tr>
        <w:trPr>
          <w:trHeight w:val="223"/>
        </w:trPr>
        <w:tc>
          <w:tcPr>
            <w:tcW w:w="7200" w:type="dxa"/>
            <w:vAlign w:val="bottom"/>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(48,636)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(137,154)</w:t>
            </w:r>
          </w:p>
        </w:tc>
      </w:tr>
      <w:tr>
        <w:trPr>
          <w:trHeight w:val="270"/>
        </w:trPr>
        <w:tc>
          <w:tcPr>
            <w:tcW w:w="7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1,469,028</w:t>
            </w: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(1,166,737)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(515,194)</w:t>
            </w: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(5,527)</w:t>
            </w: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payment</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(107,426)</w:t>
            </w: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Distribution to noncontrolling interest</w:t>
            </w:r>
          </w:p>
        </w:tc>
        <w:tc>
          <w:tcPr>
            <w:tcW w:w="4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3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financing costs</w:t>
            </w: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r>
      <w:tr>
        <w:trPr>
          <w:trHeight w:val="223"/>
        </w:trPr>
        <w:tc>
          <w:tcPr>
            <w:tcW w:w="7200" w:type="dxa"/>
            <w:vAlign w:val="bottom"/>
          </w:tcPr>
          <w:p>
            <w:pPr>
              <w:ind w:left="11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(285,440)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837,997</w:t>
            </w:r>
          </w:p>
        </w:tc>
      </w:tr>
      <w:tr>
        <w:trPr>
          <w:trHeight w:val="270"/>
        </w:trPr>
        <w:tc>
          <w:tcPr>
            <w:tcW w:w="7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3,266</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(Decrease) increase in cash, cash equivalents and restricted cash</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(589,113)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527,609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9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2021, the increase in net cash used in operating activities was primarily due to changes in working capital accounts. During the three months ended March 31, 2020, the decrease in net cash provided by operations was primarily due to the adverse effects of the COVID-19 pandemic on the results of our operations for the three months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investing activities primarily consist of project capital expenditures, such as the construction of the meeting and convention expansion at Wynn Las Vegas, which opened in February 2020, as well as maintenance capital expenditures associated with maintaining and continually refining our world-class integrated resort properties. In light of the unprecedented COVID-19 pandemic and our focus on safeguarding the Company's operations and the well-being of our employees, we temporarily postponed major project capital expenditures for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three months ended March 31, 2021, we incurred capital expenditures of $19.8 million at our Las Vegas Operations, $6.3 million at Encore Boston Harbor, $7.4 million at Wynn Palace, and $4.8 million at Wynn Macau, primarily related to maintenance capital expenditures.</w:t>
      </w:r>
    </w:p>
    <w:p>
      <w:pPr>
        <w:spacing w:after="0" w:line="1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three months ended March 31, 2020, we incurred capital expenditures of $43.6 million at Encore Boston Harbor primarily for the payment of construction retention and other payables related to its construction, $37.0 million at our Las Vegas Operations for restaurant remodels and maintenance capital expenditures, $12.2 million for the construction of the additional meeting and convention space at Wynn Las Vegas, and $17.5 million and $26.6 million at Wynn Palace and Wynn Macau, respectively, primarily related to maintenance capital expenditures.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2021, we received proceeds of $841.9 million from our February 2021 equity offering and used $716.0 million of the proceeds from the equity offering to repay the outstanding borrowings under the WRF Revolver. In addition, we borrowed $50.1 million under the Wynn Macau Revolver, paid $438.6 million of outstanding principal owed under the Wynn Macau Term Loan, and made a $12.5 million quarterly amortization payment under the WRF Term Loan.</w:t>
      </w:r>
    </w:p>
    <w:p>
      <w:pPr>
        <w:spacing w:after="0" w:line="21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During the three months ended March 31, 2020, we borrowed $325.8 million, net of amounts repaid, under the Wynn Macau Revolver, borrowed $791.0 million under the WRF Revolver, prepaid $150.2 million of outstanding principal owed under the Wynn Macau Term Loan, and made a $12.5 million quarterly amortization payment under the WRF Term Loan. In addition, we used cash of $107.4 million for the payment of dividends.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COVID-19 pandemic has impacted and will continue to impact, materially, our business, financial condition and results of operations. While we believe our strong liquidity position will enable us to fund our current obligations for the foreseeable future, COVID-19 has resulted in significant disruption, which has had and will continue to have a negative impact on our operating income and could have a negative impact on our ability to access capital in the future. We continue to monitor the rapidly evolving situation and guidance from international and domestic authorities.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under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Cash and Cash</w:t>
            </w:r>
          </w:p>
        </w:tc>
        <w:tc>
          <w:tcPr>
            <w:tcW w:w="180" w:type="dxa"/>
            <w:vAlign w:val="bottom"/>
          </w:tcPr>
          <w:p>
            <w:pPr>
              <w:spacing w:after="0"/>
              <w:rPr>
                <w:sz w:val="14"/>
                <w:szCs w:val="14"/>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Revolver Borrowing</w:t>
            </w:r>
          </w:p>
        </w:tc>
      </w:tr>
      <w:tr>
        <w:trPr>
          <w:trHeight w:val="188"/>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180" w:type="dxa"/>
            <w:vAlign w:val="bottom"/>
          </w:tcPr>
          <w:p>
            <w:pPr>
              <w:spacing w:after="0"/>
              <w:rPr>
                <w:sz w:val="16"/>
                <w:szCs w:val="16"/>
                <w:color w:val="auto"/>
              </w:rPr>
            </w:pPr>
          </w:p>
        </w:tc>
        <w:tc>
          <w:tcPr>
            <w:tcW w:w="1580" w:type="dxa"/>
            <w:vAlign w:val="bottom"/>
          </w:tcPr>
          <w:p>
            <w:pPr>
              <w:jc w:val="right"/>
              <w:ind w:right="515"/>
              <w:spacing w:after="0"/>
              <w:rPr>
                <w:sz w:val="20"/>
                <w:szCs w:val="20"/>
                <w:color w:val="auto"/>
              </w:rPr>
            </w:pPr>
            <w:r>
              <w:rPr>
                <w:rFonts w:ascii="Arial" w:cs="Arial" w:eastAsia="Arial" w:hAnsi="Arial"/>
                <w:sz w:val="14"/>
                <w:szCs w:val="14"/>
                <w:b w:val="1"/>
                <w:bCs w:val="1"/>
                <w:color w:val="auto"/>
              </w:rPr>
              <w:t>Capacity</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Resorts (Macau) S.A. and subsidiaries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273,124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293,031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 xml:space="preserve">Wynn Macau, Limited and subsidiaries </w:t>
            </w:r>
            <w:r>
              <w:rPr>
                <w:rFonts w:ascii="Arial" w:cs="Arial" w:eastAsia="Arial" w:hAnsi="Arial"/>
                <w:sz w:val="14"/>
                <w:szCs w:val="14"/>
                <w:color w:val="auto"/>
              </w:rPr>
              <w:t>(1)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1,529,751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Wynn Resorts Finance, LLC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833,894</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Wynn Resorts, Limited and other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839,107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2,890,407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1,126,925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Excluding Wynn Resorts (Macau) S.A. and subsidiaries.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Excluding Wynn Macau, Limited and subsidiaries.</w:t>
      </w:r>
    </w:p>
    <w:p>
      <w:pPr>
        <w:spacing w:after="0" w:line="23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Wynn Resorts (Macau) S.A. and subsidiaries. </w:t>
      </w:r>
      <w:r>
        <w:rPr>
          <w:rFonts w:ascii="Arial" w:cs="Arial" w:eastAsia="Arial" w:hAnsi="Arial"/>
          <w:sz w:val="17"/>
          <w:szCs w:val="17"/>
          <w:color w:val="auto"/>
        </w:rPr>
        <w:t>Wynn Resorts (Macau) S.A. ("Wynn Macau SA") generates cash from our Macau Operations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its revolver to fund short term working capital requirements as needed. We expect to use this cash to service our existing Wynn Macau Credit Facilities, make distributions to WML, and fund working capital and capital expenditure requirements at our Macau Operations.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Wynn Macau Credit Facilities contain customary negative and financial covenants, including, but not limited to, leverage ratio and interest coverage ratio tests (as defined in the Wynn Macau Credit Facilities) that could restrict its ability to make distributions to WML and incur additional indebtedness. Wynn Macau SA is required to maintain a leverage ratio of not greater than 4.00 to 1 and an interest coverage ratio of not less than 2.00 to 1. Wynn Macau SA complied with these ratios for the three months ended March 31, 2021.</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January 2021, Wynn Macau SA prepaid approximately $412.5 million of the term loan outstanding under the Wynn Macau Credit Facilities using proceeds from WML senior notes issuances.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currently designing the second phase of Wynn Palace. We do not expect to incur significant capital expenditures related to the construction of this project in 2021.</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Wynn Macau, Limited and subsidiaries. </w:t>
      </w:r>
      <w:r>
        <w:rPr>
          <w:rFonts w:ascii="Arial" w:cs="Arial" w:eastAsia="Arial" w:hAnsi="Arial"/>
          <w:sz w:val="18"/>
          <w:szCs w:val="18"/>
          <w:color w:val="auto"/>
        </w:rPr>
        <w:t>Wynn Macau, Limited ("WML") primarily generates cash through distributions from Wynn Macau SA.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use WML's cash to service our existing WML Notes, pay dividends to shareholders of WML (of which we own approximately 72%), and fund working capital requirements at WML.</w:t>
      </w:r>
    </w:p>
    <w:p>
      <w:pPr>
        <w:spacing w:after="0" w:line="2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WML paid no dividends during 2020 or the first quarter of 2021. The WML board of directors will be continuously monitoring the situation and market conditions in Macau and Greater China and may consider a special dividend in the future when such conditions have stabilized.</w:t>
      </w:r>
    </w:p>
    <w:p>
      <w:pPr>
        <w:spacing w:after="0" w:line="17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our portion of our cash and cash equivalents were repatriated to the U.S. on March 31, 2021, it would be subject to minimal U.S. taxes in the year of repatriation.</w:t>
      </w:r>
    </w:p>
    <w:p>
      <w:pPr>
        <w:spacing w:after="0" w:line="19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i w:val="1"/>
          <w:iCs w:val="1"/>
          <w:color w:val="auto"/>
        </w:rPr>
        <w:t xml:space="preserve">Wynn Resorts Finance, LLC and subsidiaries. </w:t>
      </w:r>
      <w:r>
        <w:rPr>
          <w:rFonts w:ascii="Arial" w:cs="Arial" w:eastAsia="Arial" w:hAnsi="Arial"/>
          <w:sz w:val="16"/>
          <w:szCs w:val="16"/>
          <w:color w:val="auto"/>
        </w:rPr>
        <w:t>Wynn Resorts Finance, LLC ("WRF" or "Wynn Resorts Finance") generates cash from distributions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from its subsidiaries, which include our Macau Operations, Wynn Las Vegas, and Encore Boston Harbor, and contributions from Wynn Resorts, as required. In addition, WRF may utilize its available revolving borrowing capacity as needed. We expect to use this cash to service our WRF Credit Facilities, 2025 WRF Notes, 2029 WRF Notes, and WLV Notes, and to fund working capital and capital expenditure requirements as needed.</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WRF is a holding company and, as a result, its ability to pay dividends to Wynn Resorts is dependent on WRF receiving distributions from its subsidiaries, which include WML, Wynn Las Vegas, LLC, and Wynn MA, LLC (the owner and operator of Encore Boston Harbor). The WRF Credit Agreement contains customary negative and financial covenants, including, but not limited to, covenants that restrict WRF's ability to pay dividends or distributions and incur additional indebtedness.</w:t>
      </w:r>
    </w:p>
    <w:p>
      <w:pPr>
        <w:spacing w:after="0" w:line="21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In 2021, Wynn Las Vegas will proceed with its planned room remodel, which we temporarily postponed during 2020. We expect to incur between $170 million and $180 million of remaining project costs related to this remodel, which we expect to complete before the end of 2021.</w:t>
      </w:r>
    </w:p>
    <w:p>
      <w:pPr>
        <w:spacing w:after="0" w:line="174"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The Company repaid $716.0 million of the outstanding borrowings under the WRF Revolver in February 2021, using proceeds from the February 2021 equity offering described below.</w:t>
      </w:r>
    </w:p>
    <w:p>
      <w:pPr>
        <w:spacing w:after="0" w:line="19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Wynn Resorts, Limited and other subsidiaries. </w:t>
      </w:r>
      <w:r>
        <w:rPr>
          <w:rFonts w:ascii="Arial" w:cs="Arial" w:eastAsia="Arial" w:hAnsi="Arial"/>
          <w:sz w:val="17"/>
          <w:szCs w:val="17"/>
          <w:color w:val="auto"/>
        </w:rPr>
        <w:t>Wynn Resorts, Limited is a holding company and, as a result, our ability to pay dividends is 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and for general corporate purposes.</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commissions and other expenses. The Company used $716.0 million of the net proceeds from this equity offering to repay the outstanding borrowings under the WRF revolver in February 2021, and intends to use the remaining net proceeds for general corporate purposes.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15, "Commitments and Contingencies."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Board of Directors has authorized an equity repurchase program of up to $1.0 billion. Under the equity repurchase program, we may repurchase the Company's outstanding shares from time to time through open market purchases, in privately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negotiated transactions, and under plans complying with Rules 10b5-1 and 10b-18 under the Exchange Act. As of March 31, 2021, we had $800.1 million in repurchase authority remaining under the program.</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March 31, 2021, we had outstanding letters of credit totaling $16.1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description of our critical accounting policies is included in Item 7 of our Annual Report on Form 10-K for the year ended December 31,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these policies for the three months ended March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related disclosure in Item 1—"Notes to Condensed Consolidated Financial Statements," Note 2, "Basis of Presentation and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2020 and other factors we describe from time to time in our periodic filings with the Securities and Exchange Commission ("SEC"), such as:</w:t>
      </w:r>
    </w:p>
    <w:p>
      <w:pPr>
        <w:spacing w:after="0" w:line="214"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PRC to Macau;</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public incidents of violence,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line="258"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hanging="644"/>
        <w:spacing w:after="0" w:line="265" w:lineRule="auto"/>
        <w:tabs>
          <w:tab w:leader="none" w:pos="12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2021, approximately 77% of our long-term debt was based on fixed rates. Based on our borrowings as of March 31, 2021, an assumed 100 basis point change in the variable rates would cause our annual interest expense to change by $22.8 million.</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Fluctuations in the exchange rates resulting in weakening of the Macau pataca or the Hong Kong dollar in relation to the U.S. dollar could have materially adverse effects on our results, financial condition and ability to service debt. Based on our balances as of March 31, 2021, an assumed 1% change in the U.S. dollar/Hong Kong dollar exchange rate would cause a foreign currency transaction gain/loss of $38.9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description of our risk factors can be found in Item 1A, Part I of our Annual Report on Form 10-K for the year ended December 31, 2020. There were no material changes to those risk factors during the three months ended March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summarizes the share repurchases in satisfaction of tax withholding obligations on vested restricted stock during the quarter ended March 31, 2021:</w:t>
      </w:r>
    </w:p>
    <w:tbl>
      <w:tblPr>
        <w:tblLayout w:type="fixed"/>
        <w:tblInd w:w="0" w:type="dxa"/>
        <w:tblCellMar>
          <w:top w:w="0" w:type="dxa"/>
          <w:left w:w="0" w:type="dxa"/>
          <w:bottom w:w="0" w:type="dxa"/>
          <w:right w:w="0" w:type="dxa"/>
        </w:tblCellMar>
      </w:tblPr>
      <w:tr>
        <w:trPr>
          <w:trHeight w:val="144"/>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Weighted Average Price Paid</w:t>
            </w:r>
          </w:p>
        </w:tc>
        <w:tc>
          <w:tcPr>
            <w:tcW w:w="160" w:type="dxa"/>
            <w:vAlign w:val="bottom"/>
          </w:tcPr>
          <w:p>
            <w:pPr>
              <w:spacing w:after="0"/>
              <w:rPr>
                <w:sz w:val="12"/>
                <w:szCs w:val="12"/>
                <w:color w:val="auto"/>
              </w:rPr>
            </w:pPr>
          </w:p>
        </w:tc>
        <w:tc>
          <w:tcPr>
            <w:tcW w:w="202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960" w:type="dxa"/>
            <w:vAlign w:val="bottom"/>
            <w:gridSpan w:val="2"/>
            <w:vMerge w:val="continue"/>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0"/>
              </w:rPr>
              <w:t>Repurchased Shares</w:t>
            </w:r>
          </w:p>
        </w:tc>
        <w:tc>
          <w:tcPr>
            <w:tcW w:w="0" w:type="dxa"/>
            <w:vAlign w:val="bottom"/>
          </w:tcPr>
          <w:p>
            <w:pPr>
              <w:spacing w:after="0"/>
              <w:rPr>
                <w:sz w:val="1"/>
                <w:szCs w:val="1"/>
                <w:color w:val="auto"/>
              </w:rPr>
            </w:pPr>
          </w:p>
        </w:tc>
      </w:tr>
      <w:tr>
        <w:trPr>
          <w:trHeight w:val="188"/>
        </w:trPr>
        <w:tc>
          <w:tcPr>
            <w:tcW w:w="514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Repurchased</w:t>
            </w:r>
          </w:p>
        </w:tc>
        <w:tc>
          <w:tcPr>
            <w:tcW w:w="38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6"/>
                <w:szCs w:val="16"/>
                <w:color w:val="auto"/>
              </w:rPr>
            </w:pPr>
          </w:p>
        </w:tc>
        <w:tc>
          <w:tcPr>
            <w:tcW w:w="20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0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January 31, 2021</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February 28, 2021</w:t>
            </w:r>
          </w:p>
        </w:tc>
        <w:tc>
          <w:tcPr>
            <w:tcW w:w="1860" w:type="dxa"/>
            <w:vAlign w:val="bottom"/>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132.49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31,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March 31, 2021 were part of the Company's publicly announced repurchase program. As of March 31, 2021, we had $800.1 million in repurchase authority under the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ind w:left="440"/>
        <w:spacing w:after="0"/>
        <w:tabs>
          <w:tab w:leader="none" w:pos="12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ind w:left="84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55">
        <w:r>
          <w:rPr>
            <w:rFonts w:ascii="Arial" w:cs="Arial" w:eastAsia="Arial" w:hAnsi="Arial"/>
            <w:sz w:val="16"/>
            <w:szCs w:val="16"/>
            <w:u w:val="single" w:color="auto"/>
            <w:color w:val="0000FF"/>
          </w:rPr>
          <w:t>Third Amended and Restated Articles of Incorporation of the Registrant. (Incorporated by reference from the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85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1220"/>
        <w:spacing w:after="0"/>
        <w:rPr>
          <w:rFonts w:ascii="Arial" w:cs="Arial" w:eastAsia="Arial" w:hAnsi="Arial"/>
          <w:sz w:val="18"/>
          <w:szCs w:val="18"/>
          <w:color w:val="0000FF"/>
        </w:rPr>
      </w:pPr>
      <w:hyperlink r:id="rId55">
        <w:r>
          <w:rPr>
            <w:rFonts w:ascii="Arial" w:cs="Arial" w:eastAsia="Arial" w:hAnsi="Arial"/>
            <w:sz w:val="18"/>
            <w:szCs w:val="18"/>
            <w:u w:val="single" w:color="auto"/>
            <w:color w:val="0000FF"/>
          </w:rPr>
          <w:t>10-Q filed by the Registrant on May 8, 2015.)</w:t>
        </w:r>
        <w:r>
          <w:rPr>
            <w:rFonts w:ascii="Arial" w:cs="Arial" w:eastAsia="Arial" w:hAnsi="Arial"/>
            <w:sz w:val="18"/>
            <w:szCs w:val="18"/>
            <w:color w:val="000000"/>
          </w:rPr>
          <w:t>.</w:t>
        </w:r>
      </w:hyperlink>
    </w:p>
    <w:p>
      <w:pPr>
        <w:spacing w:after="0" w:line="7" w:lineRule="exact"/>
        <w:rPr>
          <w:sz w:val="20"/>
          <w:szCs w:val="20"/>
          <w:color w:val="auto"/>
        </w:rPr>
      </w:pPr>
    </w:p>
    <w:p>
      <w:pPr>
        <w:ind w:left="1220" w:right="360" w:hanging="368"/>
        <w:spacing w:after="0" w:line="234"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3.2</w:t>
      </w:r>
      <w:r>
        <w:rPr>
          <w:sz w:val="20"/>
          <w:szCs w:val="20"/>
          <w:color w:val="auto"/>
        </w:rPr>
        <w:tab/>
      </w:r>
      <w:hyperlink r:id="rId57">
        <w:r>
          <w:rPr>
            <w:rFonts w:ascii="Arial" w:cs="Arial" w:eastAsia="Arial" w:hAnsi="Arial"/>
            <w:sz w:val="18"/>
            <w:szCs w:val="18"/>
            <w:u w:val="single" w:color="auto"/>
            <w:color w:val="0000FF"/>
          </w:rPr>
          <w:t>Ninth Amended and Restated Bylaws of the Registrant. (Incorporated by reference from the Annual Report on Form 10-K filed by the</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Registrant on February 28, 2020.)</w:t>
        </w:r>
        <w:r>
          <w:rPr>
            <w:rFonts w:ascii="Arial" w:cs="Arial" w:eastAsia="Arial" w:hAnsi="Arial"/>
            <w:sz w:val="18"/>
            <w:szCs w:val="18"/>
            <w:color w:val="000000"/>
          </w:rPr>
          <w:t>.</w:t>
        </w:r>
      </w:hyperlink>
    </w:p>
    <w:p>
      <w:pPr>
        <w:spacing w:after="0" w:line="1" w:lineRule="exact"/>
        <w:rPr>
          <w:sz w:val="20"/>
          <w:szCs w:val="20"/>
          <w:color w:val="auto"/>
        </w:rPr>
      </w:pPr>
    </w:p>
    <w:p>
      <w:pPr>
        <w:ind w:left="6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3">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23" w:lineRule="exact"/>
        <w:rPr>
          <w:sz w:val="20"/>
          <w:szCs w:val="20"/>
          <w:color w:val="auto"/>
        </w:rPr>
      </w:pPr>
    </w:p>
    <w:p>
      <w:pPr>
        <w:ind w:left="6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4">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23" w:lineRule="exact"/>
        <w:rPr>
          <w:sz w:val="20"/>
          <w:szCs w:val="20"/>
          <w:color w:val="auto"/>
        </w:rPr>
      </w:pPr>
    </w:p>
    <w:p>
      <w:pPr>
        <w:ind w:left="80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45">
        <w:r>
          <w:rPr>
            <w:rFonts w:ascii="Arial" w:cs="Arial" w:eastAsia="Arial" w:hAnsi="Arial"/>
            <w:sz w:val="16"/>
            <w:szCs w:val="16"/>
            <w:u w:val="single" w:color="auto"/>
            <w:color w:val="0000FF"/>
          </w:rPr>
          <w:t>Certification of CEO and CFO Pursuant to 19 U.S.C. Section 1350.</w:t>
        </w:r>
      </w:hyperlink>
    </w:p>
    <w:p>
      <w:pPr>
        <w:spacing w:after="0" w:line="23" w:lineRule="exact"/>
        <w:rPr>
          <w:sz w:val="20"/>
          <w:szCs w:val="20"/>
          <w:color w:val="auto"/>
        </w:rPr>
      </w:pPr>
    </w:p>
    <w:p>
      <w:pPr>
        <w:jc w:val="both"/>
        <w:ind w:left="1220" w:right="120" w:hanging="420"/>
        <w:spacing w:after="0" w:line="211"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material from Wynn Resorts, Limited's Quarterly Report on Form 10-Q, formatted in Inline XBRL (Inline Extensible Business Reporting Language): (i) the Condensed Consolidated Balance Sheets as of March 31, 2021 and December 31, 2020; (ii) the Condensed Consolidated Statements of Operations for the three months ended March 31, 2021 and 2020; (iii) the Condensed Consolidated Statements of Comprehensive Loss for the three months ended March 31, 2021 and 2020; (iv) the Condensed Consolidated Statements of Stockholders' Equity (Deficit) for the three months ended March 31, 2021 and 2020; (v) the Condensed Consolidated Statements of Cash Flows for the three months ended March 31, 2021 and 2020; and (vi) Notes to Condensed Consolidated Financial Statements. The instance document does not appear in the Interactive Data File because its XBRL tags are embedded within the Inline XBRL document.</w:t>
      </w:r>
    </w:p>
    <w:p>
      <w:pPr>
        <w:spacing w:after="0" w:line="2" w:lineRule="exact"/>
        <w:rPr>
          <w:sz w:val="20"/>
          <w:szCs w:val="20"/>
          <w:color w:val="auto"/>
        </w:rPr>
      </w:pPr>
    </w:p>
    <w:p>
      <w:pPr>
        <w:ind w:left="80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5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0740"/>
          </w:cols>
          <w:pgMar w:left="320" w:top="122" w:right="8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May 10, 2021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29210</wp:posOffset>
            </wp:positionV>
            <wp:extent cx="26320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740" w:space="720"/>
            <w:col w:w="4280"/>
          </w:cols>
          <w:pgMar w:left="320" w:top="122" w:right="839" w:bottom="1440" w:gutter="0" w:footer="0" w:header="0"/>
          <w:type w:val="continuous"/>
        </w:sectPr>
      </w:pPr>
    </w:p>
    <w:p>
      <w:pPr>
        <w:ind w:left="6460"/>
        <w:spacing w:after="0"/>
        <w:rPr>
          <w:sz w:val="20"/>
          <w:szCs w:val="20"/>
          <w:color w:val="auto"/>
        </w:rPr>
      </w:pPr>
      <w:r>
        <w:rPr>
          <w:rFonts w:ascii="Arial" w:cs="Arial" w:eastAsia="Arial" w:hAnsi="Arial"/>
          <w:sz w:val="18"/>
          <w:szCs w:val="18"/>
          <w:color w:val="auto"/>
        </w:rPr>
        <w:t>Craig S. Billings</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740"/>
          </w:cols>
          <w:pgMar w:left="320" w:top="122" w:right="8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68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 Maddox</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 Chief Executive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90" w:lineRule="exact"/>
        <w:rPr>
          <w:sz w:val="20"/>
          <w:szCs w:val="20"/>
          <w:color w:val="auto"/>
        </w:rPr>
      </w:pPr>
    </w:p>
    <w:p>
      <w:pPr>
        <w:ind w:left="820" w:hanging="81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686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Craig S. Billings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98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0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4" w:lineRule="exact"/>
        <w:rPr>
          <w:sz w:val="20"/>
          <w:szCs w:val="20"/>
          <w:color w:val="auto"/>
        </w:rPr>
      </w:pPr>
    </w:p>
    <w:p>
      <w:pPr>
        <w:ind w:right="220" w:firstLine="180"/>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2021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6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 Maddox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w:t>
            </w:r>
          </w:p>
        </w:tc>
        <w:tc>
          <w:tcPr>
            <w:tcW w:w="53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Matt Maddox</w:t>
            </w:r>
          </w:p>
        </w:tc>
        <w:tc>
          <w:tcPr>
            <w:tcW w:w="40" w:type="dxa"/>
            <w:vAlign w:val="bottom"/>
          </w:tcPr>
          <w:p>
            <w:pPr>
              <w:spacing w:after="0"/>
              <w:rPr>
                <w:sz w:val="19"/>
                <w:szCs w:val="19"/>
                <w:color w:val="auto"/>
              </w:rPr>
            </w:pP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5320" w:type="dxa"/>
            <w:vAlign w:val="bottom"/>
          </w:tcPr>
          <w:p>
            <w:pPr>
              <w:ind w:left="360"/>
              <w:spacing w:after="0"/>
              <w:rPr>
                <w:sz w:val="20"/>
                <w:szCs w:val="20"/>
                <w:color w:val="auto"/>
              </w:rPr>
            </w:pPr>
            <w:r>
              <w:rPr>
                <w:rFonts w:ascii="Arial" w:cs="Arial" w:eastAsia="Arial" w:hAnsi="Arial"/>
                <w:sz w:val="18"/>
                <w:szCs w:val="18"/>
                <w:color w:val="auto"/>
              </w:rPr>
              <w:t>Director, Chief Executive Officer</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19"/>
                <w:szCs w:val="19"/>
                <w:color w:val="auto"/>
              </w:rPr>
            </w:pP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5320" w:type="dxa"/>
            <w:vAlign w:val="bottom"/>
          </w:tcPr>
          <w:p>
            <w:pPr>
              <w:ind w:left="360"/>
              <w:spacing w:after="0"/>
              <w:rPr>
                <w:sz w:val="20"/>
                <w:szCs w:val="20"/>
                <w:color w:val="auto"/>
              </w:rPr>
            </w:pPr>
            <w:r>
              <w:rPr>
                <w:rFonts w:ascii="Arial" w:cs="Arial" w:eastAsia="Arial" w:hAnsi="Arial"/>
                <w:sz w:val="18"/>
                <w:szCs w:val="18"/>
                <w:color w:val="auto"/>
              </w:rPr>
              <w:t>May 10, 2021</w:t>
            </w:r>
          </w:p>
        </w:tc>
        <w:tc>
          <w:tcPr>
            <w:tcW w:w="4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S. Billings</w:t>
            </w:r>
          </w:p>
        </w:tc>
        <w:tc>
          <w:tcPr>
            <w:tcW w:w="40" w:type="dxa"/>
            <w:vAlign w:val="bottom"/>
            <w:tcBorders>
              <w:bottom w:val="single" w:sz="8" w:color="auto"/>
            </w:tcBorders>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5320" w:type="dxa"/>
            <w:vAlign w:val="bottom"/>
          </w:tcPr>
          <w:p>
            <w:pPr>
              <w:ind w:left="380"/>
              <w:spacing w:after="0"/>
              <w:rPr>
                <w:sz w:val="20"/>
                <w:szCs w:val="20"/>
                <w:color w:val="auto"/>
              </w:rPr>
            </w:pPr>
            <w:r>
              <w:rPr>
                <w:rFonts w:ascii="Arial" w:cs="Arial" w:eastAsia="Arial" w:hAnsi="Arial"/>
                <w:sz w:val="18"/>
                <w:szCs w:val="18"/>
                <w:color w:val="auto"/>
              </w:rPr>
              <w:t>Craig S. Billings</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320" w:type="dxa"/>
            <w:vAlign w:val="bottom"/>
          </w:tcPr>
          <w:p>
            <w:pPr>
              <w:ind w:left="380"/>
              <w:spacing w:after="0"/>
              <w:rPr>
                <w:sz w:val="20"/>
                <w:szCs w:val="20"/>
                <w:color w:val="auto"/>
              </w:rPr>
            </w:pPr>
            <w:r>
              <w:rPr>
                <w:rFonts w:ascii="Arial" w:cs="Arial" w:eastAsia="Arial" w:hAnsi="Arial"/>
                <w:sz w:val="18"/>
                <w:szCs w:val="18"/>
                <w:color w:val="auto"/>
              </w:rPr>
              <w:t>President and Chief Financial Officer</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tcPr>
          <w:p>
            <w:pPr>
              <w:ind w:left="380"/>
              <w:spacing w:after="0"/>
              <w:rPr>
                <w:sz w:val="20"/>
                <w:szCs w:val="20"/>
                <w:color w:val="auto"/>
              </w:rPr>
            </w:pPr>
            <w:r>
              <w:rPr>
                <w:rFonts w:ascii="Arial" w:cs="Arial" w:eastAsia="Arial" w:hAnsi="Arial"/>
                <w:sz w:val="18"/>
                <w:szCs w:val="18"/>
                <w:color w:val="auto"/>
              </w:rPr>
              <w:t>May 10, 2021</w:t>
            </w:r>
          </w:p>
        </w:tc>
        <w:tc>
          <w:tcPr>
            <w:tcW w:w="40" w:type="dxa"/>
            <w:vAlign w:val="bottom"/>
          </w:tcPr>
          <w:p>
            <w:pPr>
              <w:spacing w:after="0"/>
              <w:rPr>
                <w:sz w:val="20"/>
                <w:szCs w:val="20"/>
                <w:color w:val="auto"/>
              </w:rPr>
            </w:pPr>
          </w:p>
        </w:tc>
      </w:tr>
    </w:tbl>
    <w:p>
      <w:pPr>
        <w:spacing w:after="0" w:line="16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5" Type="http://schemas.openxmlformats.org/officeDocument/2006/relationships/hyperlink" Target="http://www.sec.gov/Archives/edgar/data/1174922/000117492215000044/ex-31.htm" TargetMode="External"/><Relationship Id="rId57" Type="http://schemas.openxmlformats.org/officeDocument/2006/relationships/hyperlink" Target="http://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2021-05-10T15:28:36Z</dcterms:created>
  <dcterms:modified xsi:type="dcterms:W3CDTF">2021-05-10T15:28:36Z</dcterms:modified>
</cp:coreProperties>
</file>