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August 1, 2018, Wynn Resorts, Limited issued a press release announcing its results of operations for the second quarter ended June 30, 2018.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1, 2018, the Company announced a cash dividend of $0.75 per share, payable on August 28, 2018 to stockholders of record as of August 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5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August 1, 2018, of Wynn Resorts, Limited.</w:t>
              </w:r>
            </w:hyperlink>
          </w:p>
        </w:tc>
      </w:tr>
    </w:tbl>
    <w:p>
      <w:pPr>
        <w:sectPr>
          <w:pgSz w:w="11900" w:h="16838" w:orient="portrait"/>
          <w:cols w:equalWidth="0" w:num="1">
            <w:col w:w="11380"/>
          </w:cols>
          <w:pgMar w:left="240" w:top="742"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2018 Results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LAS VEGAS, August 1, 2018 — Wynn Resorts, Limited (Nasdaq: WYNN) today reported financial results for the second quarter ended June 30, 2018. The results reflect the Company’s adoption of the new revenue recognition standard ("ASC 606"), effective January 1, 2018. Certain prior period amounts have been adjusted to reflect the full retrospective adoption of ASC 606, with no impact on operating income, net income or Adjusted Property EBITDA </w:t>
      </w:r>
      <w:r>
        <w:rPr>
          <w:rFonts w:ascii="Arial" w:cs="Arial" w:eastAsia="Arial" w:hAnsi="Arial"/>
          <w:sz w:val="13"/>
          <w:szCs w:val="13"/>
          <w:color w:val="auto"/>
        </w:rPr>
        <w:t>(1)</w:t>
      </w:r>
      <w:r>
        <w:rPr>
          <w:rFonts w:ascii="Arial" w:cs="Arial" w:eastAsia="Arial" w:hAnsi="Arial"/>
          <w:sz w:val="16"/>
          <w:szCs w:val="16"/>
          <w:color w:val="auto"/>
        </w:rPr>
        <w:t>.</w:t>
      </w:r>
    </w:p>
    <w:p>
      <w:pPr>
        <w:spacing w:after="0" w:line="16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Operating revenues were $1.61 billion for the second quarter of 2018, an increase of 9.0%, or $132.5 million, from $1.47 billion for the same period of 2017. Operating revenues from Wynn Palace and our Las Vegas Operations increased $224.2 million and $3.5 million, respectively, compared to the same period of 2017. These increases were offset by a decrease of $95.2 million from Wynn Macau.</w:t>
      </w:r>
    </w:p>
    <w:p>
      <w:pPr>
        <w:spacing w:after="0" w:line="1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On a U.S. generally accepted accounting principles ("GAAP") basis, net income attributable to Wynn Resorts, Limited was $155.8 million, or $1.44 per diluted share, for the second quarter of 2018, compared to $74.9 million, or $0.73 per diluted share, for the same period of 2017. The increase in net income attributable to Wynn Resorts, Limited was primarily due to an increase in operating income from Wynn Palace. Adjusted net income attributable to Wynn Resorts, Limited </w:t>
      </w:r>
      <w:r>
        <w:rPr>
          <w:rFonts w:ascii="Arial" w:cs="Arial" w:eastAsia="Arial" w:hAnsi="Arial"/>
          <w:sz w:val="14"/>
          <w:szCs w:val="14"/>
          <w:color w:val="auto"/>
        </w:rPr>
        <w:t>(2)</w:t>
      </w:r>
      <w:r>
        <w:rPr>
          <w:rFonts w:ascii="Arial" w:cs="Arial" w:eastAsia="Arial" w:hAnsi="Arial"/>
          <w:sz w:val="18"/>
          <w:szCs w:val="18"/>
          <w:color w:val="auto"/>
        </w:rPr>
        <w:t xml:space="preserve"> was $166.2 million, or $1.53 per diluted share, for the second quarter of 2018, compared to $129.4 million, or $1.26 per diluted share, for the same period of 2017.</w:t>
      </w:r>
    </w:p>
    <w:p>
      <w:pPr>
        <w:spacing w:after="0" w:line="18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Adjusted Property EBITDA was $476.4 million for the second quarter of 2018, an increase of 10.8%, or $46.3 million, from $430.0 million for the same period of 2017. Adjusted Property EBITDA from Wynn Palace increased $91.9 million compared to the same period of 2017. This increase was offset by decreases of $37.5 million and $8.1 million from Wynn Macau and our Las Vegas Operations, respectively.</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$0.75 per share, payable on August 28, 2018 to stockholders of record as of August 16,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revenues from Wynn Macau were $543.3 million for the second quarter of 2018, a 14.9% decrease from $638.5 million for the same period of 2017. Adjusted Property EBITDA from Wynn Macau was $172.9 million for the second quarter of 2018, a 17.8% decrease from $210.4 million for the same period of 2017.</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Casino revenues from Wynn Macau were $473.3 million for the second quarter of 2018, an 18.1% decrease from $578.1 million for the same period of 2017. Table games turnover in VIP operations was $13.93 billion, a 13.1% decrease from $16.02 billion for the same period of 2017. VIP table games win as a percentage of turnover was 2.56%, below the expected range of 2.7% to 3.0% and the 3.53% experienced in the second quarter of 2017. Table drop in mass market operations was $1.29 billion, a 21.1% increase from $1.07 billion for the second quarter of 2017. Table games win in mass market operations was $252.0 million, a 13.8% increase from $221.6 million for the second quarter of 2017. Table games win percentage in mass market operations was 19.5%, below the 20.8% experienced in the second quarter of 2017. Slot machine handle was $963.6 million, an 11.0% increase from $867.9 million for the second quarter of 2017, while slot machine win increased 2.3% to $40.4 million.</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Non-casino revenues from Wynn Macau were $70.0 million for the second quarter of 2018, a 15.9% increase from $60.4 million for the same period of 2017. Room revenues were $27.1 million for the second quarter of 2018, a 16.0% increase from $23.3 million for the same period of 2017. Average daily rate ("ADR") was $272, a 15.7% increase from $235 for the second quarter of 2017. Occupancy increased to 99.4% for the second quarter of 2018, from 97.5% for the same period of 2017. Revenue per available room ("REVPAR") was $271, an 18.3% increase from $229 for the second quarter of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revenues from Wynn Palace were $620.6 million for the second quarter of 2018, a 56.6% increase from $396.4 million for the same period of 2017. Adjusted Property EBITDA from Wynn Palace was $179.3 million for the second quarter of 2018, a 105.1% increase from $87.4 million for the same period of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right="40"/>
        <w:spacing w:after="0" w:line="291" w:lineRule="auto"/>
        <w:rPr>
          <w:sz w:val="20"/>
          <w:szCs w:val="20"/>
          <w:color w:val="auto"/>
        </w:rPr>
      </w:pPr>
      <w:r>
        <w:rPr>
          <w:rFonts w:ascii="Arial" w:cs="Arial" w:eastAsia="Arial" w:hAnsi="Arial"/>
          <w:sz w:val="16"/>
          <w:szCs w:val="16"/>
          <w:color w:val="auto"/>
        </w:rPr>
        <w:t>Casino revenues from Wynn Palace were $525.0 million for the second quarter of 2018, a 62.4% increase from $323.3 million for the same period of 2017. Table games turnover in VIP operations was $14.03 billion, a 20.9% increase from $11.60 billion for the second quarter of 2017. VIP table games win as a percentage of turnover was 3.00%, within the expected range of 2.7% to 3.0% and above the 2.18% experienced in the second quarter of 2017. Table drop in mass market operations was $1.22 billion, a 67.2% increase from $729.0 million for the second quarter of 2017. Table games win in mass market operations was $280.6 million, a 66.3% increase from $168.7 million for the second quarter of 2017. Table games win percentage in mass market operations was 23.0%, slightly below the 23.1% experienced in the second quarter of 2017. Slot machine handle was $941.0 million, a 43.0% increase from $657.9 million for the second quarter of 2017, while slot machine win increased 26.9% to $44.2 million for the second quarter of 2018.</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Non-casino revenues from Wynn Palace were $95.6 million for the second quarter of 2018, a 30.6% increase from $73.1 million for the same period of 2017. Room revenues were $40.7 million for the second quarter of 2018, a 46.2% increase from $27.9 million for the same period of 2017. ADR was $254, a 36.6% increase from $186 for the second quarter of 2017. Occupancy was flat at 96.2% for the second quarter of 2018, compared to the same period of 2017. REVPAR was $245, a 37.6% increase from $178 for the second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revenues from our Las Vegas Operations were $441.6 million for the second quarter of 2018, a 0.8% increase from $438.0 million for the same period of 2017. Adjusted Property EBITDA from our Las Vegas Operations was $124.2 million, a 6.1% decrease from $132.2 million for the second quarter of 2017.</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Casino revenues from our Las Vegas Operations were $101.7 million for the second quarter of 2018, a 1.2% increase from $100.5 million for the same period of 2017. Table games drop was $403.7 million, a 3.7% decrease from $419.3 million for the second quarter of 2017. Table games win was flat at $101.0 million for the second quarter of 2018, compared to the same period of 2017. Table games win percentage was 25.0%, within the expected range of 22% to 26% and above the 24.2% experienced in the second quarter of 2017. Slot machine handle was $778.4 million, a 1.8% increase from $764.8 million for the second quarter of 2017, while slot machine win decreased 6.8% to $49.4 million.</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Non-casino revenues from our Las Vegas Operations were $339.8 million for the second quarter of 2018, a 0.7% increase from $337.5 million for the same period of 2017. Room revenues were $118.3 million for the second quarter of 2018, a 4.0% increase from $113.7 million for the same period of 2017. ADR was $313, a 5.0% increase from $298 for the second quarter of 2017. Occupancy decreased to 87.7% for the second quarter of 2018, from 88.7% for the same period of 2017. REVPAR was $274, a 3.4% increase from $265 for the second quarter of 2017. Food and beverage revenues increased 2.3%, to $170.9 million for the second quarter of 2018, compared to the same period of 2017. Entertainment, retail and other revenues decreased 10.7%, to $50.7 million for the second quarter of 2018, compared to the same period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Boston Harbor Project in Massachusetts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$2.5 billion. As of June 30, 2018, we have incurred $1.64 billion in total project costs. We expect to open Encore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as of June 30, 2018 were $1.58 billion.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debt outstanding at the end of the quarter was $8.31 billion, including $4.23 billion of Macau related debt, $3.10 billion of Wynn Las Vegas debt and $985.9 million at the parent company and other.</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July 25, 2018, certain subsidiaries in the Company’s retail joint venture (the “Borrowers”) entered into a $615.0 million term loan agreement (the “Retail Term Loan”). The Borrowers own approximately 162,000 square feet of retail space at Wynn Las Vegas, and each of the Borrowers is a 50.1%-owned subsidiary of the Company, with the other 49.9% owned by Crown Acquisitions Inc. The Retail Term Loan matures in July 2025 and bears interest at LIBOR plus 1.70% per annum. The Borrowers distributed approximately $589 million of the net proceeds of the Retail Term Loan to their members. The Company intends to use its portion of the net proceeds for the construction of Encore Boston Harbor and for other general corporate purposes.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 discuss its results, including the results of Wynn Las Vegas, LLC, on August 1, 2018 at 1:30 p.m. PT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 Interested parties are invited to join the call by accessing a live audio webcast at http://www.wynnresorts.com.</w:t>
      </w:r>
    </w:p>
    <w:p>
      <w:pPr>
        <w:spacing w:after="0" w:line="21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On August 8, 2018, the Company will make Wynn Las Vegas, LLC financial information for the quarter ended June 30, 2018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2017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gain (loss) on extinguishment of debt, change in interest rate swap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(loss) attributable to Wynn Resorts, Limited before litigation settlement expense, pre-opening expenses, property charges and other, change in interest rate swap fair value, change in Redemption Note fair value, gain (loss) on extinguishment of debt, foreign currency remeasurement loss,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(loss) per share computed in accordance with GAAP, as an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96" w:right="259" w:bottom="1440" w:gutter="0" w:footer="0" w:header="0"/>
        </w:sectPr>
      </w:pPr>
    </w:p>
    <w:bookmarkStart w:id="6" w:name="page7"/>
    <w:bookmarkEnd w:id="6"/>
    <w:p>
      <w:pPr>
        <w:ind w:right="20"/>
        <w:spacing w:after="0" w:line="264" w:lineRule="auto"/>
        <w:rPr>
          <w:sz w:val="20"/>
          <w:szCs w:val="20"/>
          <w:color w:val="auto"/>
        </w:rPr>
      </w:pPr>
      <w:r>
        <w:rPr>
          <w:rFonts w:ascii="Arial" w:cs="Arial" w:eastAsia="Arial" w:hAnsi="Arial"/>
          <w:sz w:val="18"/>
          <w:szCs w:val="18"/>
          <w:color w:val="auto"/>
        </w:rPr>
        <w:t>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(loss) to Adjusted Property EBITDA, and (iii) net income (loss) attributable to Wynn Resorts, Limited to Adjusted Property EBITDA.</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58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adjusted)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1,991,568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376,361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333,764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368,827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202,490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1,605,424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1,472,892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3,321,002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2,896,649</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1,278,412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62,021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126,872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286,512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93,992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324,131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1,325,852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1,226,003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3,122,724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2,399,830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279,572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246,889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198,278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496,819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(137,486)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(252,002)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244,817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205,280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67,802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239,320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155,756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74,916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175,731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101,851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105,195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102,274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175,731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 currency remeasurement loss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166,208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129,439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403,180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260,324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1"/>
              </w:rPr>
              <w:t>Adjusted net income attributable to Wynn Resorts, Limited per diluted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108,405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102,274</w:t>
            </w:r>
          </w:p>
        </w:tc>
        <w:tc>
          <w:tcPr>
            <w:tcW w:w="0" w:type="dxa"/>
            <w:vAlign w:val="bottom"/>
          </w:tcPr>
          <w:p>
            <w:pPr>
              <w:spacing w:after="0"/>
              <w:rPr>
                <w:sz w:val="1"/>
                <w:szCs w:val="1"/>
                <w:color w:val="auto"/>
              </w:rPr>
            </w:pPr>
          </w:p>
        </w:tc>
      </w:tr>
      <w:tr>
        <w:trPr>
          <w:trHeight w:val="702"/>
        </w:trPr>
        <w:tc>
          <w:tcPr>
            <w:tcW w:w="6060" w:type="dxa"/>
            <w:vAlign w:val="bottom"/>
          </w:tcPr>
          <w:p>
            <w:pPr>
              <w:ind w:left="56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Pre-opening</w:t>
            </w:r>
          </w:p>
        </w:tc>
        <w:tc>
          <w:tcPr>
            <w:tcW w:w="20" w:type="dxa"/>
            <w:vAlign w:val="bottom"/>
          </w:tcPr>
          <w:p>
            <w:pPr>
              <w:spacing w:after="0"/>
              <w:rPr>
                <w:sz w:val="13"/>
                <w:szCs w:val="13"/>
                <w:color w:val="auto"/>
              </w:rPr>
            </w:pPr>
          </w:p>
        </w:tc>
        <w:tc>
          <w:tcPr>
            <w:tcW w:w="12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Wynn Macau</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126,268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21,604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20,488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1,623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172,928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Palace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82,501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64,457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179,265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205,593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87,166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44,151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352,193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51,150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47,579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20,299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124,157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11,194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279,572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11,196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137,870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8,791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29,579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9,342</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476,350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Pre-opening</w:t>
            </w:r>
          </w:p>
        </w:tc>
        <w:tc>
          <w:tcPr>
            <w:tcW w:w="20" w:type="dxa"/>
            <w:vAlign w:val="bottom"/>
          </w:tcPr>
          <w:p>
            <w:pPr>
              <w:spacing w:after="0"/>
              <w:rPr>
                <w:sz w:val="13"/>
                <w:szCs w:val="13"/>
                <w:color w:val="auto"/>
              </w:rPr>
            </w:pPr>
          </w:p>
        </w:tc>
        <w:tc>
          <w:tcPr>
            <w:tcW w:w="12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153,711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24,600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26,818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210,398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64,092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153,855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89,822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42,898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3,540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297,801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60,868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45,155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132,210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32,166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(55,161)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246,889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6,758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137,686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7,165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20,933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10,580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430,011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285,729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43,774</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43,854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3,816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382,750</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201,972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128,881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391,176</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480,555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174,866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91,742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773,926</w:t>
            </w:r>
          </w:p>
        </w:tc>
        <w:tc>
          <w:tcPr>
            <w:tcW w:w="0" w:type="dxa"/>
            <w:vAlign w:val="bottom"/>
          </w:tcPr>
          <w:p>
            <w:pPr>
              <w:spacing w:after="0"/>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123,024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93,362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40,338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266,753</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 (1)</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(405,301)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21,533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(132,080)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499,397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198,278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21,541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274,227</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518,145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16,646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1,040,679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2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281,852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49,309</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49,628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5,202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391,504</w:t>
            </w:r>
          </w:p>
        </w:tc>
        <w:tc>
          <w:tcPr>
            <w:tcW w:w="0" w:type="dxa"/>
            <w:vAlign w:val="bottom"/>
          </w:tcPr>
          <w:p>
            <w:pPr>
              <w:spacing w:after="0"/>
              <w:rPr>
                <w:sz w:val="1"/>
                <w:szCs w:val="1"/>
                <w:color w:val="auto"/>
              </w:rPr>
            </w:pPr>
          </w:p>
        </w:tc>
      </w:tr>
      <w:tr>
        <w:trPr>
          <w:trHeight w:val="27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199,259</w:t>
            </w: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303,899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180,257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84,379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590,763</w:t>
            </w:r>
          </w:p>
        </w:tc>
        <w:tc>
          <w:tcPr>
            <w:tcW w:w="0" w:type="dxa"/>
            <w:vAlign w:val="bottom"/>
          </w:tcPr>
          <w:p>
            <w:pPr>
              <w:spacing w:after="0"/>
              <w:rPr>
                <w:sz w:val="1"/>
                <w:szCs w:val="1"/>
                <w:color w:val="auto"/>
              </w:rPr>
            </w:pPr>
          </w:p>
        </w:tc>
      </w:tr>
      <w:tr>
        <w:trPr>
          <w:trHeight w:val="264"/>
        </w:trPr>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128,334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92,012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24,733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12,843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266,787</w:t>
            </w: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64,586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(109,112)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496,819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12,537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277,506</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10,201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41,700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18,787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857,550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 and other includes litigation settlement expense of $463.6 million.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175,731</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116,353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63,589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41,700</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97,739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188,125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196,001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extinguishment of debt</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22,287</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1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16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476,350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430,011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7"/>
              </w:rPr>
              <w:t>1,040,679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857,550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vMerge w:val="restart"/>
          </w:tcPr>
          <w:p>
            <w:pPr>
              <w:jc w:val="right"/>
              <w:ind w:right="67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13,928,463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16,023,080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31,015,918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29,307,843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357,166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566,091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802,355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1,005,002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35,044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63,735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39,295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60,129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1,293,154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1,067,718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2,615,969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2,204,614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252,038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221,567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508,519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434,471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11,755</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963,635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867,889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1,966,454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1,724,572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78,085</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Wynn Palace: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14,029,065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11,604,672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29,414,898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22,646,354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420,181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252,641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820,072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587,383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39,289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33,141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1,218,863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729,006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2,436,064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1,499,024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280,568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168,746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590,728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336,373</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14,632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9,019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940,972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657,850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1,999,068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1,315,430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68,748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182</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403,730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419,338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940,311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877,935</w:t>
            </w: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100,987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101,300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255,420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232,147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5,448</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1,871</w:t>
            </w: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778,447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764,786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1,522,580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1,530,700</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102,735</w:t>
            </w: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303</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w:t>
            </w:r>
          </w:p>
        </w:tc>
      </w:tr>
      <w:tr>
        <w:trPr>
          <w:trHeight w:val="243"/>
        </w:trPr>
        <w:tc>
          <w:tcPr>
            <w:tcW w:w="538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268</w:t>
            </w:r>
          </w:p>
        </w:tc>
      </w:tr>
    </w:tbl>
    <w:p>
      <w:pPr>
        <w:spacing w:after="0" w:line="265" w:lineRule="exact"/>
        <w:rPr>
          <w:sz w:val="20"/>
          <w:szCs w:val="20"/>
          <w:color w:val="auto"/>
        </w:rPr>
      </w:pPr>
    </w:p>
    <w:p>
      <w:pPr>
        <w:ind w:left="260" w:right="220" w:hanging="252"/>
        <w:spacing w:after="0" w:line="250"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right="340" w:hanging="252"/>
        <w:spacing w:after="0" w:line="24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sz w:val="20"/>
          <w:szCs w:val="20"/>
          <w:color w:val="auto"/>
        </w:rPr>
      </w:pPr>
    </w:p>
    <w:p>
      <w:pPr>
        <w:ind w:left="260" w:right="20" w:hanging="252"/>
        <w:spacing w:after="0" w:line="24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 The prior period amounts have been adjusted to reflect the full retrospective adoption of ASC 606.</w:t>
      </w:r>
    </w:p>
    <w:p>
      <w:pPr>
        <w:ind w:left="260" w:right="360" w:hanging="252"/>
        <w:spacing w:after="0" w:line="255"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 The prior period amounts have been adjusted to reflect the full retrospective adoption of ASC 606.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2019-12-28T20:51:29Z</dcterms:created>
  <dcterms:modified xsi:type="dcterms:W3CDTF">2019-12-28T20:51:29Z</dcterms:modified>
</cp:coreProperties>
</file>