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250825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262255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200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408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920" w:type="dxa"/>
            <w:vAlign w:val="bottom"/>
          </w:tcPr>
          <w:p>
            <w:pPr>
              <w:spacing w:after="0"/>
              <w:rPr>
                <w:sz w:val="20"/>
                <w:szCs w:val="20"/>
                <w:color w:val="auto"/>
              </w:rPr>
            </w:pP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46-0484987</w:t>
            </w:r>
          </w:p>
        </w:tc>
        <w:tc>
          <w:tcPr>
            <w:tcW w:w="0" w:type="dxa"/>
            <w:vAlign w:val="bottom"/>
          </w:tcPr>
          <w:p>
            <w:pPr>
              <w:spacing w:after="0"/>
              <w:rPr>
                <w:sz w:val="1"/>
                <w:szCs w:val="1"/>
                <w:color w:val="auto"/>
              </w:rPr>
            </w:pPr>
          </w:p>
        </w:tc>
      </w:tr>
      <w:tr>
        <w:trPr>
          <w:trHeight w:val="178"/>
        </w:trPr>
        <w:tc>
          <w:tcPr>
            <w:tcW w:w="20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40" w:type="dxa"/>
            <w:vAlign w:val="bottom"/>
          </w:tcPr>
          <w:p>
            <w:pPr>
              <w:spacing w:after="0"/>
              <w:rPr>
                <w:sz w:val="15"/>
                <w:szCs w:val="15"/>
                <w:color w:val="auto"/>
              </w:rPr>
            </w:pPr>
          </w:p>
        </w:tc>
        <w:tc>
          <w:tcPr>
            <w:tcW w:w="426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40" w:type="dxa"/>
            <w:vAlign w:val="bottom"/>
          </w:tcPr>
          <w:p>
            <w:pPr>
              <w:spacing w:after="0"/>
              <w:rPr>
                <w:sz w:val="16"/>
                <w:szCs w:val="16"/>
                <w:color w:val="auto"/>
              </w:rPr>
            </w:pPr>
          </w:p>
        </w:tc>
        <w:tc>
          <w:tcPr>
            <w:tcW w:w="4260" w:type="dxa"/>
            <w:vAlign w:val="bottom"/>
            <w:gridSpan w:val="2"/>
            <w:vMerge w:val="continue"/>
          </w:tcPr>
          <w:p>
            <w:pPr>
              <w:spacing w:after="0"/>
              <w:rPr>
                <w:sz w:val="16"/>
                <w:szCs w:val="16"/>
                <w:color w:val="auto"/>
              </w:rPr>
            </w:pP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26"/>
        </w:trPr>
        <w:tc>
          <w:tcPr>
            <w:tcW w:w="2000" w:type="dxa"/>
            <w:vAlign w:val="bottom"/>
          </w:tcPr>
          <w:p>
            <w:pPr>
              <w:spacing w:after="0"/>
              <w:rPr>
                <w:sz w:val="24"/>
                <w:szCs w:val="24"/>
                <w:color w:val="auto"/>
              </w:rPr>
            </w:pPr>
          </w:p>
        </w:tc>
        <w:tc>
          <w:tcPr>
            <w:tcW w:w="50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00" w:type="dxa"/>
            <w:vAlign w:val="bottom"/>
          </w:tcPr>
          <w:p>
            <w:pPr>
              <w:spacing w:after="0"/>
              <w:rPr>
                <w:sz w:val="21"/>
                <w:szCs w:val="21"/>
                <w:color w:val="auto"/>
              </w:rPr>
            </w:pPr>
          </w:p>
        </w:tc>
        <w:tc>
          <w:tcPr>
            <w:tcW w:w="408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90805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300"/>
          </w:cols>
          <w:pgMar w:left="240" w:top="727" w:right="359" w:bottom="1440" w:gutter="0" w:footer="0" w:header="0"/>
        </w:sectPr>
      </w:pPr>
    </w:p>
    <w:bookmarkStart w:id="1" w:name="page2"/>
    <w:bookmarkEnd w:id="1"/>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On August 20, 2015, Wynn Macau, Limited (“WML”), an indirect subsidiary of Wynn Resorts, Limited (the “Registrant”) with ordinary shares of its common stock listed on The Stock Exchange of Hong Kong Limited, filed its preliminary results in respect of the six months ended June 30, 2015 (the “Semi-Annual Results Announcement”) with The Stock Exchange of Hong Kong Limited. The Registrant owns approximately 72% of WML’s ordinary shares of common stock. The Semi-Annual Results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00"/>
          </w:cols>
          <w:pgMar w:left="240" w:top="954" w:right="259" w:bottom="1440" w:gutter="0" w:footer="0" w:header="0"/>
        </w:sectPr>
      </w:pP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52" w:lineRule="exact"/>
        <w:rPr>
          <w:sz w:val="20"/>
          <w:szCs w:val="20"/>
          <w:color w:val="auto"/>
        </w:rPr>
      </w:pPr>
    </w:p>
    <w:p>
      <w:pPr>
        <w:sectPr>
          <w:pgSz w:w="11900" w:h="16838" w:orient="portrait"/>
          <w:cols w:equalWidth="0" w:num="2">
            <w:col w:w="800" w:space="620"/>
            <w:col w:w="9980"/>
          </w:cols>
          <w:pgMar w:left="240" w:top="954" w:right="25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400"/>
          </w:cols>
          <w:pgMar w:left="240" w:top="954" w:right="25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0" w:lineRule="exact"/>
        <w:rPr>
          <w:sz w:val="20"/>
          <w:szCs w:val="20"/>
          <w:color w:val="auto"/>
        </w:rPr>
      </w:pPr>
    </w:p>
    <w:p>
      <w:pPr>
        <w:sectPr>
          <w:pgSz w:w="11900" w:h="16838" w:orient="portrait"/>
          <w:cols w:equalWidth="0" w:num="2">
            <w:col w:w="2060" w:space="720"/>
            <w:col w:w="8620"/>
          </w:cols>
          <w:pgMar w:left="240" w:top="954" w:right="25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Semi-Annual Results Announcement of Wynn Macau, Limited for the six months ended June 30, 2015.</w:t>
      </w:r>
    </w:p>
    <w:p>
      <w:pPr>
        <w:sectPr>
          <w:pgSz w:w="11900" w:h="16838" w:orient="portrait"/>
          <w:cols w:equalWidth="0" w:num="2">
            <w:col w:w="2060" w:space="720"/>
            <w:col w:w="8620"/>
          </w:cols>
          <w:pgMar w:left="240" w:top="954" w:right="259" w:bottom="1440" w:gutter="0" w:footer="0" w:header="0"/>
          <w:type w:val="continuous"/>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9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August 20,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240" w:top="57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20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799"/>
        </w:trPr>
        <w:tc>
          <w:tcPr>
            <w:tcW w:w="1160" w:type="dxa"/>
            <w:vAlign w:val="bottom"/>
          </w:tcPr>
          <w:p>
            <w:pPr>
              <w:jc w:val="center"/>
              <w:ind w:right="62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0" w:type="dxa"/>
            <w:vAlign w:val="bottom"/>
            <w:vMerge w:val="restart"/>
          </w:tcPr>
          <w:p>
            <w:pPr>
              <w:ind w:left="4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60" w:type="dxa"/>
            <w:vAlign w:val="bottom"/>
          </w:tcPr>
          <w:p>
            <w:pPr>
              <w:jc w:val="center"/>
              <w:ind w:right="622"/>
              <w:spacing w:after="0"/>
              <w:rPr>
                <w:sz w:val="20"/>
                <w:szCs w:val="20"/>
                <w:color w:val="auto"/>
              </w:rPr>
            </w:pPr>
            <w:r>
              <w:rPr>
                <w:rFonts w:ascii="Times New Roman" w:cs="Times New Roman" w:eastAsia="Times New Roman" w:hAnsi="Times New Roman"/>
                <w:sz w:val="14"/>
                <w:szCs w:val="14"/>
                <w:b w:val="1"/>
                <w:bCs w:val="1"/>
                <w:color w:val="auto"/>
              </w:rPr>
              <w:t>No.</w:t>
            </w:r>
          </w:p>
        </w:tc>
        <w:tc>
          <w:tcPr>
            <w:tcW w:w="8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77"/>
        </w:trPr>
        <w:tc>
          <w:tcPr>
            <w:tcW w:w="1160" w:type="dxa"/>
            <w:vAlign w:val="bottom"/>
          </w:tcPr>
          <w:p>
            <w:pPr>
              <w:jc w:val="center"/>
              <w:ind w:right="642"/>
              <w:spacing w:after="0"/>
              <w:rPr>
                <w:sz w:val="20"/>
                <w:szCs w:val="20"/>
                <w:color w:val="auto"/>
              </w:rPr>
            </w:pPr>
            <w:r>
              <w:rPr>
                <w:rFonts w:ascii="Times New Roman" w:cs="Times New Roman" w:eastAsia="Times New Roman" w:hAnsi="Times New Roman"/>
                <w:sz w:val="18"/>
                <w:szCs w:val="18"/>
                <w:color w:val="auto"/>
              </w:rPr>
              <w:t>99.1</w:t>
            </w:r>
          </w:p>
        </w:tc>
        <w:tc>
          <w:tcPr>
            <w:tcW w:w="82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Semi-Annual Results Announcement of Wynn Macau, Limited, for the six months ended June 30, 2015.</w:t>
            </w:r>
          </w:p>
        </w:tc>
        <w:tc>
          <w:tcPr>
            <w:tcW w:w="0" w:type="dxa"/>
            <w:vAlign w:val="bottom"/>
          </w:tcPr>
          <w:p>
            <w:pPr>
              <w:spacing w:after="0"/>
              <w:rPr>
                <w:sz w:val="1"/>
                <w:szCs w:val="1"/>
                <w:color w:val="auto"/>
              </w:rPr>
            </w:pPr>
          </w:p>
        </w:tc>
      </w:tr>
    </w:tbl>
    <w:p>
      <w:pPr>
        <w:sectPr>
          <w:pgSz w:w="11900" w:h="16838" w:orient="portrait"/>
          <w:cols w:equalWidth="0" w:num="1">
            <w:col w:w="9519"/>
          </w:cols>
          <w:pgMar w:left="940" w:top="1009"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89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606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98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2019-12-08T01:46:27Z</dcterms:created>
  <dcterms:modified xsi:type="dcterms:W3CDTF">2019-12-08T01:46:27Z</dcterms:modified>
</cp:coreProperties>
</file>