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80"/>
        <w:spacing w:after="0" w:line="232"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89" w:lineRule="exact"/>
        <w:rPr>
          <w:sz w:val="20"/>
          <w:szCs w:val="20"/>
          <w:color w:val="auto"/>
        </w:rPr>
      </w:pPr>
    </w:p>
    <w:p>
      <w:pPr>
        <w:sectPr>
          <w:pgSz w:w="11900" w:h="16838" w:orient="portrait"/>
          <w:cols w:equalWidth="0" w:num="2">
            <w:col w:w="720" w:space="640"/>
            <w:col w:w="9880"/>
          </w:cols>
          <w:pgMar w:left="320" w:top="1014" w:right="339" w:bottom="1440" w:gutter="0" w:footer="0" w:header="0"/>
        </w:sect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connection with the previously announced retirement of Ellen Whittemore, Executive Vice President, General Counsel and Secretary of Wynn Resorts, Limited (the “Company”), Ms. Whittemore will transition to the role of Executive Vice President of the Company, effective as of December 1, 2024. Ms. Whittemore will remain Executive Vice President of the Company until her retirement from the Company on January 31, 2025. Effective as of December 1, 2024, the Board of Directors has appointed Jacqui Krum as Executive Vice President, General Counsel and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1126490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November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2024-11-27T16:10:20Z</dcterms:created>
  <dcterms:modified xsi:type="dcterms:W3CDTF">2024-11-27T16:10:20Z</dcterms:modified>
</cp:coreProperties>
</file>