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46"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4"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2160905</wp:posOffset>
            </wp:positionH>
            <wp:positionV relativeFrom="paragraph">
              <wp:posOffset>146050</wp:posOffset>
            </wp:positionV>
            <wp:extent cx="285178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51785" cy="7620"/>
                    </a:xfrm>
                    <a:prstGeom prst="rect">
                      <a:avLst/>
                    </a:prstGeom>
                    <a:noFill/>
                  </pic:spPr>
                </pic:pic>
              </a:graphicData>
            </a:graphic>
          </wp:anchor>
        </w:drawing>
      </w:r>
    </w:p>
    <w:p>
      <w:pPr>
        <w:spacing w:after="0" w:line="320"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2160905</wp:posOffset>
            </wp:positionH>
            <wp:positionV relativeFrom="paragraph">
              <wp:posOffset>56515</wp:posOffset>
            </wp:positionV>
            <wp:extent cx="285178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51785" cy="7620"/>
                    </a:xfrm>
                    <a:prstGeom prst="rect">
                      <a:avLst/>
                    </a:prstGeom>
                    <a:noFill/>
                  </pic:spPr>
                </pic:pic>
              </a:graphicData>
            </a:graphic>
          </wp:anchor>
        </w:drawing>
      </w:r>
    </w:p>
    <w:p>
      <w:pPr>
        <w:spacing w:after="0" w:line="378"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25"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spacing w:after="0" w:line="1"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163"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June 23,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2168525</wp:posOffset>
            </wp:positionH>
            <wp:positionV relativeFrom="paragraph">
              <wp:posOffset>69215</wp:posOffset>
            </wp:positionV>
            <wp:extent cx="285178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1785" cy="7620"/>
                    </a:xfrm>
                    <a:prstGeom prst="rect">
                      <a:avLst/>
                    </a:prstGeom>
                    <a:noFill/>
                  </pic:spPr>
                </pic:pic>
              </a:graphicData>
            </a:graphic>
          </wp:anchor>
        </w:drawing>
      </w:r>
    </w:p>
    <w:p>
      <w:pPr>
        <w:spacing w:after="0" w:line="196"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37"/>
          <w:szCs w:val="37"/>
          <w:b w:val="1"/>
          <w:bCs w:val="1"/>
          <w:color w:val="auto"/>
        </w:rPr>
        <w:t>WYNN RESORTS, LIMITED</w:t>
      </w:r>
    </w:p>
    <w:p>
      <w:pPr>
        <w:spacing w:after="0" w:line="49"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247" w:lineRule="exact"/>
        <w:rPr>
          <w:sz w:val="24"/>
          <w:szCs w:val="24"/>
          <w:color w:val="auto"/>
        </w:rPr>
      </w:pPr>
    </w:p>
    <w:tbl>
      <w:tblPr>
        <w:tblLayout w:type="fixed"/>
        <w:tblInd w:w="7" w:type="dxa"/>
        <w:tblCellMar>
          <w:top w:w="0" w:type="dxa"/>
          <w:left w:w="0" w:type="dxa"/>
          <w:bottom w:w="0" w:type="dxa"/>
          <w:right w:w="0" w:type="dxa"/>
        </w:tblCellMar>
      </w:tblPr>
      <w:tr>
        <w:trPr>
          <w:trHeight w:val="194"/>
        </w:trPr>
        <w:tc>
          <w:tcPr>
            <w:tcW w:w="920" w:type="dxa"/>
            <w:vAlign w:val="bottom"/>
          </w:tcPr>
          <w:p>
            <w:pPr>
              <w:spacing w:after="0"/>
              <w:rPr>
                <w:sz w:val="16"/>
                <w:szCs w:val="16"/>
                <w:color w:val="auto"/>
              </w:rPr>
            </w:pPr>
          </w:p>
        </w:tc>
        <w:tc>
          <w:tcPr>
            <w:tcW w:w="3020" w:type="dxa"/>
            <w:vAlign w:val="bottom"/>
            <w:gridSpan w:val="3"/>
          </w:tcPr>
          <w:p>
            <w:pPr>
              <w:jc w:val="center"/>
              <w:ind w:right="1240"/>
              <w:spacing w:after="0"/>
              <w:rPr>
                <w:sz w:val="20"/>
                <w:szCs w:val="20"/>
                <w:color w:val="auto"/>
              </w:rPr>
            </w:pPr>
            <w:r>
              <w:rPr>
                <w:rFonts w:ascii="Times New Roman" w:cs="Times New Roman" w:eastAsia="Times New Roman" w:hAnsi="Times New Roman"/>
                <w:sz w:val="15"/>
                <w:szCs w:val="15"/>
                <w:b w:val="1"/>
                <w:bCs w:val="1"/>
                <w:color w:val="auto"/>
              </w:rPr>
              <w:t>Nevada</w:t>
            </w:r>
          </w:p>
        </w:tc>
        <w:tc>
          <w:tcPr>
            <w:tcW w:w="3180" w:type="dxa"/>
            <w:vAlign w:val="bottom"/>
            <w:gridSpan w:val="2"/>
          </w:tcPr>
          <w:p>
            <w:pPr>
              <w:ind w:left="1240"/>
              <w:spacing w:after="0"/>
              <w:rPr>
                <w:sz w:val="20"/>
                <w:szCs w:val="20"/>
                <w:color w:val="auto"/>
              </w:rPr>
            </w:pPr>
            <w:r>
              <w:rPr>
                <w:rFonts w:ascii="Times New Roman" w:cs="Times New Roman" w:eastAsia="Times New Roman" w:hAnsi="Times New Roman"/>
                <w:sz w:val="15"/>
                <w:szCs w:val="15"/>
                <w:b w:val="1"/>
                <w:bCs w:val="1"/>
                <w:color w:val="auto"/>
              </w:rPr>
              <w:t>000-50028</w:t>
            </w:r>
          </w:p>
        </w:tc>
        <w:tc>
          <w:tcPr>
            <w:tcW w:w="2980" w:type="dxa"/>
            <w:vAlign w:val="bottom"/>
            <w:gridSpan w:val="3"/>
          </w:tcPr>
          <w:p>
            <w:pPr>
              <w:jc w:val="right"/>
              <w:ind w:right="338"/>
              <w:spacing w:after="0"/>
              <w:rPr>
                <w:sz w:val="20"/>
                <w:szCs w:val="20"/>
                <w:color w:val="auto"/>
              </w:rPr>
            </w:pPr>
            <w:r>
              <w:rPr>
                <w:rFonts w:ascii="Times New Roman" w:cs="Times New Roman" w:eastAsia="Times New Roman" w:hAnsi="Times New Roman"/>
                <w:sz w:val="15"/>
                <w:szCs w:val="15"/>
                <w:b w:val="1"/>
                <w:bCs w:val="1"/>
                <w:color w:val="auto"/>
              </w:rPr>
              <w:t>46-0484987</w:t>
            </w:r>
          </w:p>
        </w:tc>
        <w:tc>
          <w:tcPr>
            <w:tcW w:w="1160" w:type="dxa"/>
            <w:vAlign w:val="bottom"/>
          </w:tcPr>
          <w:p>
            <w:pPr>
              <w:spacing w:after="0"/>
              <w:rPr>
                <w:sz w:val="16"/>
                <w:szCs w:val="16"/>
                <w:color w:val="auto"/>
              </w:rPr>
            </w:pPr>
          </w:p>
        </w:tc>
      </w:tr>
      <w:tr>
        <w:trPr>
          <w:trHeight w:val="127"/>
        </w:trPr>
        <w:tc>
          <w:tcPr>
            <w:tcW w:w="920" w:type="dxa"/>
            <w:vAlign w:val="bottom"/>
          </w:tcPr>
          <w:p>
            <w:pPr>
              <w:spacing w:after="0"/>
              <w:rPr>
                <w:sz w:val="11"/>
                <w:szCs w:val="11"/>
                <w:color w:val="auto"/>
              </w:rPr>
            </w:pPr>
          </w:p>
        </w:tc>
        <w:tc>
          <w:tcPr>
            <w:tcW w:w="3020" w:type="dxa"/>
            <w:vAlign w:val="bottom"/>
            <w:gridSpan w:val="3"/>
          </w:tcPr>
          <w:p>
            <w:pPr>
              <w:jc w:val="center"/>
              <w:ind w:right="1260"/>
              <w:spacing w:after="0" w:line="128" w:lineRule="exact"/>
              <w:rPr>
                <w:sz w:val="20"/>
                <w:szCs w:val="20"/>
                <w:color w:val="auto"/>
              </w:rPr>
            </w:pPr>
            <w:r>
              <w:rPr>
                <w:rFonts w:ascii="Times New Roman" w:cs="Times New Roman" w:eastAsia="Times New Roman" w:hAnsi="Times New Roman"/>
                <w:sz w:val="12"/>
                <w:szCs w:val="12"/>
                <w:b w:val="1"/>
                <w:bCs w:val="1"/>
                <w:color w:val="auto"/>
              </w:rPr>
              <w:t>(State or other jurisdiction</w:t>
            </w:r>
          </w:p>
        </w:tc>
        <w:tc>
          <w:tcPr>
            <w:tcW w:w="3180" w:type="dxa"/>
            <w:vAlign w:val="bottom"/>
            <w:gridSpan w:val="2"/>
          </w:tcPr>
          <w:p>
            <w:pPr>
              <w:ind w:left="1220"/>
              <w:spacing w:after="0" w:line="128" w:lineRule="exact"/>
              <w:rPr>
                <w:sz w:val="20"/>
                <w:szCs w:val="20"/>
                <w:color w:val="auto"/>
              </w:rPr>
            </w:pPr>
            <w:r>
              <w:rPr>
                <w:rFonts w:ascii="Times New Roman" w:cs="Times New Roman" w:eastAsia="Times New Roman" w:hAnsi="Times New Roman"/>
                <w:sz w:val="12"/>
                <w:szCs w:val="12"/>
                <w:b w:val="1"/>
                <w:bCs w:val="1"/>
                <w:color w:val="auto"/>
              </w:rPr>
              <w:t>(Commission</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380" w:type="dxa"/>
            <w:vAlign w:val="bottom"/>
            <w:gridSpan w:val="2"/>
          </w:tcPr>
          <w:p>
            <w:pPr>
              <w:jc w:val="center"/>
              <w:ind w:right="480"/>
              <w:spacing w:after="0" w:line="128"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62"/>
        </w:trPr>
        <w:tc>
          <w:tcPr>
            <w:tcW w:w="920" w:type="dxa"/>
            <w:vAlign w:val="bottom"/>
          </w:tcPr>
          <w:p>
            <w:pPr>
              <w:spacing w:after="0"/>
              <w:rPr>
                <w:sz w:val="14"/>
                <w:szCs w:val="14"/>
                <w:color w:val="auto"/>
              </w:rPr>
            </w:pPr>
          </w:p>
        </w:tc>
        <w:tc>
          <w:tcPr>
            <w:tcW w:w="3020" w:type="dxa"/>
            <w:vAlign w:val="bottom"/>
            <w:gridSpan w:val="3"/>
          </w:tcPr>
          <w:p>
            <w:pPr>
              <w:jc w:val="center"/>
              <w:ind w:right="1240"/>
              <w:spacing w:after="0"/>
              <w:rPr>
                <w:sz w:val="20"/>
                <w:szCs w:val="20"/>
                <w:color w:val="auto"/>
              </w:rPr>
            </w:pPr>
            <w:r>
              <w:rPr>
                <w:rFonts w:ascii="Times New Roman" w:cs="Times New Roman" w:eastAsia="Times New Roman" w:hAnsi="Times New Roman"/>
                <w:sz w:val="12"/>
                <w:szCs w:val="12"/>
                <w:b w:val="1"/>
                <w:bCs w:val="1"/>
                <w:color w:val="auto"/>
              </w:rPr>
              <w:t>of incorporation)</w:t>
            </w:r>
          </w:p>
        </w:tc>
        <w:tc>
          <w:tcPr>
            <w:tcW w:w="3180" w:type="dxa"/>
            <w:vAlign w:val="bottom"/>
            <w:gridSpan w:val="2"/>
          </w:tcPr>
          <w:p>
            <w:pPr>
              <w:ind w:left="1220"/>
              <w:spacing w:after="0"/>
              <w:rPr>
                <w:sz w:val="20"/>
                <w:szCs w:val="20"/>
                <w:color w:val="auto"/>
              </w:rPr>
            </w:pPr>
            <w:r>
              <w:rPr>
                <w:rFonts w:ascii="Times New Roman" w:cs="Times New Roman" w:eastAsia="Times New Roman" w:hAnsi="Times New Roman"/>
                <w:sz w:val="12"/>
                <w:szCs w:val="12"/>
                <w:b w:val="1"/>
                <w:bCs w:val="1"/>
                <w:color w:val="auto"/>
              </w:rPr>
              <w:t>File Number)</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380" w:type="dxa"/>
            <w:vAlign w:val="bottom"/>
            <w:gridSpan w:val="2"/>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rPr>
              <w:t>Identification No.)</w:t>
            </w:r>
          </w:p>
        </w:tc>
      </w:tr>
      <w:tr>
        <w:trPr>
          <w:trHeight w:val="200"/>
        </w:trPr>
        <w:tc>
          <w:tcPr>
            <w:tcW w:w="3940" w:type="dxa"/>
            <w:vAlign w:val="bottom"/>
            <w:gridSpan w:val="4"/>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3131 Las Vegas Boulevard South</w:t>
            </w:r>
          </w:p>
        </w:tc>
        <w:tc>
          <w:tcPr>
            <w:tcW w:w="12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4"/>
        </w:trPr>
        <w:tc>
          <w:tcPr>
            <w:tcW w:w="920" w:type="dxa"/>
            <w:vAlign w:val="bottom"/>
          </w:tcPr>
          <w:p>
            <w:pPr>
              <w:spacing w:after="0"/>
              <w:rPr>
                <w:sz w:val="16"/>
                <w:szCs w:val="16"/>
                <w:color w:val="auto"/>
              </w:rPr>
            </w:pPr>
          </w:p>
        </w:tc>
        <w:tc>
          <w:tcPr>
            <w:tcW w:w="3020" w:type="dxa"/>
            <w:vAlign w:val="bottom"/>
            <w:gridSpan w:val="3"/>
          </w:tcPr>
          <w:p>
            <w:pPr>
              <w:ind w:left="180"/>
              <w:spacing w:after="0"/>
              <w:rPr>
                <w:sz w:val="20"/>
                <w:szCs w:val="20"/>
                <w:color w:val="auto"/>
              </w:rPr>
            </w:pPr>
            <w:r>
              <w:rPr>
                <w:rFonts w:ascii="Times New Roman" w:cs="Times New Roman" w:eastAsia="Times New Roman" w:hAnsi="Times New Roman"/>
                <w:sz w:val="15"/>
                <w:szCs w:val="15"/>
                <w:b w:val="1"/>
                <w:bCs w:val="1"/>
                <w:color w:val="auto"/>
              </w:rPr>
              <w:t>Las Vegas, Nevada</w:t>
            </w:r>
          </w:p>
        </w:tc>
        <w:tc>
          <w:tcPr>
            <w:tcW w:w="12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980" w:type="dxa"/>
            <w:vAlign w:val="bottom"/>
            <w:gridSpan w:val="3"/>
          </w:tcPr>
          <w:p>
            <w:pPr>
              <w:jc w:val="right"/>
              <w:ind w:right="518"/>
              <w:spacing w:after="0"/>
              <w:rPr>
                <w:sz w:val="20"/>
                <w:szCs w:val="20"/>
                <w:color w:val="auto"/>
              </w:rPr>
            </w:pPr>
            <w:r>
              <w:rPr>
                <w:rFonts w:ascii="Times New Roman" w:cs="Times New Roman" w:eastAsia="Times New Roman" w:hAnsi="Times New Roman"/>
                <w:sz w:val="15"/>
                <w:szCs w:val="15"/>
                <w:b w:val="1"/>
                <w:bCs w:val="1"/>
                <w:color w:val="auto"/>
              </w:rPr>
              <w:t>89109</w:t>
            </w:r>
          </w:p>
        </w:tc>
        <w:tc>
          <w:tcPr>
            <w:tcW w:w="1160" w:type="dxa"/>
            <w:vAlign w:val="bottom"/>
          </w:tcPr>
          <w:p>
            <w:pPr>
              <w:spacing w:after="0"/>
              <w:rPr>
                <w:sz w:val="16"/>
                <w:szCs w:val="16"/>
                <w:color w:val="auto"/>
              </w:rPr>
            </w:pPr>
          </w:p>
        </w:tc>
      </w:tr>
      <w:tr>
        <w:trPr>
          <w:trHeight w:val="162"/>
        </w:trPr>
        <w:tc>
          <w:tcPr>
            <w:tcW w:w="3940" w:type="dxa"/>
            <w:vAlign w:val="bottom"/>
            <w:gridSpan w:val="4"/>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tc>
        <w:tc>
          <w:tcPr>
            <w:tcW w:w="1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380" w:type="dxa"/>
            <w:vAlign w:val="bottom"/>
            <w:gridSpan w:val="2"/>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rPr>
              <w:t>(Zip Code)</w:t>
            </w:r>
          </w:p>
        </w:tc>
      </w:tr>
      <w:tr>
        <w:trPr>
          <w:trHeight w:val="590"/>
        </w:trPr>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180" w:type="dxa"/>
            <w:vAlign w:val="bottom"/>
            <w:gridSpan w:val="2"/>
          </w:tcPr>
          <w:p>
            <w:pPr>
              <w:jc w:val="center"/>
              <w:ind w:left="110"/>
              <w:spacing w:after="0"/>
              <w:rPr>
                <w:sz w:val="20"/>
                <w:szCs w:val="20"/>
                <w:color w:val="auto"/>
              </w:rPr>
            </w:pPr>
            <w:r>
              <w:rPr>
                <w:rFonts w:ascii="Times New Roman" w:cs="Times New Roman" w:eastAsia="Times New Roman" w:hAnsi="Times New Roman"/>
                <w:sz w:val="15"/>
                <w:szCs w:val="15"/>
                <w:b w:val="1"/>
                <w:bCs w:val="1"/>
                <w:color w:val="auto"/>
              </w:rPr>
              <w:t>(702) 770-7555</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2"/>
        </w:trPr>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180" w:type="dxa"/>
            <w:vAlign w:val="bottom"/>
            <w:gridSpan w:val="2"/>
          </w:tcPr>
          <w:p>
            <w:pPr>
              <w:jc w:val="center"/>
              <w:ind w:left="130"/>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59"/>
        </w:trPr>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180" w:type="dxa"/>
            <w:vAlign w:val="bottom"/>
            <w:gridSpan w:val="2"/>
          </w:tcPr>
          <w:p>
            <w:pPr>
              <w:jc w:val="center"/>
              <w:ind w:left="110"/>
              <w:spacing w:after="0"/>
              <w:rPr>
                <w:sz w:val="20"/>
                <w:szCs w:val="20"/>
                <w:color w:val="auto"/>
              </w:rPr>
            </w:pPr>
            <w:r>
              <w:rPr>
                <w:rFonts w:ascii="Times New Roman" w:cs="Times New Roman" w:eastAsia="Times New Roman" w:hAnsi="Times New Roman"/>
                <w:sz w:val="15"/>
                <w:szCs w:val="15"/>
                <w:b w:val="1"/>
                <w:bCs w:val="1"/>
                <w:color w:val="auto"/>
              </w:rPr>
              <w:t>Not Applicable</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2"/>
        </w:trPr>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320" w:type="dxa"/>
            <w:vAlign w:val="bottom"/>
            <w:gridSpan w:val="6"/>
          </w:tcPr>
          <w:p>
            <w:pPr>
              <w:jc w:val="center"/>
              <w:ind w:right="3940"/>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tc>
      </w:tr>
      <w:tr>
        <w:trPr>
          <w:trHeight w:val="242"/>
        </w:trPr>
        <w:tc>
          <w:tcPr>
            <w:tcW w:w="9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2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489"/>
        </w:trPr>
        <w:tc>
          <w:tcPr>
            <w:tcW w:w="394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tc>
        <w:tc>
          <w:tcPr>
            <w:tcW w:w="1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6"/>
        </w:trPr>
        <w:tc>
          <w:tcPr>
            <w:tcW w:w="920" w:type="dxa"/>
            <w:vAlign w:val="bottom"/>
          </w:tcPr>
          <w:p>
            <w:pPr>
              <w:spacing w:after="0"/>
              <w:rPr>
                <w:sz w:val="16"/>
                <w:szCs w:val="16"/>
                <w:color w:val="auto"/>
              </w:rPr>
            </w:pPr>
          </w:p>
        </w:tc>
        <w:tc>
          <w:tcPr>
            <w:tcW w:w="3020" w:type="dxa"/>
            <w:vAlign w:val="bottom"/>
            <w:gridSpan w:val="3"/>
          </w:tcPr>
          <w:p>
            <w:pPr>
              <w:jc w:val="center"/>
              <w:ind w:right="1860"/>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3180" w:type="dxa"/>
            <w:vAlign w:val="bottom"/>
            <w:gridSpan w:val="2"/>
          </w:tcPr>
          <w:p>
            <w:pPr>
              <w:jc w:val="center"/>
              <w:ind w:right="1940"/>
              <w:spacing w:after="0"/>
              <w:rPr>
                <w:sz w:val="20"/>
                <w:szCs w:val="20"/>
                <w:color w:val="auto"/>
              </w:rPr>
            </w:pPr>
            <w:r>
              <w:rPr>
                <w:rFonts w:ascii="Times New Roman" w:cs="Times New Roman" w:eastAsia="Times New Roman" w:hAnsi="Times New Roman"/>
                <w:sz w:val="15"/>
                <w:szCs w:val="15"/>
                <w:b w:val="1"/>
                <w:bCs w:val="1"/>
                <w:color w:val="auto"/>
              </w:rPr>
              <w:t>Trading Symbol(s)</w:t>
            </w:r>
          </w:p>
        </w:tc>
        <w:tc>
          <w:tcPr>
            <w:tcW w:w="4140" w:type="dxa"/>
            <w:vAlign w:val="bottom"/>
            <w:gridSpan w:val="4"/>
          </w:tcPr>
          <w:p>
            <w:pPr>
              <w:jc w:val="center"/>
              <w:ind w:right="1040"/>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20"/>
        </w:trPr>
        <w:tc>
          <w:tcPr>
            <w:tcW w:w="9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gridSpan w:val="2"/>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1"/>
        </w:trPr>
        <w:tc>
          <w:tcPr>
            <w:tcW w:w="3940" w:type="dxa"/>
            <w:vAlign w:val="bottom"/>
            <w:gridSpan w:val="4"/>
          </w:tcPr>
          <w:p>
            <w:pPr>
              <w:jc w:val="center"/>
              <w:ind w:right="940"/>
              <w:spacing w:after="0"/>
              <w:rPr>
                <w:sz w:val="20"/>
                <w:szCs w:val="20"/>
                <w:color w:val="auto"/>
              </w:rPr>
            </w:pPr>
            <w:r>
              <w:rPr>
                <w:rFonts w:ascii="Times New Roman" w:cs="Times New Roman" w:eastAsia="Times New Roman" w:hAnsi="Times New Roman"/>
                <w:sz w:val="15"/>
                <w:szCs w:val="15"/>
                <w:color w:val="auto"/>
              </w:rPr>
              <w:t>Common stock, par value $0.01</w:t>
            </w:r>
          </w:p>
        </w:tc>
        <w:tc>
          <w:tcPr>
            <w:tcW w:w="3180" w:type="dxa"/>
            <w:vAlign w:val="bottom"/>
            <w:gridSpan w:val="2"/>
          </w:tcPr>
          <w:p>
            <w:pPr>
              <w:jc w:val="center"/>
              <w:ind w:right="1940"/>
              <w:spacing w:after="0"/>
              <w:rPr>
                <w:sz w:val="20"/>
                <w:szCs w:val="20"/>
                <w:color w:val="auto"/>
              </w:rPr>
            </w:pPr>
            <w:r>
              <w:rPr>
                <w:rFonts w:ascii="Times New Roman" w:cs="Times New Roman" w:eastAsia="Times New Roman" w:hAnsi="Times New Roman"/>
                <w:sz w:val="15"/>
                <w:szCs w:val="15"/>
                <w:color w:val="auto"/>
              </w:rPr>
              <w:t>WYNN</w:t>
            </w:r>
          </w:p>
        </w:tc>
        <w:tc>
          <w:tcPr>
            <w:tcW w:w="120" w:type="dxa"/>
            <w:vAlign w:val="bottom"/>
          </w:tcPr>
          <w:p>
            <w:pPr>
              <w:spacing w:after="0"/>
              <w:rPr>
                <w:sz w:val="18"/>
                <w:szCs w:val="18"/>
                <w:color w:val="auto"/>
              </w:rPr>
            </w:pPr>
          </w:p>
        </w:tc>
        <w:tc>
          <w:tcPr>
            <w:tcW w:w="4020" w:type="dxa"/>
            <w:vAlign w:val="bottom"/>
            <w:gridSpan w:val="3"/>
          </w:tcPr>
          <w:p>
            <w:pPr>
              <w:jc w:val="center"/>
              <w:ind w:right="1160"/>
              <w:spacing w:after="0"/>
              <w:rPr>
                <w:sz w:val="20"/>
                <w:szCs w:val="20"/>
                <w:color w:val="auto"/>
              </w:rPr>
            </w:pPr>
            <w:r>
              <w:rPr>
                <w:rFonts w:ascii="Times New Roman" w:cs="Times New Roman" w:eastAsia="Times New Roman" w:hAnsi="Times New Roman"/>
                <w:sz w:val="15"/>
                <w:szCs w:val="15"/>
                <w:color w:val="auto"/>
              </w:rPr>
              <w:t>Nasdaq Global Select Market</w:t>
            </w:r>
          </w:p>
        </w:tc>
      </w:tr>
      <w:tr>
        <w:trPr>
          <w:trHeight w:val="177"/>
        </w:trPr>
        <w:tc>
          <w:tcPr>
            <w:tcW w:w="9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r>
    </w:tbl>
    <w:p>
      <w:pPr>
        <w:spacing w:after="0" w:line="286" w:lineRule="exact"/>
        <w:rPr>
          <w:sz w:val="24"/>
          <w:szCs w:val="24"/>
          <w:color w:val="auto"/>
        </w:rPr>
      </w:pPr>
    </w:p>
    <w:p>
      <w:pPr>
        <w:ind w:left="7"/>
        <w:spacing w:after="0"/>
        <w:rPr>
          <w:sz w:val="20"/>
          <w:szCs w:val="20"/>
          <w:color w:val="auto"/>
        </w:rPr>
      </w:pPr>
      <w:r>
        <w:rPr>
          <w:rFonts w:ascii="Times New Roman" w:cs="Times New Roman" w:eastAsia="Times New Roman" w:hAnsi="Times New Roman"/>
          <w:sz w:val="15"/>
          <w:szCs w:val="15"/>
          <w:color w:val="auto"/>
        </w:rPr>
        <w:t>Check the appropriate box below if the Form 8-K filing is intended to simultaneously satisfy the filing obligation of the registrant under any of the following provisions:</w:t>
      </w:r>
    </w:p>
    <w:p>
      <w:pPr>
        <w:spacing w:after="0" w:line="27" w:lineRule="exact"/>
        <w:rPr>
          <w:sz w:val="24"/>
          <w:szCs w:val="24"/>
          <w:color w:val="auto"/>
        </w:rPr>
      </w:pPr>
    </w:p>
    <w:p>
      <w:pPr>
        <w:ind w:left="307" w:hanging="307"/>
        <w:spacing w:after="0"/>
        <w:tabs>
          <w:tab w:leader="none" w:pos="307"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Written communications pursuant to Rule 425 under the Securities Act (17 CFR 230.425)</w:t>
      </w:r>
    </w:p>
    <w:p>
      <w:pPr>
        <w:spacing w:after="0" w:line="26" w:lineRule="exact"/>
        <w:rPr>
          <w:rFonts w:ascii="MS PGothic" w:cs="MS PGothic" w:eastAsia="MS PGothic" w:hAnsi="MS PGothic"/>
          <w:sz w:val="15"/>
          <w:szCs w:val="15"/>
          <w:color w:val="auto"/>
        </w:rPr>
      </w:pPr>
    </w:p>
    <w:p>
      <w:pPr>
        <w:ind w:left="307" w:hanging="307"/>
        <w:spacing w:after="0"/>
        <w:tabs>
          <w:tab w:leader="none" w:pos="307"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Soliciting material pursuant to Rule 14a-12 under the Exchange Act (17 CFR 240.14a-12)</w:t>
      </w:r>
    </w:p>
    <w:p>
      <w:pPr>
        <w:spacing w:after="0" w:line="24" w:lineRule="exact"/>
        <w:rPr>
          <w:rFonts w:ascii="MS PGothic" w:cs="MS PGothic" w:eastAsia="MS PGothic" w:hAnsi="MS PGothic"/>
          <w:sz w:val="15"/>
          <w:szCs w:val="15"/>
          <w:color w:val="auto"/>
        </w:rPr>
      </w:pPr>
    </w:p>
    <w:p>
      <w:pPr>
        <w:ind w:left="307" w:hanging="307"/>
        <w:spacing w:after="0"/>
        <w:tabs>
          <w:tab w:leader="none" w:pos="307"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14d-2(b) under the Exchange Act (17 CFR 240.14d-2(b))</w:t>
      </w:r>
    </w:p>
    <w:p>
      <w:pPr>
        <w:spacing w:after="0" w:line="24" w:lineRule="exact"/>
        <w:rPr>
          <w:rFonts w:ascii="MS PGothic" w:cs="MS PGothic" w:eastAsia="MS PGothic" w:hAnsi="MS PGothic"/>
          <w:sz w:val="15"/>
          <w:szCs w:val="15"/>
          <w:color w:val="auto"/>
        </w:rPr>
      </w:pPr>
    </w:p>
    <w:p>
      <w:pPr>
        <w:ind w:left="307" w:hanging="307"/>
        <w:spacing w:after="0"/>
        <w:tabs>
          <w:tab w:leader="none" w:pos="307"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13e-4(c) under the Exchange Act (17 CFR 240.13e-4(c))</w:t>
      </w:r>
    </w:p>
    <w:p>
      <w:pPr>
        <w:spacing w:after="0" w:line="13" w:lineRule="exact"/>
        <w:rPr>
          <w:sz w:val="24"/>
          <w:szCs w:val="24"/>
          <w:color w:val="auto"/>
        </w:rPr>
      </w:pPr>
    </w:p>
    <w:p>
      <w:pPr>
        <w:ind w:left="7" w:right="20"/>
        <w:spacing w:after="0" w:line="256" w:lineRule="auto"/>
        <w:rPr>
          <w:sz w:val="20"/>
          <w:szCs w:val="20"/>
          <w:color w:val="auto"/>
        </w:rPr>
      </w:pPr>
      <w:r>
        <w:rPr>
          <w:rFonts w:ascii="Times New Roman" w:cs="Times New Roman" w:eastAsia="Times New Roman" w:hAnsi="Times New Roman"/>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7"/>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38" w:lineRule="exact"/>
        <w:rPr>
          <w:sz w:val="24"/>
          <w:szCs w:val="24"/>
          <w:color w:val="auto"/>
        </w:rPr>
      </w:pPr>
    </w:p>
    <w:p>
      <w:pPr>
        <w:ind w:left="7"/>
        <w:spacing w:after="0" w:line="192"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588010</wp:posOffset>
            </wp:positionV>
            <wp:extent cx="7177405"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921" w:right="319" w:bottom="1440" w:gutter="0" w:footer="0" w:header="0"/>
        </w:sectPr>
      </w:pPr>
    </w:p>
    <w:bookmarkStart w:id="1" w:name="page2"/>
    <w:bookmarkEnd w:id="1"/>
    <w:p>
      <w:pPr>
        <w:spacing w:after="0"/>
        <w:tabs>
          <w:tab w:leader="none" w:pos="1320" w:val="left"/>
        </w:tabs>
        <w:rPr>
          <w:sz w:val="20"/>
          <w:szCs w:val="20"/>
          <w:color w:val="auto"/>
        </w:rPr>
      </w:pPr>
      <w:r>
        <w:rPr>
          <w:rFonts w:ascii="Times New Roman" w:cs="Times New Roman" w:eastAsia="Times New Roman" w:hAnsi="Times New Roman"/>
          <w:sz w:val="15"/>
          <w:szCs w:val="15"/>
          <w:b w:val="1"/>
          <w:bCs w:val="1"/>
          <w:color w:val="auto"/>
        </w:rPr>
        <w:t>Item 1.01</w:t>
      </w:r>
      <w:r>
        <w:rPr>
          <w:sz w:val="20"/>
          <w:szCs w:val="20"/>
          <w:color w:val="auto"/>
        </w:rPr>
        <w:tab/>
      </w:r>
      <w:r>
        <w:rPr>
          <w:rFonts w:ascii="Times New Roman" w:cs="Times New Roman" w:eastAsia="Times New Roman" w:hAnsi="Times New Roman"/>
          <w:sz w:val="15"/>
          <w:szCs w:val="15"/>
          <w:b w:val="1"/>
          <w:bCs w:val="1"/>
          <w:color w:val="auto"/>
        </w:rPr>
        <w:t>Entry into a Material Definitive Agreement.</w:t>
      </w:r>
    </w:p>
    <w:p>
      <w:pPr>
        <w:spacing w:after="0" w:line="306" w:lineRule="exact"/>
        <w:rPr>
          <w:sz w:val="20"/>
          <w:szCs w:val="20"/>
          <w:color w:val="auto"/>
        </w:rPr>
      </w:pPr>
    </w:p>
    <w:p>
      <w:pPr>
        <w:jc w:val="both"/>
        <w:ind w:right="20" w:firstLine="347"/>
        <w:spacing w:after="0" w:line="295" w:lineRule="auto"/>
        <w:rPr>
          <w:sz w:val="20"/>
          <w:szCs w:val="20"/>
          <w:color w:val="auto"/>
        </w:rPr>
      </w:pPr>
      <w:r>
        <w:rPr>
          <w:rFonts w:ascii="Times New Roman" w:cs="Times New Roman" w:eastAsia="Times New Roman" w:hAnsi="Times New Roman"/>
          <w:sz w:val="15"/>
          <w:szCs w:val="15"/>
          <w:color w:val="auto"/>
        </w:rPr>
        <w:t>On June 23, 2022 (Hong Kong time), a Concession Extension Agreement was entered into between the Macau Government and Wynn Resorts (Macau) S.A. ("WRM"), an indirect subsidiary of Wynn Resorts, Limited, pursuant to which the gaming concession of WRM has been extended from June 26, 2022 to December 31, 2022.</w:t>
      </w:r>
    </w:p>
    <w:p>
      <w:pPr>
        <w:spacing w:after="0" w:line="155" w:lineRule="exact"/>
        <w:rPr>
          <w:sz w:val="20"/>
          <w:szCs w:val="20"/>
          <w:color w:val="auto"/>
        </w:rPr>
      </w:pPr>
    </w:p>
    <w:p>
      <w:pPr>
        <w:jc w:val="both"/>
        <w:ind w:firstLine="347"/>
        <w:spacing w:after="0" w:line="267" w:lineRule="auto"/>
        <w:rPr>
          <w:sz w:val="20"/>
          <w:szCs w:val="20"/>
          <w:color w:val="auto"/>
        </w:rPr>
      </w:pPr>
      <w:r>
        <w:rPr>
          <w:rFonts w:ascii="Times New Roman" w:cs="Times New Roman" w:eastAsia="Times New Roman" w:hAnsi="Times New Roman"/>
          <w:sz w:val="15"/>
          <w:szCs w:val="15"/>
          <w:color w:val="auto"/>
        </w:rPr>
        <w:t>WRM shall pay the Macau government MOP47.0 million (equivalent to approximately $6 million) upon signing of the Concession Extension Agreement as a contract premium for the extension. WRM shall provide a first demand bank guarantee of not less than MOP1,210.0 million (equivalent to approximately $150 million) in favor of the Macau government for securing the fulfillment of its labor liabilities upon the expiration of the Concession Extension Agreement. The Macau government may require an increase to the amount of the said guarantee, depending on the actual number of employees employed by WRM. WRM will arrange for the issue of the said bank guarantee by an independent bank in Macau as soon as practicable and shall submit the same to the Macau government within three months from the date of the Concession Extension Agreement.</w:t>
      </w:r>
    </w:p>
    <w:p>
      <w:pPr>
        <w:spacing w:after="0" w:line="175" w:lineRule="exact"/>
        <w:rPr>
          <w:sz w:val="20"/>
          <w:szCs w:val="20"/>
          <w:color w:val="auto"/>
        </w:rPr>
      </w:pPr>
    </w:p>
    <w:p>
      <w:pPr>
        <w:jc w:val="both"/>
        <w:ind w:right="20" w:firstLine="347"/>
        <w:spacing w:after="0" w:line="295" w:lineRule="auto"/>
        <w:rPr>
          <w:sz w:val="20"/>
          <w:szCs w:val="20"/>
          <w:color w:val="auto"/>
        </w:rPr>
      </w:pPr>
      <w:r>
        <w:rPr>
          <w:rFonts w:ascii="Times New Roman" w:cs="Times New Roman" w:eastAsia="Times New Roman" w:hAnsi="Times New Roman"/>
          <w:sz w:val="15"/>
          <w:szCs w:val="15"/>
          <w:color w:val="auto"/>
        </w:rPr>
        <w:t>At the same time, with the approval of the Macau government, WRM has executed the Melco Sub-Concession Extension Agreement with Melco Resorts (Macau), S.A. to extend its gaming sub-concession up to December 31, 2022.</w:t>
      </w:r>
    </w:p>
    <w:p>
      <w:pPr>
        <w:spacing w:after="0" w:line="155" w:lineRule="exact"/>
        <w:rPr>
          <w:sz w:val="20"/>
          <w:szCs w:val="20"/>
          <w:color w:val="auto"/>
        </w:rPr>
      </w:pPr>
    </w:p>
    <w:p>
      <w:pPr>
        <w:jc w:val="both"/>
        <w:ind w:right="20" w:firstLine="347"/>
        <w:spacing w:after="0" w:line="295" w:lineRule="auto"/>
        <w:rPr>
          <w:sz w:val="20"/>
          <w:szCs w:val="20"/>
          <w:color w:val="auto"/>
        </w:rPr>
      </w:pPr>
      <w:r>
        <w:rPr>
          <w:rFonts w:ascii="Times New Roman" w:cs="Times New Roman" w:eastAsia="Times New Roman" w:hAnsi="Times New Roman"/>
          <w:sz w:val="15"/>
          <w:szCs w:val="15"/>
          <w:color w:val="auto"/>
        </w:rPr>
        <w:t>The foregoing summary of the Concession Extension Agreement is not complete and is qualified in its entirety by reference to the full and complete text of the Concession Extension Contract, a copy of which will be filed as an exhibit to the Company’s Quarterly Report on Form 10-Q for the period ending June 30, 2022 to be filed with the SEC.</w:t>
      </w:r>
    </w:p>
    <w:p>
      <w:pPr>
        <w:spacing w:after="0" w:line="185"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5"/>
          <w:szCs w:val="15"/>
          <w:b w:val="1"/>
          <w:bCs w:val="1"/>
          <w:color w:val="auto"/>
        </w:rPr>
        <w:t>Item 7.01</w:t>
      </w:r>
      <w:r>
        <w:rPr>
          <w:sz w:val="20"/>
          <w:szCs w:val="20"/>
          <w:color w:val="auto"/>
        </w:rPr>
        <w:tab/>
      </w:r>
      <w:r>
        <w:rPr>
          <w:rFonts w:ascii="Times New Roman" w:cs="Times New Roman" w:eastAsia="Times New Roman" w:hAnsi="Times New Roman"/>
          <w:sz w:val="15"/>
          <w:szCs w:val="15"/>
          <w:b w:val="1"/>
          <w:bCs w:val="1"/>
          <w:color w:val="auto"/>
        </w:rPr>
        <w:t>Regulation FD Disclosure.</w:t>
      </w:r>
    </w:p>
    <w:p>
      <w:pPr>
        <w:spacing w:after="0" w:line="295" w:lineRule="exact"/>
        <w:rPr>
          <w:sz w:val="20"/>
          <w:szCs w:val="20"/>
          <w:color w:val="auto"/>
        </w:rPr>
      </w:pPr>
    </w:p>
    <w:p>
      <w:pPr>
        <w:jc w:val="both"/>
        <w:ind w:firstLine="347"/>
        <w:spacing w:after="0" w:line="270" w:lineRule="auto"/>
        <w:rPr>
          <w:sz w:val="20"/>
          <w:szCs w:val="20"/>
          <w:color w:val="auto"/>
        </w:rPr>
      </w:pPr>
      <w:r>
        <w:rPr>
          <w:rFonts w:ascii="Times New Roman" w:cs="Times New Roman" w:eastAsia="Times New Roman" w:hAnsi="Times New Roman"/>
          <w:sz w:val="15"/>
          <w:szCs w:val="15"/>
          <w:color w:val="auto"/>
        </w:rPr>
        <w:t>On June 23, 2022 (Hong Kong time), Wynn Macau, Limited ("WML"), an indirect subsidiary of Wynn Resorts, Limited with its ordinary shares of common stock listed on The Stock Exchange of Hong Kong Limited (the "HKSE"), filed with the HKSE an announcement (the "Announcement") that on June 23, 2022, the Macau government and WRM, an indirect subsidiary of WML, entered into a Concession Extension Agreement, pursuant to which the gaming concession of WRM was extended to December 31, 2022. The Announcement is furnished herewith as Exhibit 99.1.</w:t>
      </w:r>
    </w:p>
    <w:p>
      <w:pPr>
        <w:spacing w:after="0" w:line="173" w:lineRule="exact"/>
        <w:rPr>
          <w:sz w:val="20"/>
          <w:szCs w:val="20"/>
          <w:color w:val="auto"/>
        </w:rPr>
      </w:pPr>
    </w:p>
    <w:p>
      <w:pPr>
        <w:jc w:val="both"/>
        <w:ind w:firstLine="347"/>
        <w:spacing w:after="0" w:line="276" w:lineRule="auto"/>
        <w:rPr>
          <w:sz w:val="20"/>
          <w:szCs w:val="20"/>
          <w:color w:val="auto"/>
        </w:rPr>
      </w:pPr>
      <w:r>
        <w:rPr>
          <w:rFonts w:ascii="Times New Roman" w:cs="Times New Roman" w:eastAsia="Times New Roman" w:hAnsi="Times New Roman"/>
          <w:sz w:val="15"/>
          <w:szCs w:val="15"/>
          <w:color w:val="auto"/>
        </w:rPr>
        <w:t>The information furnished pursuant to this Item 7.01 (including Exhibit 99.1)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3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Item 9.01</w:t>
            </w:r>
          </w:p>
        </w:tc>
        <w:tc>
          <w:tcPr>
            <w:tcW w:w="992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Financial Statements and Exhibits.</w:t>
            </w:r>
          </w:p>
        </w:tc>
      </w:tr>
      <w:tr>
        <w:trPr>
          <w:trHeight w:val="382"/>
        </w:trPr>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(d) Exhibits.</w:t>
            </w:r>
          </w:p>
        </w:tc>
        <w:tc>
          <w:tcPr>
            <w:tcW w:w="6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6060" w:type="dxa"/>
            <w:vAlign w:val="bottom"/>
          </w:tcPr>
          <w:p>
            <w:pPr>
              <w:spacing w:after="0"/>
              <w:rPr>
                <w:sz w:val="24"/>
                <w:szCs w:val="24"/>
                <w:color w:val="auto"/>
              </w:rPr>
            </w:pPr>
          </w:p>
        </w:tc>
      </w:tr>
      <w:tr>
        <w:trPr>
          <w:trHeight w:val="151"/>
        </w:trPr>
        <w:tc>
          <w:tcPr>
            <w:tcW w:w="6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720" w:type="dxa"/>
            <w:vAlign w:val="bottom"/>
          </w:tcPr>
          <w:p>
            <w:pPr>
              <w:spacing w:after="0"/>
              <w:rPr>
                <w:sz w:val="13"/>
                <w:szCs w:val="13"/>
                <w:color w:val="auto"/>
              </w:rPr>
            </w:pPr>
          </w:p>
        </w:tc>
        <w:tc>
          <w:tcPr>
            <w:tcW w:w="99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20"/>
        </w:trPr>
        <w:tc>
          <w:tcPr>
            <w:tcW w:w="6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35"/>
        </w:trPr>
        <w:tc>
          <w:tcPr>
            <w:tcW w:w="620" w:type="dxa"/>
            <w:vAlign w:val="bottom"/>
          </w:tcPr>
          <w:p>
            <w:pPr>
              <w:spacing w:after="0"/>
              <w:rPr>
                <w:sz w:val="20"/>
                <w:szCs w:val="20"/>
                <w:color w:val="auto"/>
              </w:rPr>
            </w:pPr>
            <w:r>
              <w:rPr>
                <w:rFonts w:ascii="Times New Roman" w:cs="Times New Roman" w:eastAsia="Times New Roman" w:hAnsi="Times New Roman"/>
                <w:sz w:val="15"/>
                <w:szCs w:val="15"/>
                <w:color w:val="auto"/>
              </w:rPr>
              <w:t>99.1</w:t>
            </w:r>
          </w:p>
        </w:tc>
        <w:tc>
          <w:tcPr>
            <w:tcW w:w="720" w:type="dxa"/>
            <w:vAlign w:val="bottom"/>
          </w:tcPr>
          <w:p>
            <w:pPr>
              <w:spacing w:after="0"/>
              <w:rPr>
                <w:sz w:val="20"/>
                <w:szCs w:val="20"/>
                <w:color w:val="auto"/>
              </w:rPr>
            </w:pPr>
          </w:p>
        </w:tc>
        <w:tc>
          <w:tcPr>
            <w:tcW w:w="38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5"/>
                <w:szCs w:val="15"/>
                <w:color w:val="0000FF"/>
              </w:rPr>
              <w:t>Announcement of Wynn Macau, Limited, dated June 23, 2022</w:t>
            </w:r>
          </w:p>
        </w:tc>
        <w:tc>
          <w:tcPr>
            <w:tcW w:w="6060" w:type="dxa"/>
            <w:vAlign w:val="bottom"/>
          </w:tcPr>
          <w:p>
            <w:pPr>
              <w:spacing w:after="0"/>
              <w:rPr>
                <w:sz w:val="20"/>
                <w:szCs w:val="20"/>
                <w:color w:val="auto"/>
              </w:rPr>
            </w:pPr>
          </w:p>
        </w:tc>
      </w:tr>
      <w:tr>
        <w:trPr>
          <w:trHeight w:val="211"/>
        </w:trPr>
        <w:tc>
          <w:tcPr>
            <w:tcW w:w="620" w:type="dxa"/>
            <w:vAlign w:val="bottom"/>
          </w:tcPr>
          <w:p>
            <w:pPr>
              <w:spacing w:after="0"/>
              <w:rPr>
                <w:sz w:val="20"/>
                <w:szCs w:val="20"/>
                <w:color w:val="auto"/>
              </w:rPr>
            </w:pPr>
            <w:r>
              <w:rPr>
                <w:rFonts w:ascii="Times New Roman" w:cs="Times New Roman" w:eastAsia="Times New Roman" w:hAnsi="Times New Roman"/>
                <w:sz w:val="15"/>
                <w:szCs w:val="15"/>
                <w:color w:val="auto"/>
              </w:rPr>
              <w:t>104</w:t>
            </w:r>
          </w:p>
        </w:tc>
        <w:tc>
          <w:tcPr>
            <w:tcW w:w="720" w:type="dxa"/>
            <w:vAlign w:val="bottom"/>
          </w:tcPr>
          <w:p>
            <w:pPr>
              <w:spacing w:after="0"/>
              <w:rPr>
                <w:sz w:val="18"/>
                <w:szCs w:val="18"/>
                <w:color w:val="auto"/>
              </w:rPr>
            </w:pPr>
          </w:p>
        </w:tc>
        <w:tc>
          <w:tcPr>
            <w:tcW w:w="99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Cover Page Interactive Data File - the cover page XBRL tags are embedded within the Inline XBRL document</w:t>
            </w:r>
          </w:p>
        </w:tc>
      </w:tr>
      <w:tr>
        <w:trPr>
          <w:trHeight w:val="1242"/>
        </w:trPr>
        <w:tc>
          <w:tcPr>
            <w:tcW w:w="6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6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815"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202" w:lineRule="exact"/>
        <w:rPr>
          <w:sz w:val="20"/>
          <w:szCs w:val="20"/>
          <w:color w:val="auto"/>
        </w:rPr>
      </w:pPr>
    </w:p>
    <w:p>
      <w:pPr>
        <w:ind w:firstLine="382"/>
        <w:spacing w:after="0" w:line="295"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5"/>
          <w:szCs w:val="15"/>
          <w:b w:val="1"/>
          <w:bCs w:val="1"/>
          <w:color w:val="auto"/>
        </w:rPr>
        <w:t>WYNN RESORTS, LIMITED</w:t>
      </w:r>
    </w:p>
    <w:p>
      <w:pPr>
        <w:sectPr>
          <w:pgSz w:w="11900" w:h="16838" w:orient="portrait"/>
          <w:cols w:equalWidth="0" w:num="1">
            <w:col w:w="11260"/>
          </w:cols>
          <w:pgMar w:left="320" w:top="781" w:right="319" w:bottom="1440" w:gutter="0" w:footer="0" w:header="0"/>
        </w:sectPr>
      </w:pP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color w:val="auto"/>
        </w:rPr>
        <w:t>Dated: June 24, 2022</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color w:val="auto"/>
        </w:rPr>
        <w:t>/s/ Julie Cameron-Doe</w:t>
      </w:r>
    </w:p>
    <w:p>
      <w:pPr>
        <w:spacing w:after="0" w:line="27" w:lineRule="exact"/>
        <w:rPr>
          <w:sz w:val="20"/>
          <w:szCs w:val="20"/>
          <w:color w:val="auto"/>
        </w:rPr>
      </w:pPr>
    </w:p>
    <w:p>
      <w:pPr>
        <w:sectPr>
          <w:pgSz w:w="11900" w:h="16838" w:orient="portrait"/>
          <w:cols w:equalWidth="0" w:num="2">
            <w:col w:w="6120" w:space="720"/>
            <w:col w:w="4420"/>
          </w:cols>
          <w:pgMar w:left="320" w:top="781" w:right="319" w:bottom="1440" w:gutter="0" w:footer="0" w:header="0"/>
          <w:type w:val="continuous"/>
        </w:sectPr>
      </w:pPr>
    </w:p>
    <w:p>
      <w:pPr>
        <w:ind w:left="6960"/>
        <w:spacing w:after="0"/>
        <w:rPr>
          <w:sz w:val="20"/>
          <w:szCs w:val="20"/>
          <w:color w:val="auto"/>
        </w:rPr>
      </w:pPr>
      <w:r>
        <w:rPr>
          <w:rFonts w:ascii="Times New Roman" w:cs="Times New Roman" w:eastAsia="Times New Roman" w:hAnsi="Times New Roman"/>
          <w:sz w:val="15"/>
          <w:szCs w:val="15"/>
          <w:color w:val="auto"/>
        </w:rPr>
        <w:t>Julie Cameron-Doe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4736465</wp:posOffset>
            </wp:positionH>
            <wp:positionV relativeFrom="paragraph">
              <wp:posOffset>-108585</wp:posOffset>
            </wp:positionV>
            <wp:extent cx="246443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64435" cy="7620"/>
                    </a:xfrm>
                    <a:prstGeom prst="rect">
                      <a:avLst/>
                    </a:prstGeom>
                    <a:noFill/>
                  </pic:spPr>
                </pic:pic>
              </a:graphicData>
            </a:graphic>
          </wp:anchor>
        </w:drawing>
      </w:r>
    </w:p>
    <w:p>
      <w:pPr>
        <w:spacing w:after="0" w:line="4"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5"/>
          <w:szCs w:val="15"/>
          <w:color w:val="auto"/>
        </w:rPr>
        <w:t>Chief Financial Officer</w:t>
      </w:r>
    </w:p>
    <w:p>
      <w:pPr>
        <w:spacing w:after="0" w:line="24"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5"/>
          <w:szCs w:val="15"/>
          <w:color w:val="auto"/>
        </w:rPr>
        <w:t>(Principal Financial and Accounting Officer)</w:t>
      </w:r>
    </w:p>
    <w:p>
      <w:pPr>
        <w:sectPr>
          <w:pgSz w:w="11900" w:h="16838" w:orient="portrait"/>
          <w:cols w:equalWidth="0" w:num="1">
            <w:col w:w="11260"/>
          </w:cols>
          <w:pgMar w:left="320" w:top="781" w:right="319" w:bottom="1440" w:gutter="0" w:footer="0" w:header="0"/>
          <w:type w:val="continuous"/>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323850</wp:posOffset>
            </wp:positionV>
            <wp:extent cx="7090410" cy="1017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0410" cy="1017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2022-06-24T05:16:18Z</dcterms:created>
  <dcterms:modified xsi:type="dcterms:W3CDTF">2022-06-24T05:16:18Z</dcterms:modified>
</cp:coreProperties>
</file>