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88-0494875</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52"/>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52"/>
        </w:trPr>
        <w:tc>
          <w:tcPr>
            <w:tcW w:w="4980" w:type="dxa"/>
            <w:vAlign w:val="bottom"/>
            <w:gridSpan w:val="2"/>
          </w:tcPr>
          <w:p>
            <w:pPr>
              <w:jc w:val="center"/>
              <w:ind w:left="2525"/>
              <w:spacing w:after="0"/>
              <w:rPr>
                <w:sz w:val="20"/>
                <w:szCs w:val="20"/>
                <w:color w:val="auto"/>
              </w:rPr>
            </w:pPr>
            <w:r>
              <w:rPr>
                <w:rFonts w:ascii="Arial" w:cs="Arial" w:eastAsia="Arial" w:hAnsi="Arial"/>
                <w:sz w:val="18"/>
                <w:szCs w:val="18"/>
                <w:b w:val="1"/>
                <w:bCs w:val="1"/>
                <w:color w:val="auto"/>
                <w:w w:val="89"/>
              </w:rPr>
              <w:t>(702) 770-7555</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284"/>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9"/>
        </w:trPr>
        <w:tc>
          <w:tcPr>
            <w:tcW w:w="2600" w:type="dxa"/>
            <w:vAlign w:val="bottom"/>
          </w:tcPr>
          <w:p>
            <w:pPr>
              <w:spacing w:after="0"/>
              <w:rPr>
                <w:sz w:val="24"/>
                <w:szCs w:val="24"/>
                <w:color w:val="auto"/>
              </w:rPr>
            </w:pPr>
          </w:p>
        </w:tc>
        <w:tc>
          <w:tcPr>
            <w:tcW w:w="36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4040" w:val="left"/>
          <w:tab w:leader="none" w:pos="5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1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1260" w:type="dxa"/>
            <w:vAlign w:val="bottom"/>
          </w:tcPr>
          <w:p>
            <w:pPr>
              <w:spacing w:after="0"/>
              <w:rPr>
                <w:sz w:val="19"/>
                <w:szCs w:val="19"/>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00" w:type="dxa"/>
            <w:vAlign w:val="bottom"/>
          </w:tcPr>
          <w:p>
            <w:pPr>
              <w:spacing w:after="0"/>
              <w:rPr>
                <w:sz w:val="24"/>
                <w:szCs w:val="24"/>
                <w:color w:val="auto"/>
              </w:rPr>
            </w:pPr>
          </w:p>
        </w:tc>
        <w:tc>
          <w:tcPr>
            <w:tcW w:w="906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26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March 31, 2011 (unaudited) and December 31, 2010</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 – Three months ended March 31, 2011 and 2010</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(unaudited) – Three months ended March 31, 2011 and 2010</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3220" w:type="dxa"/>
            <w:vAlign w:val="bottom"/>
            <w:tcBorders>
              <w:top w:val="single" w:sz="8" w:color="0000EE"/>
            </w:tcBorders>
            <w:gridSpan w:val="4"/>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00" w:type="dxa"/>
            <w:vAlign w:val="bottom"/>
          </w:tcPr>
          <w:p>
            <w:pPr>
              <w:spacing w:after="0"/>
              <w:rPr>
                <w:sz w:val="24"/>
                <w:szCs w:val="24"/>
                <w:color w:val="auto"/>
              </w:rPr>
            </w:pP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76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0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5">
              <w:r>
                <w:rPr>
                  <w:rFonts w:ascii="Arial" w:cs="Arial" w:eastAsia="Arial" w:hAnsi="Arial"/>
                  <w:sz w:val="18"/>
                  <w:szCs w:val="18"/>
                  <w:color w:val="0000EE"/>
                  <w:w w:val="86"/>
                </w:rPr>
                <w:t>Controls and Procedures</w:t>
              </w:r>
            </w:hyperlink>
          </w:p>
        </w:tc>
        <w:tc>
          <w:tcPr>
            <w:tcW w:w="732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3"/>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60" w:type="dxa"/>
            <w:vAlign w:val="bottom"/>
            <w:gridSpan w:val="12"/>
          </w:tcPr>
          <w:p>
            <w:pPr>
              <w:ind w:left="40"/>
              <w:spacing w:after="0"/>
              <w:rPr>
                <w:sz w:val="20"/>
                <w:szCs w:val="20"/>
                <w:color w:val="auto"/>
              </w:rPr>
            </w:pPr>
            <w:r>
              <w:rPr>
                <w:rFonts w:ascii="Arial" w:cs="Arial" w:eastAsia="Arial" w:hAnsi="Arial"/>
                <w:sz w:val="18"/>
                <w:szCs w:val="18"/>
                <w:b w:val="1"/>
                <w:bCs w:val="1"/>
                <w:color w:val="auto"/>
              </w:rPr>
              <w:t>Other Information</w:t>
            </w:r>
          </w:p>
        </w:tc>
        <w:tc>
          <w:tcPr>
            <w:tcW w:w="1260" w:type="dxa"/>
            <w:vAlign w:val="bottom"/>
          </w:tcPr>
          <w:p>
            <w:pPr>
              <w:spacing w:after="0"/>
              <w:rPr>
                <w:sz w:val="24"/>
                <w:szCs w:val="24"/>
                <w:color w:val="auto"/>
              </w:rPr>
            </w:pPr>
          </w:p>
        </w:tc>
      </w:tr>
      <w:tr>
        <w:trPr>
          <w:trHeight w:val="286"/>
        </w:trPr>
        <w:tc>
          <w:tcPr>
            <w:tcW w:w="7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00" w:type="dxa"/>
            <w:vAlign w:val="bottom"/>
          </w:tcPr>
          <w:p>
            <w:pPr>
              <w:spacing w:after="0"/>
              <w:rPr>
                <w:sz w:val="24"/>
                <w:szCs w:val="24"/>
                <w:color w:val="auto"/>
              </w:rPr>
            </w:pP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81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06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00" w:type="dxa"/>
            <w:vAlign w:val="bottom"/>
          </w:tcPr>
          <w:p>
            <w:pPr>
              <w:spacing w:after="0"/>
              <w:rPr>
                <w:sz w:val="24"/>
                <w:szCs w:val="24"/>
                <w:color w:val="auto"/>
              </w:rPr>
            </w:pP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482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700" w:type="dxa"/>
            <w:vAlign w:val="bottom"/>
            <w:gridSpan w:val="2"/>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Signature</w:t>
              </w:r>
            </w:hyperlink>
          </w:p>
        </w:tc>
        <w:tc>
          <w:tcPr>
            <w:tcW w:w="3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83"/>
        </w:trPr>
        <w:tc>
          <w:tcPr>
            <w:tcW w:w="6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8"/>
          </w:tcPr>
          <w:p>
            <w:pPr>
              <w:jc w:val="right"/>
              <w:ind w:right="15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136,613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3,687,928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4,100,497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263,410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2,620,445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2,998,696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3,010,014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1,976,289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(874,488)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1,101,801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4,100,497</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194,245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106,140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443,738</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364,675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(48,701)</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395,037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84,472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61,108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54,294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65,796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345,863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(50,310)</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(48,740)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income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434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65,796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3,368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4,752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(1,341)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(16,551)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(18,619)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43,967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(22,015)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(1,329)</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14,408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(8,936)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34,623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52,540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87,163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2011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2010.</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March 31, 2011 and December 31, 2010, approximately 66%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$10,903</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15,817</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29,795</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31,415</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jc w:val="both"/>
        <w:ind w:right="640" w:firstLine="456"/>
        <w:spacing w:after="0" w:line="335" w:lineRule="auto"/>
        <w:rPr>
          <w:sz w:val="20"/>
          <w:szCs w:val="20"/>
          <w:color w:val="auto"/>
        </w:rPr>
      </w:pPr>
      <w:r>
        <w:rPr>
          <w:rFonts w:ascii="Arial" w:cs="Arial" w:eastAsia="Arial" w:hAnsi="Arial"/>
          <w:sz w:val="15"/>
          <w:szCs w:val="15"/>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$13.8 million and $9.7 million for the three months ended March 31, 2011 and 2010, respectively.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Advertising costs totaled approximately $2.9 million and $3.5 million, for the three months ended March 31, 2011 and 2010, respectively.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three months ended March 31, 2011 and 2010, the Company recorded $2.9 million and $2.9 million, respectively, in share based compensation with a corresponding credit to contributed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paid for the three months ended March 31, 2011 and 2010 totaled approximately $59.4 million and $4.3 million, respectively. Interest capitalized for the three months ended March 31, 2010 totaled approximately $0.2 million. There was no interest capitalized during the three months ended March 31, 2011.</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three months ended March 31, 2011 and 2010, capital expenditures include a decrease of approximately $3.2 and $2 million respectively, in construction payables and retention recorded through amounts due to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$175,331</w:t>
            </w:r>
          </w:p>
        </w:tc>
        <w:tc>
          <w:tcPr>
            <w:tcW w:w="3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Hotel</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18,540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16,512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3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207,509</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(70,896)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136,613</w:t>
            </w:r>
          </w:p>
        </w:tc>
        <w:tc>
          <w:tcPr>
            <w:tcW w:w="36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124,814</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4832"/>
              <w:spacing w:after="0"/>
              <w:rPr>
                <w:sz w:val="20"/>
                <w:szCs w:val="20"/>
                <w:color w:val="auto"/>
              </w:rPr>
            </w:pPr>
            <w:r>
              <w:rPr>
                <w:rFonts w:ascii="Arial" w:cs="Arial" w:eastAsia="Arial" w:hAnsi="Arial"/>
                <w:sz w:val="18"/>
                <w:szCs w:val="18"/>
                <w:b w:val="1"/>
                <w:bCs w:val="1"/>
                <w:color w:val="auto"/>
                <w:w w:val="88"/>
              </w:rPr>
              <w:t>5. Property and Equipment, net</w:t>
            </w: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719,754</w:t>
            </w:r>
          </w:p>
        </w:tc>
        <w:tc>
          <w:tcPr>
            <w:tcW w:w="36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719,753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2,591,377</w:t>
            </w:r>
          </w:p>
        </w:tc>
        <w:tc>
          <w:tcPr>
            <w:tcW w:w="3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2,591,246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3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1,362,017</w:t>
            </w:r>
          </w:p>
        </w:tc>
        <w:tc>
          <w:tcPr>
            <w:tcW w:w="3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1,347,601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2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3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4,727,339</w:t>
            </w:r>
          </w:p>
        </w:tc>
        <w:tc>
          <w:tcPr>
            <w:tcW w:w="3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4,722,230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(1,039,411)</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(991,019)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$ 3,687,928</w:t>
            </w:r>
          </w:p>
        </w:tc>
        <w:tc>
          <w:tcPr>
            <w:tcW w:w="3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$ 3,731,211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jc w:val="right"/>
              <w:ind w:right="1452"/>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01"/>
        </w:trPr>
        <w:tc>
          <w:tcPr>
            <w:tcW w:w="9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 xml:space="preserve">7 </w:t>
            </w:r>
            <w:r>
              <w:rPr>
                <w:rFonts w:ascii="Arial" w:cs="Arial" w:eastAsia="Arial" w:hAnsi="Arial"/>
                <w:sz w:val="11"/>
                <w:szCs w:val="11"/>
                <w:color w:val="auto"/>
                <w:w w:val="92"/>
              </w:rPr>
              <w:t>7</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First Mortgage Notes, due November 1, 2017, net of original issue discount of $9,412 at March 31, 2011 and $9,678 at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490,588</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120" w:type="dxa"/>
            <w:vAlign w:val="bottom"/>
            <w:shd w:val="clear" w:color="auto" w:fill="CCEEFF"/>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7"/>
              </w:rPr>
              <w:t xml:space="preserve">7 </w:t>
            </w:r>
            <w:r>
              <w:rPr>
                <w:rFonts w:ascii="Arial" w:cs="Arial" w:eastAsia="Arial" w:hAnsi="Arial"/>
                <w:sz w:val="11"/>
                <w:szCs w:val="11"/>
                <w:color w:val="auto"/>
                <w:w w:val="97"/>
              </w:rPr>
              <w:t>7</w:t>
            </w:r>
            <w:r>
              <w:rPr>
                <w:rFonts w:ascii="Arial" w:cs="Arial" w:eastAsia="Arial" w:hAnsi="Arial"/>
                <w:sz w:val="18"/>
                <w:szCs w:val="18"/>
                <w:color w:val="auto"/>
                <w:w w:val="97"/>
              </w:rPr>
              <w:t>/</w:t>
            </w:r>
            <w:r>
              <w:rPr>
                <w:rFonts w:ascii="Arial" w:cs="Arial" w:eastAsia="Arial" w:hAnsi="Arial"/>
                <w:sz w:val="13"/>
                <w:szCs w:val="13"/>
                <w:color w:val="auto"/>
                <w:w w:val="97"/>
              </w:rPr>
              <w:t>8</w:t>
            </w:r>
            <w:r>
              <w:rPr>
                <w:rFonts w:ascii="Arial" w:cs="Arial" w:eastAsia="Arial" w:hAnsi="Arial"/>
                <w:sz w:val="18"/>
                <w:szCs w:val="18"/>
                <w:color w:val="auto"/>
                <w:w w:val="97"/>
              </w:rPr>
              <w:t>% First Mortgage Notes, due May 1, 2020, net of original issue discount of $2,444 at March 31, 2011 and $2,489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349,566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2,621,495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2,621,534</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r>
      <w:tr>
        <w:trPr>
          <w:trHeight w:val="222"/>
        </w:trPr>
        <w:tc>
          <w:tcPr>
            <w:tcW w:w="9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2,620,445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2,620,484</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Revolving Credit Facilities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March 31, 2011, $20.1 million had been borrowed under the Revolving Credit Facilities. The Company also had $19.5 million of outstanding letters of credit that reduce its availability under the Revolving Credit Facilities. Accordingly, the Company has availability of $327.4 million under the Revolving Credit Facilities as of March 31,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2011,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$2.2 billion at both March 31, 2011 and December 31, 2010. The estimated fair value of the Company’s outstanding first mortgage notes, based on quoted market prices, was approximately $2.4 billion and $2.4 billion at March 31, 2011 and December 31, 2010, respectively. The net book value of the Company’s other debt instruments was approximately $431.3 million and $432 million at March 31, 2011 and December 31, 2010, respectively. The estimated fair value of the Company’s other debt instruments was approximately $430.8 million and $426.5 million at March 31, 2011 and December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March 31, 2011 and December 31, 2010, the fair value of this interest rate swap was a liability of $7.1 million and $8.5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of March 31, 2011, the Company’s current Due to affiliates was primarily comprised of construction payables of approximately $7.4 million, construction retention of approximately $3 million and other net amounts due to affiliates totaling $20.6 million (including corporate allocations discussed below). The long-term Due to affiliates is management fees of approximately $107.7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2010, the Company’s current Due to affiliates was primarily comprised of construction payables of approximately $10.3 million, construction retention of approximately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During the three months ended March 31, 2011 and 2010, approximately $6.4 million and $6.8 million, respectively, were charged to the Company for such corporate allocations.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17, 2010, Elaine P. Wynn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and was terminated on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2011 and 2010 were $2 million and $1.3 million, respectively. Property charges generally include costs related to the retirement of assets for remodels and asset abandonments. Property charges and other for the three months ended March 31, 2011 and 2010, related to miscellaneous renovations and abandonments at Wynn Las Vegas and Encore.</w:t>
      </w:r>
    </w:p>
    <w:p>
      <w:pPr>
        <w:spacing w:after="0" w:line="215" w:lineRule="exact"/>
        <w:rPr>
          <w:sz w:val="20"/>
          <w:szCs w:val="20"/>
          <w:color w:val="auto"/>
        </w:rPr>
      </w:pPr>
    </w:p>
    <w:p>
      <w:pPr>
        <w:ind w:right="8660" w:firstLine="8"/>
        <w:spacing w:after="0" w:line="347" w:lineRule="auto"/>
        <w:tabs>
          <w:tab w:leader="none" w:pos="26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March 31,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March 31, 2011, the Company had not recorded a receivable related to this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March 31, 2011 and December 31, 2010, and for the three months ended March 31, 2011 and 2010.</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following consolidating information is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87,158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136,613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304,652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305,266</w:t>
            </w: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3,494,910</w:t>
            </w: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193,018</w:t>
            </w: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3,687,928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45,859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43,873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20,470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3,874,967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203,606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4,100,497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29,297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43,171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13,586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19,711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73,024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(156,685)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194,161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196,612</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263,410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2,585,095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35,350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2,620,445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107,725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2,773,166</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231,962</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1,449</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2,998,696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1,976,289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(874,488)</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(40,886)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(874,488)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1,101,801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(28,356)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1,101,801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3,874,967</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203,606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21,919</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52,535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124,814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64,520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20,778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263,062</w:t>
            </w: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3,537,264</w:t>
            </w: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193,947</w:t>
            </w: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3,731,211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6,660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47,300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47,437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3,881,623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204,573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4,108,516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35,837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54,083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38,219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17,361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93,355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(160,735)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194,277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88,083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196,444</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279,276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2,584,784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2,620,484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101,797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2,783,121</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232,144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3,010,014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1,973,424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(874,922)</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(40,101)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1,098,502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3,881,623</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204,573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22,315</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194,245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87,956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106,140</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443,894</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443,738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(48,701)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395,193</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395,037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84,472</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29,798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61,108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37,685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54,586</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4,752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5,928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64,868</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345,227</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w w:val="79"/>
              </w:rPr>
              <w:t>792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345,863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49,174</w:t>
            </w:r>
          </w:p>
        </w:tc>
        <w:tc>
          <w:tcPr>
            <w:tcW w:w="0" w:type="dxa"/>
            <w:vAlign w:val="bottom"/>
          </w:tcPr>
          <w:p>
            <w:pPr>
              <w:spacing w:after="0"/>
              <w:rPr>
                <w:sz w:val="1"/>
                <w:szCs w:val="1"/>
                <w:color w:val="auto"/>
              </w:rPr>
            </w:pPr>
          </w:p>
        </w:tc>
      </w:tr>
      <w:tr>
        <w:trPr>
          <w:trHeight w:val="330"/>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(50,161)</w:t>
            </w:r>
          </w:p>
        </w:tc>
        <w:tc>
          <w:tcPr>
            <w:tcW w:w="2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(50,310)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(49,532)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785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(48,740)</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6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785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$139,510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77,558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95,943</w:t>
            </w:r>
          </w:p>
        </w:tc>
        <w:tc>
          <w:tcPr>
            <w:tcW w:w="20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364,694</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364,675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(46,068)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318,626</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76,827</w:t>
            </w:r>
          </w:p>
        </w:tc>
        <w:tc>
          <w:tcPr>
            <w:tcW w:w="20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30,561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57,986</w:t>
            </w:r>
          </w:p>
        </w:tc>
        <w:tc>
          <w:tcPr>
            <w:tcW w:w="20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35,887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60,269</w:t>
            </w:r>
          </w:p>
        </w:tc>
        <w:tc>
          <w:tcPr>
            <w:tcW w:w="2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6,640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4,774</w:t>
            </w:r>
          </w:p>
        </w:tc>
        <w:tc>
          <w:tcPr>
            <w:tcW w:w="20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77,779</w:t>
            </w:r>
          </w:p>
        </w:tc>
        <w:tc>
          <w:tcPr>
            <w:tcW w:w="2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352,356</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353,092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(33,730)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(34,485)</w:t>
            </w:r>
          </w:p>
        </w:tc>
        <w:tc>
          <w:tcPr>
            <w:tcW w:w="0" w:type="dxa"/>
            <w:vAlign w:val="bottom"/>
          </w:tcPr>
          <w:p>
            <w:pPr>
              <w:spacing w:after="0"/>
              <w:rPr>
                <w:sz w:val="1"/>
                <w:szCs w:val="1"/>
                <w:color w:val="auto"/>
              </w:rPr>
            </w:pPr>
          </w:p>
        </w:tc>
      </w:tr>
      <w:tr>
        <w:trPr>
          <w:trHeight w:val="330"/>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(44,916)</w:t>
            </w:r>
          </w:p>
        </w:tc>
        <w:tc>
          <w:tcPr>
            <w:tcW w:w="2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850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(47,962)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850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(47,207)</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 (81,692)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850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gridSpan w:val="2"/>
          </w:tcPr>
          <w:p>
            <w:pPr>
              <w:jc w:val="right"/>
              <w:ind w:right="14"/>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6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(785)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785</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64,868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65,796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w w:val="94"/>
              </w:rPr>
              <w:t>Amortization and writeoff of deferred financing costs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(785)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4,752</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(1,341)</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(16,551)</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(18,903)</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43,636</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0"/>
                <w:szCs w:val="20"/>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(22,019)</w:t>
            </w:r>
          </w:p>
        </w:tc>
        <w:tc>
          <w:tcPr>
            <w:tcW w:w="24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(22,015)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14,393</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34,623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52,535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87,158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87,163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guarantor</w:t>
            </w:r>
          </w:p>
        </w:tc>
        <w:tc>
          <w:tcPr>
            <w:tcW w:w="6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Subsidiaries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w w:val="82"/>
              </w:rPr>
              <w:t>$ (81,692)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850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 (81,692)</w:t>
            </w: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77,779</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78,926</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2,948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2,948</w:t>
            </w: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4,426</w:t>
            </w:r>
          </w:p>
        </w:tc>
        <w:tc>
          <w:tcPr>
            <w:tcW w:w="1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4,426</w:t>
            </w: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(850)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6,640</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6,640</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2,278</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(14,496)</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(14,496)</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6,615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r>
      <w:tr>
        <w:trPr>
          <w:trHeight w:val="216"/>
        </w:trPr>
        <w:tc>
          <w:tcPr>
            <w:tcW w:w="20" w:type="dxa"/>
            <w:vAlign w:val="bottom"/>
          </w:tcPr>
          <w:p>
            <w:pPr>
              <w:spacing w:after="0"/>
              <w:rPr>
                <w:sz w:val="18"/>
                <w:szCs w:val="18"/>
                <w:color w:val="auto"/>
              </w:rPr>
            </w:pPr>
          </w:p>
        </w:tc>
        <w:tc>
          <w:tcPr>
            <w:tcW w:w="534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1,603</w:t>
            </w: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1,470</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3,336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r>
      <w:tr>
        <w:trPr>
          <w:trHeight w:val="215"/>
        </w:trPr>
        <w:tc>
          <w:tcPr>
            <w:tcW w:w="20" w:type="dxa"/>
            <w:vAlign w:val="bottom"/>
          </w:tcPr>
          <w:p>
            <w:pPr>
              <w:spacing w:after="0"/>
              <w:rPr>
                <w:sz w:val="18"/>
                <w:szCs w:val="18"/>
                <w:color w:val="auto"/>
              </w:rPr>
            </w:pPr>
          </w:p>
        </w:tc>
        <w:tc>
          <w:tcPr>
            <w:tcW w:w="534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6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534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11,541</w:t>
            </w: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9,869</w:t>
            </w: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(35,458)</w:t>
            </w:r>
          </w:p>
        </w:tc>
        <w:tc>
          <w:tcPr>
            <w:tcW w:w="1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(35,458)</w:t>
            </w: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4,562</w:t>
            </w:r>
          </w:p>
        </w:tc>
        <w:tc>
          <w:tcPr>
            <w:tcW w:w="1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6,473</w:t>
            </w: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w:t>
            </w: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(31,278)</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(29,367)</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23"/>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(19,737)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(19,848)</w:t>
            </w: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65,998</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480"/>
              <w:spacing w:after="0"/>
              <w:rPr>
                <w:sz w:val="20"/>
                <w:szCs w:val="20"/>
                <w:color w:val="auto"/>
              </w:rPr>
            </w:pPr>
            <w:r>
              <w:rPr>
                <w:rFonts w:ascii="Arial" w:cs="Arial" w:eastAsia="Arial" w:hAnsi="Arial"/>
                <w:sz w:val="15"/>
                <w:szCs w:val="15"/>
                <w:color w:val="auto"/>
                <w:w w:val="71"/>
              </w:rPr>
              <w:t>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66,354</w:t>
            </w: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$ 46,261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80"/>
              <w:spacing w:after="0"/>
              <w:rPr>
                <w:sz w:val="20"/>
                <w:szCs w:val="20"/>
                <w:color w:val="auto"/>
              </w:rPr>
            </w:pPr>
            <w:r>
              <w:rPr>
                <w:rFonts w:ascii="Arial" w:cs="Arial" w:eastAsia="Arial" w:hAnsi="Arial"/>
                <w:sz w:val="15"/>
                <w:szCs w:val="15"/>
                <w:color w:val="auto"/>
                <w:w w:val="71"/>
              </w:rPr>
              <w:t>5</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$ 46,506</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 We believe Wynn Las Vegas is the preeminent destination casino resort on the Strip in Las Vegas.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780" w:right="6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101,000 square feet of high-end, brand-name retail shopping, including stores and boutiques by Alexander McQueen, Brioni, Cartier, Chanel, Dior, Graff, Hermes,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nightclubs and a beach club.</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 In January 2011, we completed a refurbishment and upgrade to the resort rooms at Wynn Las Vegas. A remodel of the suites was completed in early May 2011. These remodels were completed at a cost less than the project budget of $83 million. We expect the final cost close-out to be completed in the second quarter of 2011.</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risks that competitors, whose operations are more diversified, may be better able to control. In addition to the concentration of operations in a single resort complex, many of our customers are high-end gaming customers who wager on credit, thus exposing us to credit risk. High-end gaming also increases the potential for variability in our results.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three months ended March 31, 2011, we benefited from a higher than normal table games win percentage, an increase in slot machine win, improved ADR, and an overall increase in all other revenue streams including entertainment, food and beverage. While we experienced a decrease in occupancy rate over the prior year, we were able to achieve an increase in average daily rate as we adjusted rates in an effort to attract customers who would take advantage of all aspects of our resort. While we benefited from higher win percentages on our table games and higher non-casino revenues during the quarter, the economic environment in the Las Vegas market is still uncertain.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recorded net income for the quarter ended March 31, 2011 of $0.4 million compared to a net loss of $81.7 million recorded during the quarter ended March 31, 2010. This improvement was primarily a result of increased departmental profits, especially in the casino department and the hotel department, and a $13.1 million decrease in depreciation expense due to fully depreciated assets, offset by a $5.2 million increase in interest expense. See below for a more detailed discussion regarding our results.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March 31, 2011 compared to the three months ended March 31,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Net revenues for the three months ended March 31, 2011 are composed of $194.2 million in casino revenues (49.2% of total net revenues) and $200.8 million of net non-casino revenues (50.8% of total net revenues). Net revenues for the three months ended March 31, 2010 were comprised of $139.5 million in casino revenues (43.8% of total net revenues) and $179.1 million of net non-casino revenues (56.2%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$54.7 million (or 39.2%) to $194.2 million for the three months ended March 31, 2011, compared to $139.5 million for the three months ended March 31, 2010. During the three months ended March 31, 2011, we experienced a 13.8% increase in drop and an increase in the average table games win percentage compared to the prior year quarter. Our average table games win percentage (before discounts) of 30.4% was above the expected range of 21% to 24% for the three months ended March 31, 2011. For the three months ended March 31, 2010, our average table games win percentage (before discounts) was 23.2%. Slot machine handle increased 6.6% during the three months ended March 31, 2011 as compared to 2010, and slot machine win increased 18.1% compared to the prior years quarter as more play shifted to higher hold machines.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three months ended March 31, 2011, room revenues were approximately $88 million, which represents a $10.4 million (or 13.4%) increase over the $77.6 million generated in the three months ended March 31, 2010. While we experienced a decrease in occupancy rate over the prior year, we were able to achieve an increase in Average Daily Rate (“ADR”) as we adjusted rates in an effort to attract customers who would take advantage of all aspects of our resort.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89.4%</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Other non-gaming revenues for the three months ended March 31, 2011, which included food and beverage revenues of approximately $106.1 million, retail revenues of approximately $20 million, entertainment revenues of approximately $20.7 million, and other revenues from outlets, including the spa and salon, of approximately $14.7 million improved over the prior year period. Other non-casino revenues for the three months ended March 31, 2010 included: food and beverage revenues of approximately $95.9 million, retail revenues of approximately $18.9 million, entertainment revenues of approximately $18.2 million, and other revenues from outlets such as the spa and salon, of approximately $14.5 million. Food and beverage revenues increased primarily due to the opening of the Encore Beach Club and Surrender Nightclub in May 2010 as well our hotel restaurants and catering. Entertainment revenues increased over the prior year quarter primarily due to increased revenue from Garth Brooks in the Encore Theater and the Sinatra “Dance with Me” show. The Sinatra “Dance with Me” show ended its run on April 23,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the three months ended March 31, 2011, departmental expenses included casino expenses of $84.5 million, room expense of $29.8 million, food and beverage expenses of $61.1 million, and entertainment, retail and other expenses of $37.7 million. Also included are general and administrative expenses of approximately $54.3 million and approximately $4.8 million charged as a provision for doubtful accounts receivable. During the three months ended March 31, 2010, departmental expenses included casino expense of $76.8 million, room expense of $30.6 million, food and beverage expense of $58.0 million, and entertainment, retail and other expense of $35.9 million. Also included are general and administrative expenses of approximately $59.8 million and approximately $6.6 million charged as a provision for doubtful accounts receivable.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Entertainment, retail and other expense increased primarily as a result of the Sinatra “Dance with Me” show that began performances in December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decreased primarily as a result of lower property tax expense and reduced property maintenance costs.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$5.9 million for the quarter ended March 31, 2011, compared to $4.8 million for the quarter ended March 31,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incurred no preopening costs for the three months ended March 31, 2011. During the three months ended March 31, 2010, we incurred $0.4 million of pre-opening costs. Pre-opening costs incurred during the three months ended March 31, 2010, were related the Encore Beach Club which opened in the second quarter of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Depreciation and amortization for the three months ended March 31, 2011 was $65.8 million compared to $78.9 million for the three months ended March 31, 2010. This decrease is primarily due to assets with a 5-year life being fully depreciated as of April 2010 at Wynn Las Vegas, offset by depreciation of the assets of the Encore Beach Club which were placed in 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March 31, 2011, were $2 million compared to approximately $1.3 million for the three months ended March 31, 2010. Property charges and other for the three months ended March 31, 2011 and 2010, related to miscellaneous renovations and abandonments at Wynn Las Vegas and Encore.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$50.3 million, net of capitalized interest of $0, for the three months ended March 31, 2011, compared to $45.1 million net of capitalized interest of $0.2 million for the three months ended March 31, 2010. Interest expense increased approximately $5.2 million primarily due to an increase in interest rates on our first mortgage notes.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gain of approximately $1.3 million for the three months ended March 31, 2011, resulting from the increase in the fair value of our interest rate swap from December 31, 2010 to March 31, 2011. We recorded an expense of approximately $2.3 million for the three months ended March 31, 2010, resulting from the decrease in the fair value of our interest rate swap from December 31, 2009 to March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cash provided by operations for the three months ended March 31, 2011 was $44 million compared to $9.9 million provided by operations for the three months ended March 31, 2010. This increase is primarily due to the increase in operating income as a result of increased casino and rooms department profitability. Cash flow from operations were negatively impacted by a $55.3 million increase in cash paid for interest as our interest payment dates changed with the refinancing we completed last year and ordinary changes in working capital.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March 31, 2011, we had approximately $87.2 million of cash and cash equivalents available for use without restriction, including for operations, debt service and retirement, new development activities,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enhancements to Wynn Las Vegas and Encore and general corporate purposes. We require a certain amount of cash on hand for operations. We anticipate such funds, together with any other cash needs during 2011 in excess of what we generate from operations or additional borrowings, will be provided with capital contributions from Wynn Resorts. As of March 31, 2011, we had approximately $327.4 million available to draw under our Wynn Las Vegas credit facilities. Except for scheduled quarterly payments on one note payable, we have no debt maturities until July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Capital expenditures were approximately $22 million for the three months ended March 31, 2011 and related primarily to the room and suite remodel that began last year. Capital expenditures were approximately $35.5 million for the three months ended March 31, 2010, and related primarily to the Encore Beach Club and Surrender Nightclub.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2011, our Wynn Las Vegas credit facilities, as amended,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March 31, 2011, the Wynn Las Vegas Term Loan was fully drawn and we had borrowed $20.1 million under the Wynn Las Vegas Revolver. We also had $19.5 million of outstanding letters of credit that reduce our availability under the Wynn Las Vegas Revolver. Accordingly, we have availability of approximately $327.4 million under the Wynn Las Vegas Revolver as of March 31, 2011.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off-balance sheet arrangements as disclosed in our Annual Report on Form 10-K for the year ended December 31,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Las Vegas, LLC will fund its operations and capital requirements from operating cash flow and availability under our credit facilities. We cannot be sure that Wynn Las Vegas, LLC will generate sufficient cash flow from operations or that future borrowings that are available to us, if any,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2010. There have been no material changes to these policies for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March 31, 2011,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2011, our interest rate swap had an approximate liability fair value of $7.1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As of March 31, 2011, approximately 93.1% of our long-term debt was based on fixed rates including the notional amount of our swap. Based on our borrowings as of March 31, 2011, an assumed 1% change in variable rates would cause our annual interest cost to change by $1.8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64"/>
        <w:spacing w:after="0" w:line="256"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Company’s principal executive officer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18" w:lineRule="exact"/>
        <w:rPr>
          <w:sz w:val="20"/>
          <w:szCs w:val="20"/>
          <w:color w:val="auto"/>
        </w:rPr>
      </w:pPr>
    </w:p>
    <w:p>
      <w:pPr>
        <w:ind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2010. There were no material changes to those risk factors during the three months ended March 31,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24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78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w w:val="89"/>
              </w:rPr>
              <w:t>Certification of Principal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w w:val="90"/>
              </w:rPr>
              <w:t>Certification of Principal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177"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Dated: May 9,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40"/>
          </w:cols>
          <w:pgMar w:left="240" w:top="459" w:right="11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21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Marilyn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9, 2011</w:t>
      </w:r>
    </w:p>
    <w:p>
      <w:pPr>
        <w:spacing w:after="0" w:line="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2011 as filed with the Securities and Exchange Commission on the date hereof (the “Report”), Marilyn Spiegel,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Marilyn Spiegel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Marilyn Spiegel</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9, 2011</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ind w:left="120"/>
              <w:spacing w:after="0"/>
              <w:rPr>
                <w:sz w:val="20"/>
                <w:szCs w:val="20"/>
                <w:color w:val="auto"/>
              </w:rPr>
            </w:pPr>
            <w:r>
              <w:rPr>
                <w:rFonts w:ascii="Arial" w:cs="Arial" w:eastAsia="Arial" w:hAnsi="Arial"/>
                <w:sz w:val="18"/>
                <w:szCs w:val="18"/>
                <w:color w:val="auto"/>
              </w:rPr>
              <w:t>Scott Peterson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120"/>
              <w:spacing w:after="0"/>
              <w:rPr>
                <w:sz w:val="20"/>
                <w:szCs w:val="20"/>
                <w:color w:val="auto"/>
              </w:rPr>
            </w:pPr>
            <w:r>
              <w:rPr>
                <w:rFonts w:ascii="Arial" w:cs="Arial" w:eastAsia="Arial" w:hAnsi="Arial"/>
                <w:sz w:val="18"/>
                <w:szCs w:val="18"/>
                <w:color w:val="auto"/>
              </w:rPr>
              <w:t>May 9, 2011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0"/>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2019-12-10T23:21:00Z</dcterms:created>
  <dcterms:modified xsi:type="dcterms:W3CDTF">2019-12-10T23:21:00Z</dcterms:modified>
</cp:coreProperties>
</file>